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40"/>
        </w:rPr>
        <w:t>Jurisynth Organized AI Medical Smoke Test</w:t>
      </w:r>
    </w:p>
    <w:p>
      <w:pPr>
        <w:spacing w:after="240"/>
      </w:pPr>
      <w:r>
        <w:rPr>
          <w:rFonts w:ascii="Aptos" w:hAnsi="Aptos"/>
          <w:b w:val="0"/>
          <w:color w:val="4F4F4F"/>
          <w:sz w:val="20"/>
        </w:rPr>
        <w:t>Professor briefing report  |  Temporary live compatibility run using NVIDIA Nemotron Super</w:t>
      </w:r>
    </w:p>
    <w:p>
      <w:pPr>
        <w:spacing w:after="120" w:line="269" w:lineRule="auto"/>
      </w:pPr>
      <w:r>
        <w:rPr>
          <w:rFonts w:ascii="Aptos" w:hAnsi="Aptos"/>
          <w:b w:val="0"/>
          <w:color w:val="000000"/>
          <w:sz w:val="21"/>
        </w:rPr>
        <w:t>This smoke completed with status SUCCESS. It exercised the full Jurisynth path from query decomposition through retrieval, leaf-level evidence-grounded answering, contradiction handling, and final synthesis. The run produced 7 leaves, 37 claims, no failed leaves, and no retrieval exceptions in 521.75 seconds.</w:t>
      </w:r>
    </w:p>
    <w:p>
      <w:pPr>
        <w:spacing w:after="120" w:line="269" w:lineRule="auto"/>
      </w:pPr>
      <w:r>
        <w:rPr>
          <w:rFonts w:ascii="Aptos" w:hAnsi="Aptos"/>
          <w:b w:val="0"/>
          <w:color w:val="000000"/>
          <w:sz w:val="21"/>
        </w:rPr>
        <w:t>Interpretation: The retrieved evidence does not contain sufficient information to determine the economic operator roles under the EU AI Act, the high-risk classification of the AI-enabled medical device, the specific obligations of operators, conditions for provider role changes, AI Act-GDPR interactions, regulatory tensions, or post-deployment responsibilities for performance degradation. While some obligations for high-risk AI systems are partially supported in q003, they cannot be applied to this scenario without confirmation that the device qualifies as high-risk or that the actors fall within the defined roles. All major conclusions require evidence not present in the supplied materials.</w:t>
      </w:r>
    </w:p>
    <w:p>
      <w:pPr>
        <w:spacing w:after="120" w:line="269" w:lineRule="auto"/>
      </w:pPr>
      <w:r>
        <w:rPr>
          <w:rFonts w:ascii="Aptos" w:hAnsi="Aptos"/>
          <w:b/>
          <w:color w:val="000000"/>
          <w:sz w:val="21"/>
        </w:rPr>
        <w:t xml:space="preserve">Scope note: </w:t>
      </w:r>
      <w:r>
        <w:rPr>
          <w:rFonts w:ascii="Aptos" w:hAnsi="Aptos"/>
          <w:b w:val="0"/>
          <w:color w:val="000000"/>
          <w:sz w:val="21"/>
        </w:rPr>
        <w:t>this is an engineering smoke test, not a legal-accuracy evaluation. Retrieval status indicates the pipeline contract, not necessarily complete answer-bearing coverage for a broad legal issue.</w:t>
      </w:r>
    </w:p>
    <w:p>
      <w:pPr>
        <w:pStyle w:val="Heading1"/>
        <w:spacing w:before="240" w:after="100"/>
      </w:pPr>
      <w:r>
        <w:rPr>
          <w:rFonts w:ascii="Aptos" w:hAnsi="Aptos"/>
          <w:b/>
          <w:color w:val="000000"/>
          <w:sz w:val="28"/>
        </w:rPr>
        <w:t>Original user query</w:t>
      </w:r>
    </w:p>
    <w:p>
      <w:pPr>
        <w:spacing w:after="120" w:line="269" w:lineRule="auto"/>
      </w:pPr>
      <w:r>
        <w:rPr>
          <w:rFonts w:ascii="Aptos" w:hAnsi="Aptos"/>
          <w:b w:val="0"/>
          <w:color w:val="000000"/>
          <w:sz w:val="21"/>
        </w:rPr>
        <w:t>A manufacturer established outside the EU sells an AI-enabled medical device through an EU distributor. The device continuously collects biometric and health data, uses a cloud-hosted machine-learning model to make treatment recommendations, and periodically receives model updates after deployment. The manufacturer also uses some of the collected data to improve later versions of the model. Assume the device is placed on the EU market after the relevant provisions of the AI Act have become applicable. Determine, with citations to the supporting EU legislation: Which economic operators in this scenario qualify as provider, importer, distributor, deployer, manufacturer, or other relevant regulated actors under the applicable EU rules, and whether one entity can simultaneously occupy more than one role. Whether the system would qualify as a high-risk AI system, and explain whether that classification follows directly from its intended purpose, its status as a medical device or safety component, its conformity-assessment requirements, or some combination of those factors. What obligations attach separately to the non-EU manufacturer/provider, the EU importer, the distributor, and the healthcare organisation deploying the system. Distinguish obligations that arise before placement on the market from obligations that continue after deployment. Whether a substantial modification, retraining, fine-tuning, change in intended purpose, or post-market model update could cause another actor to become the “provider” of the system, and identify the conditions under which that change of legal role occurs. How these AI Act obligations interact with the GDPR where the system processes biometric and health data. In particular, distinguish: whether the data are personal data and/or special-category data; possible lawful bases under Articles 6 and 9; the relevance of purpose limitation and further processing when data are reused for model improvement; obligations relating to automated decision-making, if applicable; and whether compliance with the AI Act itself supplies a lawful basis for processing under the GDPR. Identify any apparent tensions, overlapping duties, or situations where satisfying one regulatory regime does not by itself establish compliance with another. Do not silently reconcile conflicting or differently scoped provisions: explicitly flag them. Finally, suppose the distributor discovers after deployment that a software update materially increases the system’s false-negative rate for one patient subgroup. Explain the sequence of legal responsibilities that could follow for the distributor, importer, provider/manufacturer, and deployer, including any monitoring, corrective-action, notification, withdrawal/recall, or serious-incident obligations that can be supported by the legislation. For every major conclusion, distinguish: directly supported legal rules, inferences that require combining multiple provisions, and points that cannot be established from the retrieved legislation alone. If provisions appear temporally inapplicable, superseded, conditional, or dependent on another legal instrument, state that explicitly rather than assuming applicability.</w:t>
      </w:r>
    </w:p>
    <w:p>
      <w:pPr>
        <w:spacing w:after="120" w:line="269" w:lineRule="auto"/>
      </w:pPr>
      <w:r>
        <w:rPr>
          <w:rFonts w:ascii="Aptos" w:hAnsi="Aptos"/>
          <w:b w:val="0"/>
          <w:color w:val="000000"/>
          <w:sz w:val="21"/>
        </w:rPr>
        <w:t>Scenario context: A non-EU manufacturer places an AI-enabled medical device on the EU market via an EU distributor.; The device continuously collects biometric and health data, uses a cloud-hosted ML model for treatment recommendations, and receives post-deployment model updates.; The manufacturer uses collected data to improve later model versions.; The device is placed on the EU market after the AI Act’s relevant provisions are applicable.; The system processes biometric and health data, triggering GDPR considerations.; A post-deployment software update increases false-negative rate for a patient subgroup.</w:t>
      </w:r>
    </w:p>
    <w:p>
      <w:pPr>
        <w:pStyle w:val="Heading1"/>
        <w:spacing w:before="240" w:after="100"/>
      </w:pPr>
      <w:r>
        <w:rPr>
          <w:rFonts w:ascii="Aptos" w:hAnsi="Aptos"/>
          <w:b/>
          <w:color w:val="000000"/>
          <w:sz w:val="28"/>
        </w:rPr>
        <w:t>Decomposition and scheduling</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79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Leaf</w:t>
            </w:r>
          </w:p>
        </w:tc>
        <w:tc>
          <w:tcPr>
            <w:tcW w:type="dxa" w:w="792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Atomic legal question</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Dependencies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q001</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Which economic operators in the scenario qualify as provider, importer, distributor, deployer, manufacturer, or other relevant regulated actors under the EU AI Act, and can one entity occupy more than one role?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q002</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Does the AI-enabled medical device qualify as a high-risk AI system under the AI Act, and does this classification follow from its intended purpose, status as a medical device or safety component, conformity-assessment requirements, or a combination?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q003</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What specific obligations apply to the non-EU manufacturer/provider, EU importer, distributor, and healthcare organisation deployer under the AI Act, distinguishing pre-market and post-deployment obligations?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q004</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Under what conditions could a substantial modification, retraining, fine-tuning, change in intended purpose, or post-market model update cause another actor to become the 'provider' of the AI system under the AI Act?</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q005</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How do AI Act obligations interact with GDPR regarding processing of biometric and health data, including: classification as personal/special-category data, lawful bases under Articles 6 and 9, purpose limitation and further processing for model improvement, automated decision-making obligations, and whether AI Act compliance supplies a GDPR lawful basis?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q006</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What are the apparent tensions, overlapping duties, or situations where compliance with one regime (AI Act or GDPR) does not establish compliance with the other, without silent reconciliation?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q007</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If a distributor discovers post-deployment that a software update materially increases the false-negative rate for a patient subgroup, what is the sequence of legal responsibilities for distributor, importer, provider/manufacturer, and deployer, including monitoring, corrective action, notification, withdrawal/recall, or serious-incident obligations under the AI Act?</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None</w:t>
            </w:r>
          </w:p>
        </w:tc>
      </w:tr>
    </w:tbl>
    <w:p>
      <w:pPr>
        <w:spacing w:after="60"/>
      </w:pPr>
    </w:p>
    <w:p>
      <w:pPr>
        <w:spacing w:after="120" w:line="269" w:lineRule="auto"/>
      </w:pPr>
      <w:r>
        <w:rPr>
          <w:rFonts w:ascii="Aptos" w:hAnsi="Aptos"/>
          <w:b w:val="0"/>
          <w:color w:val="000000"/>
          <w:sz w:val="21"/>
        </w:rPr>
        <w:t>All leaves had no explicit prerequisites. The deterministic scheduler therefore treated them as independently runnable and executed them in parallel subject to its worker capacity.</w:t>
      </w:r>
    </w:p>
    <w:p>
      <w:pPr>
        <w:pStyle w:val="Heading1"/>
        <w:spacing w:before="240" w:after="100"/>
      </w:pPr>
      <w:r>
        <w:rPr>
          <w:rFonts w:ascii="Aptos" w:hAnsi="Aptos"/>
          <w:b/>
          <w:color w:val="000000"/>
          <w:sz w:val="28"/>
        </w:rPr>
        <w:t>Retrieval and leaf answer outcomes</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605"/>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Leaf</w:t>
            </w:r>
          </w:p>
        </w:tc>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Retrieval</w:t>
            </w:r>
          </w:p>
        </w:tc>
        <w:tc>
          <w:tcPr>
            <w:tcW w:type="dxa" w:w="79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Evidence</w:t>
            </w:r>
          </w:p>
        </w:tc>
        <w:tc>
          <w:tcPr>
            <w:tcW w:type="dxa" w:w="64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Tables</w:t>
            </w:r>
          </w:p>
        </w:tc>
        <w:tc>
          <w:tcPr>
            <w:tcW w:type="dxa" w:w="64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Claims</w:t>
            </w:r>
          </w:p>
        </w:tc>
        <w:tc>
          <w:tcPr>
            <w:tcW w:type="dxa" w:w="6595"/>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Leaf conclusion</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weak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8</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The provided evidence does not contain definitions or descriptions of the roles 'provider', 'importer', 'distributor', 'deployer', 'manufacturer', or other relevant regulated actors as defined under the EU AI Act. The evidence includes amendments to other regulations (e.g., due diligence statements, authorised representatives in other contexts, governance structures, and unrelated sectoral rules) but does not define or reference the specific economic operator roles under the EU AI Act. Therefore, it is not possible to determine which operators qualify for these roles or whether one entity can occupy more than one role under the AI Act.</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weak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10</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5</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The provided evidence does not contain sufficient information to determine whether an AI-enabled medical device qualifies as a high-risk AI system under the AI Act, or whether such classification follows from its intended purpose, status as a medical device or safety component, conformity-assessment requirements, or a combination thereof. While the evidence includes references to medical device directives (e.g., Council Directive 93/42/EEC), the AI Act (Regulation (EU) 2024/1689), and related concepts such as high-risk AI systems, conformity assessment procedures, and Annex III classifications, no specific AI-enabled medical device is described, nor is there any explicit linkage between a medical device's characteristics and the criteria for high-risk classification under the AI Act. The evidence lacks details on the device's intended purpose, risk level, or how it aligns with the specific use cases listed in Annex III of the AI Act that would trigger high-risk status.</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weak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17</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32</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Under the AI Act, non-EU manufacturers/providers of high-risk AI systems must ensure compliance with Section 2 requirements, implement a quality management system per Article 17, retain documentation per Article 18, maintain logs per Article 19, undergo conformity assessment per Article 43 before market placement, issue an EU declaration of conformity per Article 47, affix CE marking per Article 48, register per Article 49(1), take corrective actions and provide information per Article 20, demonstrate conformity upon request per Article 16(k), and ensure accessibility compliance per Directives (EU) 2016/2102 and (EU) 2019/882 per Article 16(l). EU importers must not place non-conforming or falsified high-risk AI systems on the market, inform providers, authorized representatives, and market surveillance authorities of risks per Article 23(1), indicate their contact details per Article 23(2), ensure storage/transport conditions do not jeopardize compliance per Article 23(3), retain copies of notified body certificates, instructions for use, and EU declarations of conformity for 10 years post-market placement per Article 23(4), provide documentation to competent authorities upon request per Article 23(5), and cooperate with authorities to mitigate risks per Article 23(6). Distributors must verify CE marking, EU declaration of conformity, and instructions for use before market availability per Article 24(1), withhold non-conforming systems until brought into conformity per Article 24(2), inform providers or importers of risks per Article 24(2), ensure storage/transport conditions maintain compliance per Article 24(3), retain documentation for 10 years per Article 24(4), provide information to authorities upon request per Article 24(5), and cooperate with authorities per Article 24(6). Healthcare organisation deployers must perform fundamental rights impact assessments before first use per Article 26(1), update assessments if elements change per Article 26(1), notify market surveillance authorities of assessment results per Article 26(2), and ensure assessments complement data protection impact assessments where applicable per Article 26(3).</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q004</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success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21</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The provided evidence does not contain information about conditions under which a substantial modification, retraining, fine-tuning, change in intended purpose, or post-market model update could cause another actor to become the 'provider' of an AI system under the AI Act.</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q005</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success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17</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The provided evidence does not contain sufficient information to address how AI Act obligations interact with GDPR regarding the processing of biometric and health data, including classification as personal/special-category data, lawful bases under Articles 6 and 9, purpose limitation and further processing for model improvement, automated decision-making obligations, or whether AI Act compliance supplies a GDPR lawful basis. The evidence primarily concerns unrelated topics such as inland waterway authorities, Europol's data processing, asset recovery directives, Commission data handling, and UK GDPR provisions on automated decision-making, none of which directly address the interaction between the AI Act and GDPR in the specified contexts.</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q006</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weak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24</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The provided evidence does not contain any information about the AI Act, GDPR, or their potential tensions, overlapping duties, or situations where compliance with one regime does not establish compliance with the other. The evidence is exclusively focused on topics such as skin irritation test methods, false negative rates in test methods, pharmaceutical market distinctions (OTC vs. prescription medicines), and medical device definitions under Council Directive 93/42/EEC. None of the evidence addresses artificial intelligence regulation, data protection law, or any intersection between the AI Act and GDPR.</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q007</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success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23</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The provided evidence does not contain specific provisions regarding the sequence of legal responsibilities for distributors, importers, providers/manufacturers, and deployers in response to a post-deployment discovery of a material increase in false-negative rate for a patient subgroup under the AI Act. While the evidence includes general obligations for distributors and importers to inform providers or manufacturers when a high-risk AI system is non-conforming or presents a risk (see E_05c83c86b862ed09, E_34bc33bc3abc531c, E_4fb721d52afdd1fe, E_63d53b2041f9b70f, E_714023068978abc0), it does not address monitoring, corrective action, notification, withdrawal/recall, or serious-incident obligations specifically tied to performance degradation in a patient subgroup after deployment. The evidence also lacks details on the responsibilities of providers/manufacturers or deployers in such scenarios, and no text references Article 79(1) on serious incidents or post-market monitoring requirements under the AI Act.</w:t>
            </w:r>
          </w:p>
        </w:tc>
      </w:tr>
    </w:tbl>
    <w:p>
      <w:pPr>
        <w:spacing w:after="60"/>
      </w:pPr>
    </w:p>
    <w:p>
      <w:pPr>
        <w:pStyle w:val="Heading1"/>
        <w:spacing w:before="240" w:after="100"/>
      </w:pPr>
      <w:r>
        <w:rPr>
          <w:rFonts w:ascii="Aptos" w:hAnsi="Aptos"/>
          <w:b/>
          <w:color w:val="000000"/>
          <w:sz w:val="28"/>
        </w:rPr>
        <w:t>Final synthesis and grounding observations</w:t>
      </w:r>
    </w:p>
    <w:p>
      <w:pPr>
        <w:spacing w:after="120" w:line="269" w:lineRule="auto"/>
      </w:pPr>
      <w:r>
        <w:rPr>
          <w:rFonts w:ascii="Aptos" w:hAnsi="Aptos"/>
          <w:b w:val="0"/>
          <w:color w:val="000000"/>
          <w:sz w:val="21"/>
        </w:rPr>
        <w:t>The retrieved evidence does not contain sufficient information to determine the economic operator roles under the EU AI Act, the high-risk classification of the AI-enabled medical device, the specific obligations of operators, conditions for provider role changes, AI Act-GDPR interactions, regulatory tensions, or post-deployment responsibilities for performance degradation. While some obligations for high-risk AI systems are partially supported in q003, they cannot be applied to this scenario without confirmation that the device qualifies as high-risk or that the actors fall within the defined roles. All major conclusions require evidence not present in the supplied materials.</w:t>
      </w:r>
    </w:p>
    <w:p>
      <w:pPr>
        <w:pStyle w:val="Heading2"/>
        <w:spacing w:after="60" w:line="269" w:lineRule="auto"/>
      </w:pPr>
      <w:r>
        <w:rPr>
          <w:rFonts w:ascii="Aptos" w:hAnsi="Aptos"/>
          <w:b w:val="0"/>
          <w:color w:val="000000"/>
          <w:sz w:val="21"/>
        </w:rPr>
        <w:t>Economic Operator Roles under the EU AI Act</w:t>
      </w:r>
    </w:p>
    <w:p>
      <w:pPr>
        <w:spacing w:after="120" w:line="269" w:lineRule="auto"/>
      </w:pPr>
      <w:r>
        <w:rPr>
          <w:rFonts w:ascii="Aptos" w:hAnsi="Aptos"/>
          <w:b w:val="0"/>
          <w:color w:val="000000"/>
          <w:sz w:val="21"/>
        </w:rPr>
        <w:t>It cannot be determined which economic operators qualify as provider, importer, distributor, deployer, manufacturer, or manufacturer, nor whether one entity can occupy multiple roles, as the evidence does not contain definitions or descriptions of these roles under the EU AI Act.</w:t>
      </w:r>
    </w:p>
    <w:p>
      <w:pPr>
        <w:pStyle w:val="Heading2"/>
        <w:spacing w:after="60" w:line="269" w:lineRule="auto"/>
      </w:pPr>
      <w:r>
        <w:rPr>
          <w:rFonts w:ascii="Aptos" w:hAnsi="Aptos"/>
          <w:b w:val="0"/>
          <w:color w:val="000000"/>
          <w:sz w:val="21"/>
        </w:rPr>
        <w:t>High-Risk AI System Classification</w:t>
      </w:r>
    </w:p>
    <w:p>
      <w:pPr>
        <w:spacing w:after="120" w:line="269" w:lineRule="auto"/>
      </w:pPr>
      <w:r>
        <w:rPr>
          <w:rFonts w:ascii="Aptos" w:hAnsi="Aptos"/>
          <w:b w:val="0"/>
          <w:color w:val="000000"/>
          <w:sz w:val="21"/>
        </w:rPr>
        <w:t>It cannot be determined whether the AI-enabled medical device qualifies as a high-risk AI system under the AI Act, or whether such classification follows from its intended purpose, status as a medical device or safety component, conformity-assessment requirements, or a combination thereof, as the evidence lacks specifics on the device’s intended purpose, risk level, or linkage to Annex III use cases.</w:t>
      </w:r>
    </w:p>
    <w:p>
      <w:pPr>
        <w:pStyle w:val="Heading2"/>
        <w:spacing w:after="60" w:line="269" w:lineRule="auto"/>
      </w:pPr>
      <w:r>
        <w:rPr>
          <w:rFonts w:ascii="Aptos" w:hAnsi="Aptos"/>
          <w:b w:val="0"/>
          <w:color w:val="000000"/>
          <w:sz w:val="21"/>
        </w:rPr>
        <w:t>Obligations of Operators under the AI Act</w:t>
      </w:r>
    </w:p>
    <w:p>
      <w:pPr>
        <w:spacing w:after="120" w:line="269" w:lineRule="auto"/>
      </w:pPr>
      <w:r>
        <w:rPr>
          <w:rFonts w:ascii="Aptos" w:hAnsi="Aptos"/>
          <w:b w:val="0"/>
          <w:color w:val="000000"/>
          <w:sz w:val="21"/>
        </w:rPr>
        <w:t>While general obligations for non-EU manufacturers/providers, EU importers, distributors, and healthcare organisation deployers of high-risk AI systems are partially supported by evidence in q003, these cannot be applied to the scenario without confirmation that the device is high-risk and that the actors fall within the regulated roles defined by the AI Act.</w:t>
      </w:r>
    </w:p>
    <w:p>
      <w:pPr>
        <w:pStyle w:val="Heading2"/>
        <w:spacing w:after="60" w:line="269" w:lineRule="auto"/>
      </w:pPr>
      <w:r>
        <w:rPr>
          <w:rFonts w:ascii="Aptos" w:hAnsi="Aptos"/>
          <w:b w:val="0"/>
          <w:color w:val="000000"/>
          <w:sz w:val="21"/>
        </w:rPr>
        <w:t>Change of Provider Role due to Modifications</w:t>
      </w:r>
    </w:p>
    <w:p>
      <w:pPr>
        <w:spacing w:after="120" w:line="269" w:lineRule="auto"/>
      </w:pPr>
      <w:r>
        <w:rPr>
          <w:rFonts w:ascii="Aptos" w:hAnsi="Aptos"/>
          <w:b w:val="0"/>
          <w:color w:val="000000"/>
          <w:sz w:val="21"/>
        </w:rPr>
        <w:t>It cannot be determined under what conditions a substantial modification, retraining, fine-tuning, change in intended purpose, or post-market model update could cause another actor to become the 'provider' of the AI system, as the evidence contains no information on such conditions.</w:t>
      </w:r>
    </w:p>
    <w:p>
      <w:pPr>
        <w:pStyle w:val="Heading2"/>
        <w:spacing w:after="60" w:line="269" w:lineRule="auto"/>
      </w:pPr>
      <w:r>
        <w:rPr>
          <w:rFonts w:ascii="Aptos" w:hAnsi="Aptos"/>
          <w:b w:val="0"/>
          <w:color w:val="000000"/>
          <w:sz w:val="21"/>
        </w:rPr>
        <w:t>AI Act and GDPR Interaction</w:t>
      </w:r>
    </w:p>
    <w:p>
      <w:pPr>
        <w:spacing w:after="120" w:line="269" w:lineRule="auto"/>
      </w:pPr>
      <w:r>
        <w:rPr>
          <w:rFonts w:ascii="Aptos" w:hAnsi="Aptos"/>
          <w:b w:val="0"/>
          <w:color w:val="000000"/>
          <w:sz w:val="21"/>
        </w:rPr>
        <w:t>It cannot be determined how AI Act obligations interact with GDPR regarding the processing of biometric and health data, including classification as personal/special-category data, lawful bases under Articles 6 and 9, purpose limitation, further processing for model improvement, automated decision-making obligations, or whether AI Act compliance supplies a GDPR lawful basis, as the evidence does not address this interaction.</w:t>
      </w:r>
    </w:p>
    <w:p>
      <w:pPr>
        <w:pStyle w:val="Heading2"/>
        <w:spacing w:after="60" w:line="269" w:lineRule="auto"/>
      </w:pPr>
      <w:r>
        <w:rPr>
          <w:rFonts w:ascii="Aptos" w:hAnsi="Aptos"/>
          <w:b w:val="0"/>
          <w:color w:val="000000"/>
          <w:sz w:val="21"/>
        </w:rPr>
        <w:t>Tensions Between AI Act and GDPR</w:t>
      </w:r>
    </w:p>
    <w:p>
      <w:pPr>
        <w:spacing w:after="120" w:line="269" w:lineRule="auto"/>
      </w:pPr>
      <w:r>
        <w:rPr>
          <w:rFonts w:ascii="Aptos" w:hAnsi="Aptos"/>
          <w:b w:val="0"/>
          <w:color w:val="000000"/>
          <w:sz w:val="21"/>
        </w:rPr>
        <w:t>It cannot be determined whether there are apparent tensions, overlapping duties, or situations where compliance with one regime does not establish compliance with the other, as the evidence contains no information on the AI Act, GDPR, or their intersection.</w:t>
      </w:r>
    </w:p>
    <w:p>
      <w:pPr>
        <w:pStyle w:val="Heading2"/>
        <w:spacing w:after="60" w:line="269" w:lineRule="auto"/>
      </w:pPr>
      <w:r>
        <w:rPr>
          <w:rFonts w:ascii="Aptos" w:hAnsi="Aptos"/>
          <w:b w:val="0"/>
          <w:color w:val="000000"/>
          <w:sz w:val="21"/>
        </w:rPr>
        <w:t>Post-Deployment Responsibilities for Performance Degradation</w:t>
      </w:r>
    </w:p>
    <w:p>
      <w:pPr>
        <w:spacing w:after="120" w:line="269" w:lineRule="auto"/>
      </w:pPr>
      <w:r>
        <w:rPr>
          <w:rFonts w:ascii="Aptos" w:hAnsi="Aptos"/>
          <w:b w:val="0"/>
          <w:color w:val="000000"/>
          <w:sz w:val="21"/>
        </w:rPr>
        <w:t>It cannot be determined what sequence of legal responsibilities would follow for the distributor, importer, provider/manufacturer, and deployer upon discovery of a material increase in false-negative rate for a patient subgroup, including monitoring, corrective action, notification, withdrawal/recall, or serious-incident obligations, as the evidence lacks specific provisions on such scenarios under the AI Act.</w:t>
      </w:r>
    </w:p>
    <w:p>
      <w:pPr>
        <w:pStyle w:val="Heading1"/>
        <w:spacing w:before="240" w:after="100"/>
      </w:pPr>
      <w:r>
        <w:rPr>
          <w:rFonts w:ascii="Aptos" w:hAnsi="Aptos"/>
          <w:b/>
          <w:color w:val="000000"/>
          <w:sz w:val="28"/>
        </w:rPr>
        <w:t>Trace and limitations</w:t>
      </w:r>
    </w:p>
    <w:p>
      <w:pPr>
        <w:spacing w:after="120" w:line="269" w:lineRule="auto"/>
      </w:pPr>
      <w:r>
        <w:rPr>
          <w:rFonts w:ascii="Aptos" w:hAnsi="Aptos"/>
          <w:b w:val="0"/>
          <w:color w:val="000000"/>
          <w:sz w:val="21"/>
        </w:rPr>
        <w:t>Model: NVIDIA Nemotron Super. Total wall time: 521.75 seconds. The run returned 0 failed leaves and 0 retrieval errors.</w:t>
      </w:r>
    </w:p>
    <w:p>
      <w:pPr>
        <w:spacing w:after="120" w:line="269" w:lineRule="auto"/>
      </w:pPr>
      <w:r>
        <w:rPr>
          <w:rFonts w:ascii="Aptos" w:hAnsi="Aptos"/>
          <w:b w:val="0"/>
          <w:color w:val="000000"/>
          <w:sz w:val="21"/>
        </w:rPr>
        <w:t>Provenance is carried through the evidence IDs retained in each leaf answer. This briefing condenses those IDs and source excerpts for readability; the full machine-readable trace remains in the corresponding JSON run artifact and reasoning log.</w:t>
      </w:r>
    </w:p>
    <w:p>
      <w:pPr>
        <w:spacing w:after="120" w:line="269" w:lineRule="auto"/>
      </w:pPr>
      <w:r>
        <w:rPr>
          <w:rFonts w:ascii="Aptos" w:hAnsi="Aptos"/>
          <w:b w:val="0"/>
          <w:color w:val="000000"/>
          <w:sz w:val="21"/>
        </w:rPr>
        <w:t>The organized wording separated the scenario into seven explicit legal issues. It retrieved a substantive obligations answer for one issue, while correctly marking several unresolved issues as insufficiently supported rather than asserting unsupported conclusions.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Jurisynth smoke-test briefing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