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480"/>
        <w:jc w:val="center"/>
      </w:pPr>
      <w:r>
        <w:rPr>
          <w:rFonts w:ascii="Calibri" w:hAnsi="Calibri"/>
          <w:b/>
          <w:color w:val="2E7D32"/>
          <w:sz w:val="22"/>
        </w:rPr>
        <w:t>CAHIER DE CHARGES DÉTAILLÉ</w:t>
      </w:r>
    </w:p>
    <w:p>
      <w:pPr>
        <w:jc w:val="center"/>
        <w:pBdr>
          <w:bottom w:val="single" w:sz="18" w:space="4" w:color="2E7D32"/>
        </w:pBdr>
      </w:pPr>
    </w:p>
    <w:p>
      <w:pPr>
        <w:spacing w:after="160" w:before="480"/>
        <w:jc w:val="center"/>
      </w:pPr>
      <w:r>
        <w:rPr>
          <w:rFonts w:ascii="Calibri" w:hAnsi="Calibri"/>
          <w:b/>
          <w:color w:val="0A2A1A"/>
          <w:sz w:val="80"/>
        </w:rPr>
        <w:t>ECO-SURVEILLANCE MALI</w:t>
      </w:r>
    </w:p>
    <w:p>
      <w:pPr>
        <w:spacing w:after="120"/>
        <w:jc w:val="center"/>
      </w:pPr>
      <w:r>
        <w:rPr>
          <w:i/>
          <w:color w:val="1B5E20"/>
          <w:sz w:val="28"/>
        </w:rPr>
        <w:t>Plateforme nationale de surveillance environnementale</w:t>
      </w:r>
    </w:p>
    <w:p>
      <w:pPr>
        <w:spacing w:after="480"/>
        <w:jc w:val="center"/>
      </w:pPr>
      <w:r>
        <w:rPr>
          <w:color w:val="507060"/>
          <w:sz w:val="24"/>
        </w:rPr>
        <w:t>Spécifications techniques — Prototype MVP</w:t>
      </w:r>
    </w:p>
    <w:p>
      <w:pPr>
        <w:jc w:val="center"/>
        <w:pBdr>
          <w:bottom w:val="single" w:sz="18" w:space="4" w:color="2E7D32"/>
        </w:pBdr>
      </w:pPr>
    </w:p>
    <w:p/>
    <w:p/>
    <w:tbl>
      <w:tblPr>
        <w:tblW w:type="auto" w:w="0"/>
        <w:jc w:val="center"/>
        <w:tblLayout w:type="fixed"/>
        <w:tblLook w:firstColumn="1" w:firstRow="1" w:lastColumn="0" w:lastRow="0" w:noHBand="0" w:noVBand="1" w:val="04A0"/>
      </w:tblPr>
      <w:tblGrid>
        <w:gridCol w:w="4703"/>
        <w:gridCol w:w="4703"/>
      </w:tblGrid>
      <w:tr>
        <w:tc>
          <w:tcPr>
            <w:tcW w:type="dxa" w:w="3118"/>
            <w:shd w:val="clear" w:color="auto" w:fill="F1F8E9"/>
            <w:tcBorders>
              <w:top w:val="single" w:sz="4" w:color="2E7D32"/>
              <w:left w:val="single" w:sz="4" w:color="2E7D32"/>
              <w:bottom w:val="single" w:sz="4" w:color="2E7D32"/>
              <w:right w:val="single" w:sz="4" w:color="2E7D32"/>
            </w:tcBorders>
            <w:vAlign w:val="center"/>
          </w:tcPr>
          <w:p>
            <w:pPr>
              <w:jc w:val="right"/>
            </w:pPr>
            <w:r/>
            <w:r>
              <w:rPr>
                <w:b/>
                <w:color w:val="0A2A1A"/>
                <w:sz w:val="21"/>
              </w:rPr>
              <w:t>Document</w:t>
            </w:r>
          </w:p>
        </w:tc>
        <w:tc>
          <w:tcPr>
            <w:tcW w:type="dxa" w:w="5386"/>
            <w:shd w:val="clear" w:color="auto" w:fill="FFFFFF"/>
            <w:tcBorders>
              <w:top w:val="single" w:sz="4" w:color="2E7D32"/>
              <w:left w:val="single" w:sz="4" w:color="2E7D32"/>
              <w:bottom w:val="single" w:sz="4" w:color="2E7D32"/>
              <w:right w:val="single" w:sz="4" w:color="2E7D32"/>
            </w:tcBorders>
            <w:vAlign w:val="center"/>
          </w:tcPr>
          <w:p>
            <w:pPr>
              <w:jc w:val="left"/>
            </w:pPr>
            <w:r/>
            <w:r>
              <w:rPr>
                <w:color w:val="182820"/>
                <w:sz w:val="21"/>
              </w:rPr>
              <w:t>Cahier de charges — v1.0</w:t>
            </w:r>
          </w:p>
        </w:tc>
      </w:tr>
      <w:tr>
        <w:tc>
          <w:tcPr>
            <w:tcW w:type="dxa" w:w="3118"/>
            <w:shd w:val="clear" w:color="auto" w:fill="F1F8E9"/>
            <w:tcBorders>
              <w:top w:val="single" w:sz="4" w:color="2E7D32"/>
              <w:left w:val="single" w:sz="4" w:color="2E7D32"/>
              <w:bottom w:val="single" w:sz="4" w:color="2E7D32"/>
              <w:right w:val="single" w:sz="4" w:color="2E7D32"/>
            </w:tcBorders>
            <w:vAlign w:val="center"/>
          </w:tcPr>
          <w:p>
            <w:pPr>
              <w:jc w:val="right"/>
            </w:pPr>
            <w:r/>
            <w:r>
              <w:rPr>
                <w:b/>
                <w:color w:val="0A2A1A"/>
                <w:sz w:val="21"/>
              </w:rPr>
              <w:t>Type de document</w:t>
            </w:r>
          </w:p>
        </w:tc>
        <w:tc>
          <w:tcPr>
            <w:tcW w:type="dxa" w:w="5386"/>
            <w:shd w:val="clear" w:color="auto" w:fill="FFFFFF"/>
            <w:tcBorders>
              <w:top w:val="single" w:sz="4" w:color="2E7D32"/>
              <w:left w:val="single" w:sz="4" w:color="2E7D32"/>
              <w:bottom w:val="single" w:sz="4" w:color="2E7D32"/>
              <w:right w:val="single" w:sz="4" w:color="2E7D32"/>
            </w:tcBorders>
            <w:vAlign w:val="center"/>
          </w:tcPr>
          <w:p>
            <w:pPr>
              <w:jc w:val="left"/>
            </w:pPr>
            <w:r/>
            <w:r>
              <w:rPr>
                <w:color w:val="182820"/>
                <w:sz w:val="21"/>
              </w:rPr>
              <w:t>Spécifications techniques détaillées</w:t>
            </w:r>
          </w:p>
        </w:tc>
      </w:tr>
      <w:tr>
        <w:tc>
          <w:tcPr>
            <w:tcW w:type="dxa" w:w="3118"/>
            <w:shd w:val="clear" w:color="auto" w:fill="F1F8E9"/>
            <w:tcBorders>
              <w:top w:val="single" w:sz="4" w:color="2E7D32"/>
              <w:left w:val="single" w:sz="4" w:color="2E7D32"/>
              <w:bottom w:val="single" w:sz="4" w:color="2E7D32"/>
              <w:right w:val="single" w:sz="4" w:color="2E7D32"/>
            </w:tcBorders>
            <w:vAlign w:val="center"/>
          </w:tcPr>
          <w:p>
            <w:pPr>
              <w:jc w:val="right"/>
            </w:pPr>
            <w:r/>
            <w:r>
              <w:rPr>
                <w:b/>
                <w:color w:val="0A2A1A"/>
                <w:sz w:val="21"/>
              </w:rPr>
              <w:t>Mode d'écriture</w:t>
            </w:r>
          </w:p>
        </w:tc>
        <w:tc>
          <w:tcPr>
            <w:tcW w:type="dxa" w:w="5386"/>
            <w:shd w:val="clear" w:color="auto" w:fill="FFFFFF"/>
            <w:tcBorders>
              <w:top w:val="single" w:sz="4" w:color="2E7D32"/>
              <w:left w:val="single" w:sz="4" w:color="2E7D32"/>
              <w:bottom w:val="single" w:sz="4" w:color="2E7D32"/>
              <w:right w:val="single" w:sz="4" w:color="2E7D32"/>
            </w:tcBorders>
            <w:vAlign w:val="center"/>
          </w:tcPr>
          <w:p>
            <w:pPr>
              <w:jc w:val="left"/>
            </w:pPr>
            <w:r/>
            <w:r>
              <w:rPr>
                <w:color w:val="182820"/>
                <w:sz w:val="21"/>
              </w:rPr>
              <w:t>Recherche approfondie (In-Depth Research)</w:t>
            </w:r>
          </w:p>
        </w:tc>
      </w:tr>
      <w:tr>
        <w:tc>
          <w:tcPr>
            <w:tcW w:type="dxa" w:w="3118"/>
            <w:shd w:val="clear" w:color="auto" w:fill="F1F8E9"/>
            <w:tcBorders>
              <w:top w:val="single" w:sz="4" w:color="2E7D32"/>
              <w:left w:val="single" w:sz="4" w:color="2E7D32"/>
              <w:bottom w:val="single" w:sz="4" w:color="2E7D32"/>
              <w:right w:val="single" w:sz="4" w:color="2E7D32"/>
            </w:tcBorders>
            <w:vAlign w:val="center"/>
          </w:tcPr>
          <w:p>
            <w:pPr>
              <w:jc w:val="right"/>
            </w:pPr>
            <w:r/>
            <w:r>
              <w:rPr>
                <w:b/>
                <w:color w:val="0A2A1A"/>
                <w:sz w:val="21"/>
              </w:rPr>
              <w:t>Date de rédaction</w:t>
            </w:r>
          </w:p>
        </w:tc>
        <w:tc>
          <w:tcPr>
            <w:tcW w:type="dxa" w:w="5386"/>
            <w:shd w:val="clear" w:color="auto" w:fill="FFFFFF"/>
            <w:tcBorders>
              <w:top w:val="single" w:sz="4" w:color="2E7D32"/>
              <w:left w:val="single" w:sz="4" w:color="2E7D32"/>
              <w:bottom w:val="single" w:sz="4" w:color="2E7D32"/>
              <w:right w:val="single" w:sz="4" w:color="2E7D32"/>
            </w:tcBorders>
            <w:vAlign w:val="center"/>
          </w:tcPr>
          <w:p>
            <w:pPr>
              <w:jc w:val="left"/>
            </w:pPr>
            <w:r/>
            <w:r>
              <w:rPr>
                <w:color w:val="182820"/>
                <w:sz w:val="21"/>
              </w:rPr>
              <w:t>17 août 2026</w:t>
            </w:r>
          </w:p>
        </w:tc>
      </w:tr>
      <w:tr>
        <w:tc>
          <w:tcPr>
            <w:tcW w:type="dxa" w:w="3118"/>
            <w:shd w:val="clear" w:color="auto" w:fill="F1F8E9"/>
            <w:tcBorders>
              <w:top w:val="single" w:sz="4" w:color="2E7D32"/>
              <w:left w:val="single" w:sz="4" w:color="2E7D32"/>
              <w:bottom w:val="single" w:sz="4" w:color="2E7D32"/>
              <w:right w:val="single" w:sz="4" w:color="2E7D32"/>
            </w:tcBorders>
            <w:vAlign w:val="center"/>
          </w:tcPr>
          <w:p>
            <w:pPr>
              <w:jc w:val="right"/>
            </w:pPr>
            <w:r/>
            <w:r>
              <w:rPr>
                <w:b/>
                <w:color w:val="0A2A1A"/>
                <w:sz w:val="21"/>
              </w:rPr>
              <w:t>Statut</w:t>
            </w:r>
          </w:p>
        </w:tc>
        <w:tc>
          <w:tcPr>
            <w:tcW w:type="dxa" w:w="5386"/>
            <w:shd w:val="clear" w:color="auto" w:fill="FFFFFF"/>
            <w:tcBorders>
              <w:top w:val="single" w:sz="4" w:color="2E7D32"/>
              <w:left w:val="single" w:sz="4" w:color="2E7D32"/>
              <w:bottom w:val="single" w:sz="4" w:color="2E7D32"/>
              <w:right w:val="single" w:sz="4" w:color="2E7D32"/>
            </w:tcBorders>
            <w:vAlign w:val="center"/>
          </w:tcPr>
          <w:p>
            <w:pPr>
              <w:jc w:val="left"/>
            </w:pPr>
            <w:r/>
            <w:r>
              <w:rPr>
                <w:color w:val="182820"/>
                <w:sz w:val="21"/>
              </w:rPr>
              <w:t>Validé pour conception du master prompt de construction</w:t>
            </w:r>
          </w:p>
        </w:tc>
      </w:tr>
    </w:tbl>
    <w:p/>
    <w:p/>
    <w:p/>
    <w:p>
      <w:pPr>
        <w:jc w:val="center"/>
      </w:pPr>
      <w:r>
        <w:rPr>
          <w:i/>
          <w:color w:val="606060"/>
          <w:sz w:val="18"/>
        </w:rPr>
        <w:t>Document technique confidentiel — Usage interne et partenaires</w:t>
      </w:r>
    </w:p>
    <w:p>
      <w:r>
        <w:br w:type="page"/>
      </w:r>
    </w:p>
    <w:p>
      <w:pPr>
        <w:spacing w:after="360"/>
        <w:jc w:val="center"/>
      </w:pPr>
      <w:r>
        <w:rPr>
          <w:b/>
          <w:color w:val="0A2A1A"/>
          <w:sz w:val="44"/>
        </w:rPr>
        <w:t>Table des matières</w:t>
      </w:r>
    </w:p>
    <w:p>
      <w:pPr>
        <w:spacing w:after="360"/>
        <w:jc w:val="center"/>
      </w:pPr>
      <w:r>
        <w:rPr>
          <w:i/>
          <w:color w:val="606060"/>
          <w:sz w:val="18"/>
        </w:rPr>
        <w:t>Astuce : pour mettre à jour la table des matières, cliquez avec le bouton droit dessus puis sélectionnez « Mettre à jour les champs ».</w:t>
      </w:r>
    </w:p>
    <w:p>
      <w:r>
        <w:fldChar w:fldCharType="begin"/>
        <w:instrText xml:space="preserve">TOC \o "1-3" \h \z \u</w:instrText>
        <w:fldChar w:fldCharType="separate"/>
        <w:t>Cliquez avec le bouton droit pour mettre à jour la table des matières.</w:t>
        <w:fldChar w:fldCharType="end"/>
      </w:r>
    </w:p>
    <w:p>
      <w:r>
        <w:br w:type="page"/>
      </w:r>
    </w:p>
    <w:p>
      <w:pPr>
        <w:pStyle w:val="Heading1"/>
      </w:pPr>
      <w:r>
        <w:t>Résumé exécutif</w:t>
      </w:r>
    </w:p>
    <w:p>
      <w:r>
        <w:t>Le présent cahier de charges décrit de façon consolidée et actionnable la plateforme ECO-SURVEILLANCE MALI, un système web national de surveillance environnementale dont l'objectif est de transformer des données hétérogènes — satellitaires, climatiques, atmosphériques et terrain — en une représentation exploitable du territoire malien. Le projet ne se limite pas à l'affichage de données : il met en œuvre un pipeline analytique complet allant des données brutes jusqu'à un Indice Environnemental de Zone (IEZ) historisé, en passant par la détection d'anomalies, l'évaluation des risques et la production d'alertes.</w:t>
      </w:r>
    </w:p>
    <w:p>
      <w:r>
        <w:t>La phase de recherche menée en août 2026 a confirmé que le projet est faisable avec un MVP solide construit majoritairement sur des données ouvertes et gratuites. Les sources identifiées — Sentinel-2, Sentinel-5P, NASA FIRMS, NASA POWER, ERA5, CHIRPS, OpenAQ, ainsi que l'API de Groq pour l'interprétation sémantique — couvrent l'ensemble du spectre environnemental visé. La dépendance à Google Earth Engine est volontairement traitée comme un accélérateur optionnel, et non comme une dépendance obligatoire, afin d'éviter d'ancrer le système dans une configuration commerciale payante imposée depuis avril 2026.</w:t>
      </w:r>
    </w:p>
    <w:p>
      <w:r>
        <w:t>L'architecture proposée repose sur un backend Django pur (Django ORM, Templates, PostgreSQL, PostGIS, Celery, Redis) couplé à un frontend Templates + Tailwind CSS + Leaflet/MapLibre + Chart.js. Cette approche monolithique volontaire permet d'accélérer le démarrage et de délivrer un prototype démontrable plus rapidement qu'une architecture API + React découplée. Les stations environnementales sont simulées dans le MVP afin de valider l'architecture IoT sans dépendre d'un déploiement terrain coûteux, tout en préservant une transition sans rupture vers de vrais capteurs physiques à moyen terme.</w:t>
      </w:r>
    </w:p>
    <w:p>
      <w:r>
        <w:t>Ce document spécifie, pour chaque module fonctionnel, ses responsabilités, ses sources de données, les calculs scientifiques attendus, l'articulation avec le moteur de risques, ainsi que la frontière stricte entre le réel (mesures satellitaires, climatiques, feux détectés) et le simulé (stations environnementales locales). Il formalise également la répartition entre les calculs scientifiques — délégués au moteur — et l'intelligence artificielle — déléguée à Groq — qui intervient uniquement comme couche d'interprétation, corrélation et recommandation.</w:t>
      </w:r>
    </w:p>
    <w:p>
      <w:r>
        <w:br w:type="page"/>
      </w:r>
    </w:p>
    <w:p>
      <w:pPr>
        <w:pStyle w:val="Heading1"/>
      </w:pPr>
      <w:r>
        <w:t>Contrôle documentaire</w:t>
      </w:r>
    </w:p>
    <w:p>
      <w:r>
        <w:t>Le présent tableau récapitule les informations de version et de gouvernance du document. Toute modification ultérieure doit être tracée ici avec un numéro de version incrémenté, la nature du changement et la date.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1B5E20"/>
          </w:tcPr>
          <w:p>
            <w:r/>
            <w:r>
              <w:rPr>
                <w:b/>
                <w:color w:val="FFFFFF"/>
                <w:sz w:val="20"/>
              </w:rPr>
              <w:t>Version</w:t>
            </w:r>
          </w:p>
        </w:tc>
        <w:tc>
          <w:tcPr>
            <w:tcW w:type="dxa" w:w="1881"/>
            <w:shd w:val="clear" w:color="auto" w:fill="1B5E20"/>
          </w:tcPr>
          <w:p>
            <w:r/>
            <w:r>
              <w:rPr>
                <w:b/>
                <w:color w:val="FFFFFF"/>
                <w:sz w:val="20"/>
              </w:rPr>
              <w:t>Date</w:t>
            </w:r>
          </w:p>
        </w:tc>
        <w:tc>
          <w:tcPr>
            <w:tcW w:type="dxa" w:w="1881"/>
            <w:shd w:val="clear" w:color="auto" w:fill="1B5E20"/>
          </w:tcPr>
          <w:p>
            <w:r/>
            <w:r>
              <w:rPr>
                <w:b/>
                <w:color w:val="FFFFFF"/>
                <w:sz w:val="20"/>
              </w:rPr>
              <w:t>Auteur</w:t>
            </w:r>
          </w:p>
        </w:tc>
        <w:tc>
          <w:tcPr>
            <w:tcW w:type="dxa" w:w="1881"/>
            <w:shd w:val="clear" w:color="auto" w:fill="1B5E20"/>
          </w:tcPr>
          <w:p>
            <w:r/>
            <w:r>
              <w:rPr>
                <w:b/>
                <w:color w:val="FFFFFF"/>
                <w:sz w:val="20"/>
              </w:rPr>
              <w:t>Révision</w:t>
            </w:r>
          </w:p>
        </w:tc>
        <w:tc>
          <w:tcPr>
            <w:tcW w:type="dxa" w:w="1881"/>
            <w:shd w:val="clear" w:color="auto" w:fill="1B5E20"/>
          </w:tcPr>
          <w:p>
            <w:r/>
            <w:r>
              <w:rPr>
                <w:b/>
                <w:color w:val="FFFFFF"/>
                <w:sz w:val="20"/>
              </w:rPr>
              <w:t>Statut</w:t>
            </w:r>
          </w:p>
        </w:tc>
      </w:tr>
      <w:tr>
        <w:tc>
          <w:tcPr>
            <w:tcW w:type="dxa" w:w="1881"/>
          </w:tcPr>
          <w:p>
            <w:r/>
            <w:r>
              <w:rPr>
                <w:sz w:val="20"/>
              </w:rPr>
              <w:t>0.1</w:t>
            </w:r>
          </w:p>
        </w:tc>
        <w:tc>
          <w:tcPr>
            <w:tcW w:type="dxa" w:w="1881"/>
          </w:tcPr>
          <w:p>
            <w:r/>
            <w:r>
              <w:rPr>
                <w:sz w:val="20"/>
              </w:rPr>
              <w:t>10/08/2026</w:t>
            </w:r>
          </w:p>
        </w:tc>
        <w:tc>
          <w:tcPr>
            <w:tcW w:type="dxa" w:w="1881"/>
          </w:tcPr>
          <w:p>
            <w:r/>
            <w:r>
              <w:rPr>
                <w:sz w:val="20"/>
              </w:rPr>
              <w:t>Équipe projet</w:t>
            </w:r>
          </w:p>
        </w:tc>
        <w:tc>
          <w:tcPr>
            <w:tcW w:type="dxa" w:w="1881"/>
          </w:tcPr>
          <w:p>
            <w:r/>
            <w:r>
              <w:rPr>
                <w:sz w:val="20"/>
              </w:rPr>
              <w:t>Brouillon initial</w:t>
            </w:r>
          </w:p>
        </w:tc>
        <w:tc>
          <w:tcPr>
            <w:tcW w:type="dxa" w:w="1881"/>
          </w:tcPr>
          <w:p>
            <w:r/>
            <w:r>
              <w:rPr>
                <w:sz w:val="20"/>
              </w:rPr>
              <w:t>Interne</w:t>
            </w:r>
          </w:p>
        </w:tc>
      </w:tr>
      <w:tr>
        <w:tc>
          <w:tcPr>
            <w:tcW w:type="dxa" w:w="1881"/>
            <w:shd w:val="clear" w:color="auto" w:fill="F1F8E9"/>
          </w:tcPr>
          <w:p>
            <w:r/>
            <w:r>
              <w:rPr>
                <w:sz w:val="20"/>
              </w:rPr>
              <w:t>0.5</w:t>
            </w:r>
          </w:p>
        </w:tc>
        <w:tc>
          <w:tcPr>
            <w:tcW w:type="dxa" w:w="1881"/>
            <w:shd w:val="clear" w:color="auto" w:fill="F1F8E9"/>
          </w:tcPr>
          <w:p>
            <w:r/>
            <w:r>
              <w:rPr>
                <w:sz w:val="20"/>
              </w:rPr>
              <w:t>14/08/2026</w:t>
            </w:r>
          </w:p>
        </w:tc>
        <w:tc>
          <w:tcPr>
            <w:tcW w:type="dxa" w:w="1881"/>
            <w:shd w:val="clear" w:color="auto" w:fill="F1F8E9"/>
          </w:tcPr>
          <w:p>
            <w:r/>
            <w:r>
              <w:rPr>
                <w:sz w:val="20"/>
              </w:rPr>
              <w:t>Équipe projet</w:t>
            </w:r>
          </w:p>
        </w:tc>
        <w:tc>
          <w:tcPr>
            <w:tcW w:type="dxa" w:w="1881"/>
            <w:shd w:val="clear" w:color="auto" w:fill="F1F8E9"/>
          </w:tcPr>
          <w:p>
            <w:r/>
            <w:r>
              <w:rPr>
                <w:sz w:val="20"/>
              </w:rPr>
              <w:t>Intégration des recherches de sources</w:t>
            </w:r>
          </w:p>
        </w:tc>
        <w:tc>
          <w:tcPr>
            <w:tcW w:type="dxa" w:w="1881"/>
            <w:shd w:val="clear" w:color="auto" w:fill="F1F8E9"/>
          </w:tcPr>
          <w:p>
            <w:r/>
            <w:r>
              <w:rPr>
                <w:sz w:val="20"/>
              </w:rPr>
              <w:t>Revue</w:t>
            </w:r>
          </w:p>
        </w:tc>
      </w:tr>
      <w:tr>
        <w:tc>
          <w:tcPr>
            <w:tcW w:type="dxa" w:w="1881"/>
          </w:tcPr>
          <w:p>
            <w:r/>
            <w:r>
              <w:rPr>
                <w:sz w:val="20"/>
              </w:rPr>
              <w:t>1.0</w:t>
            </w:r>
          </w:p>
        </w:tc>
        <w:tc>
          <w:tcPr>
            <w:tcW w:type="dxa" w:w="1881"/>
          </w:tcPr>
          <w:p>
            <w:r/>
            <w:r>
              <w:rPr>
                <w:sz w:val="20"/>
              </w:rPr>
              <w:t>17/08/2026</w:t>
            </w:r>
          </w:p>
        </w:tc>
        <w:tc>
          <w:tcPr>
            <w:tcW w:type="dxa" w:w="1881"/>
          </w:tcPr>
          <w:p>
            <w:r/>
            <w:r>
              <w:rPr>
                <w:sz w:val="20"/>
              </w:rPr>
              <w:t>Équipe projet</w:t>
            </w:r>
          </w:p>
        </w:tc>
        <w:tc>
          <w:tcPr>
            <w:tcW w:type="dxa" w:w="1881"/>
          </w:tcPr>
          <w:p>
            <w:r/>
            <w:r>
              <w:rPr>
                <w:sz w:val="20"/>
              </w:rPr>
              <w:t>Consolidation finale pour conception</w:t>
            </w:r>
          </w:p>
        </w:tc>
        <w:tc>
          <w:tcPr>
            <w:tcW w:type="dxa" w:w="1881"/>
          </w:tcPr>
          <w:p>
            <w:r/>
            <w:r>
              <w:rPr>
                <w:sz w:val="20"/>
              </w:rPr>
              <w:t>Validé</w:t>
            </w:r>
          </w:p>
        </w:tc>
      </w:tr>
    </w:tbl>
    <w:p/>
    <w:p>
      <w:r>
        <w:br w:type="page"/>
      </w:r>
    </w:p>
    <w:p>
      <w:pPr>
        <w:pStyle w:val="Heading1"/>
      </w:pPr>
      <w:r>
        <w:t>1. Introduction et vision du projet</w:t>
      </w:r>
    </w:p>
    <w:p>
      <w:pPr>
        <w:pStyle w:val="Heading2"/>
      </w:pPr>
      <w:r>
        <w:t>1.1 Hook et pertinence</w:t>
      </w:r>
    </w:p>
    <w:p>
      <w:r>
        <w:t>Le Mali fait face à des pressions environnementales multiples et structurelles : avancée désertique au nord, pression agricole au sud, incendies de brousse récurrents, variabilité pluviométrique accrue, et vulnérabilité des ressources en eau. Jusqu'à présent, l'accès à une vision consolidée et opérationnelle de ces phénomènes reste limité, fragmenté entre plusieurs institutions et formats hétérogènes. ECO-SURVEILLANCE MALI propose de centraliser ces sources dans une plateforme unique, capable de produire une lecture environnementale du territoire en quasi-temps réel, historisée et comparable.</w:t>
      </w:r>
    </w:p>
    <w:p>
      <w:r>
        <w:t>La pertinence du projet repose sur un fait concret : la plupart des données environnementales nécessaires — satellites Sentinel, données climatiques NASA POWER, précipitations CHIRPS, détection d'incendies NASA FIRMS, qualité de l'air OpenAQ — sont disponibles gratuitement ou à coût marginal. La difficulté n'est donc pas l'acquisition, mais la transformation de ces données en indicateurs actionnables, en détections d'anomalies, en évaluations de risques et en alertes exploitables par les décideurs.</w:t>
      </w:r>
    </w:p>
    <w:p>
      <w:pPr>
        <w:pStyle w:val="Heading2"/>
      </w:pPr>
      <w:r>
        <w:t>1.2 Thèse du document</w:t>
      </w:r>
    </w:p>
    <w:p>
      <w:r>
        <w:t>Ce cahier de charges soutient la thèse suivante : il est possible, dès la phase MVP, de construire un système national de surveillance environnementale fonctionnel et démontrable en s'appuyant principalement sur des données ouvertes, un moteur scientifique déterministe pour les calculs, et une IA (Groq) strictement cantonnée à l'interprétation. Le système doit livrer un tableau de bord national, une carte interactive, des modules analytiques (feux, végétation, climat, atmosphère, eau, stations), un moteur de risques à quatre niveaux et un Indice Environnemental de Zone historisé.</w:t>
      </w:r>
    </w:p>
    <w:p>
      <w:pPr>
        <w:pStyle w:val="Heading2"/>
      </w:pPr>
      <w:r>
        <w:t>1.3 Vision consolidée</w:t>
      </w:r>
    </w:p>
    <w:p>
      <w:r>
        <w:t>ECO-SURVEILLANCE MALI est une plateforme web de surveillance environnementale du Mali conçue pour centraliser plusieurs sources de données — observation satellitaire, détection des incendies, végétation et occupation des sols, ressources en eau, données climatiques et météorologiques, qualité et anomalies atmosphériques, stations environnementales, intelligence artificielle et données géospatiales. L'objectif n'est pas simplement d'afficher des données, mais de transformer le pipeline suivant :</w:t>
      </w:r>
    </w:p>
    <w:p>
      <w:pPr>
        <w:spacing w:before="160" w:after="240"/>
        <w:jc w:val="center"/>
        <w:shd w:val="clear" w:color="auto" w:fill="F1F8E9"/>
      </w:pPr>
      <w:r>
        <w:rPr>
          <w:b/>
          <w:color w:val="1B5E20"/>
          <w:sz w:val="22"/>
        </w:rPr>
        <w:t>données  →  indicateurs  →  anomalies  →  risques  →  incidents  →  alertes  →  indice environnemental</w:t>
      </w:r>
    </w:p>
    <w:p>
      <w:pPr>
        <w:pStyle w:val="Heading1"/>
      </w:pPr>
      <w:r>
        <w:t>2. Contexte, enjeux et portée</w:t>
      </w:r>
    </w:p>
    <w:p>
      <w:pPr>
        <w:pStyle w:val="Heading2"/>
      </w:pPr>
      <w:r>
        <w:t>2.1 Définitions clés</w:t>
      </w:r>
    </w:p>
    <w:p>
      <w:r>
        <w:t>Avant toute spécification, il est nécessaire de fixer le vocabulaire utilisé dans la suite du document. La cohérence terminologique est un prérequis pour éviter les dérives sémantiques entre modules techniques et dialogue avec les parties prenantes institutionnelles.</w:t>
      </w:r>
    </w:p>
    <w:tbl>
      <w:tblPr>
        <w:tblStyle w:val="LightList-Accent1"/>
        <w:tblW w:type="auto" w:w="0"/>
        <w:tblLook w:firstColumn="1" w:firstRow="1" w:lastColumn="0" w:lastRow="0" w:noHBand="0" w:noVBand="1" w:val="04A0"/>
      </w:tblPr>
      <w:tblGrid>
        <w:gridCol w:w="4703"/>
        <w:gridCol w:w="4703"/>
      </w:tblGrid>
      <w:tr>
        <w:tc>
          <w:tcPr>
            <w:tcW w:type="dxa" w:w="4703"/>
            <w:shd w:val="clear" w:color="auto" w:fill="1B5E20"/>
          </w:tcPr>
          <w:p>
            <w:r/>
            <w:r>
              <w:rPr>
                <w:b/>
                <w:color w:val="FFFFFF"/>
                <w:sz w:val="20"/>
              </w:rPr>
              <w:t>Terme</w:t>
            </w:r>
          </w:p>
        </w:tc>
        <w:tc>
          <w:tcPr>
            <w:tcW w:type="dxa" w:w="4703"/>
            <w:shd w:val="clear" w:color="auto" w:fill="1B5E20"/>
          </w:tcPr>
          <w:p>
            <w:r/>
            <w:r>
              <w:rPr>
                <w:b/>
                <w:color w:val="FFFFFF"/>
                <w:sz w:val="20"/>
              </w:rPr>
              <w:t>Définition opérationnelle</w:t>
            </w:r>
          </w:p>
        </w:tc>
      </w:tr>
      <w:tr>
        <w:tc>
          <w:tcPr>
            <w:tcW w:type="dxa" w:w="4703"/>
          </w:tcPr>
          <w:p>
            <w:r/>
            <w:r>
              <w:rPr>
                <w:b/>
                <w:color w:val="0A2A1A"/>
                <w:sz w:val="20"/>
              </w:rPr>
              <w:t>Anomalie</w:t>
            </w:r>
          </w:p>
        </w:tc>
        <w:tc>
          <w:tcPr>
            <w:tcW w:type="dxa" w:w="4703"/>
          </w:tcPr>
          <w:p>
            <w:r/>
            <w:r>
              <w:rPr>
                <w:sz w:val="20"/>
              </w:rPr>
              <w:t>Écart statistique significatif entre une mesure courante et une référence historique ou climatologique, détecté par le moteur scientifique.</w:t>
            </w:r>
          </w:p>
        </w:tc>
      </w:tr>
      <w:tr>
        <w:tc>
          <w:tcPr>
            <w:tcW w:type="dxa" w:w="4703"/>
            <w:shd w:val="clear" w:color="auto" w:fill="F1F8E9"/>
          </w:tcPr>
          <w:p>
            <w:r/>
            <w:r>
              <w:rPr>
                <w:b/>
                <w:color w:val="0A2A1A"/>
                <w:sz w:val="20"/>
              </w:rPr>
              <w:t>Risque</w:t>
            </w:r>
          </w:p>
        </w:tc>
        <w:tc>
          <w:tcPr>
            <w:tcW w:type="dxa" w:w="4703"/>
            <w:shd w:val="clear" w:color="auto" w:fill="F1F8E9"/>
          </w:tcPr>
          <w:p>
            <w:r/>
            <w:r>
              <w:rPr>
                <w:sz w:val="20"/>
              </w:rPr>
              <w:t>Évaluation combinant une ou plusieurs anomalies avec une vulnérabilité de zone pour produire un niveau ordinal (Normal, Vigilance, Risque élevé, Danger critique).</w:t>
            </w:r>
          </w:p>
        </w:tc>
      </w:tr>
      <w:tr>
        <w:tc>
          <w:tcPr>
            <w:tcW w:type="dxa" w:w="4703"/>
          </w:tcPr>
          <w:p>
            <w:r/>
            <w:r>
              <w:rPr>
                <w:b/>
                <w:color w:val="0A2A1A"/>
                <w:sz w:val="20"/>
              </w:rPr>
              <w:t>Incident</w:t>
            </w:r>
          </w:p>
        </w:tc>
        <w:tc>
          <w:tcPr>
            <w:tcW w:type="dxa" w:w="4703"/>
          </w:tcPr>
          <w:p>
            <w:r/>
            <w:r>
              <w:rPr>
                <w:sz w:val="20"/>
              </w:rPr>
              <w:t>Événement environnemental daté et localisé, ouvert par le Risk Engine, éventuellement corroboré par l'IA, et traqué jusqu'à clôture.</w:t>
            </w:r>
          </w:p>
        </w:tc>
      </w:tr>
      <w:tr>
        <w:tc>
          <w:tcPr>
            <w:tcW w:type="dxa" w:w="4703"/>
            <w:shd w:val="clear" w:color="auto" w:fill="F1F8E9"/>
          </w:tcPr>
          <w:p>
            <w:r/>
            <w:r>
              <w:rPr>
                <w:b/>
                <w:color w:val="0A2A1A"/>
                <w:sz w:val="20"/>
              </w:rPr>
              <w:t>IEZ</w:t>
            </w:r>
          </w:p>
        </w:tc>
        <w:tc>
          <w:tcPr>
            <w:tcW w:type="dxa" w:w="4703"/>
            <w:shd w:val="clear" w:color="auto" w:fill="F1F8E9"/>
          </w:tcPr>
          <w:p>
            <w:r/>
            <w:r>
              <w:rPr>
                <w:sz w:val="20"/>
              </w:rPr>
              <w:t>Indice Environnemental de Zone. Score composite 0–100 représentant l'état environnemental d'une zone donnée, calculé sur une période et historisé.</w:t>
            </w:r>
          </w:p>
        </w:tc>
      </w:tr>
      <w:tr>
        <w:tc>
          <w:tcPr>
            <w:tcW w:type="dxa" w:w="4703"/>
          </w:tcPr>
          <w:p>
            <w:r/>
            <w:r>
              <w:rPr>
                <w:b/>
                <w:color w:val="0A2A1A"/>
                <w:sz w:val="20"/>
              </w:rPr>
              <w:t>Risk Score</w:t>
            </w:r>
          </w:p>
        </w:tc>
        <w:tc>
          <w:tcPr>
            <w:tcW w:type="dxa" w:w="4703"/>
          </w:tcPr>
          <w:p>
            <w:r/>
            <w:r>
              <w:rPr>
                <w:sz w:val="20"/>
              </w:rPr>
              <w:t>Score numérique quantifiant la gravité estimée d'un incident ou d'une zone (à distinguer du Confidence Score qui mesure la certitude).</w:t>
            </w:r>
          </w:p>
        </w:tc>
      </w:tr>
      <w:tr>
        <w:tc>
          <w:tcPr>
            <w:tcW w:type="dxa" w:w="4703"/>
            <w:shd w:val="clear" w:color="auto" w:fill="F1F8E9"/>
          </w:tcPr>
          <w:p>
            <w:r/>
            <w:r>
              <w:rPr>
                <w:b/>
                <w:color w:val="0A2A1A"/>
                <w:sz w:val="20"/>
              </w:rPr>
              <w:t>Confidence Score</w:t>
            </w:r>
          </w:p>
        </w:tc>
        <w:tc>
          <w:tcPr>
            <w:tcW w:type="dxa" w:w="4703"/>
            <w:shd w:val="clear" w:color="auto" w:fill="F1F8E9"/>
          </w:tcPr>
          <w:p>
            <w:r/>
            <w:r>
              <w:rPr>
                <w:sz w:val="20"/>
              </w:rPr>
              <w:t>Score numérique quantifiant la confiance dans une détection, basé sur la qualité des sources et la convergence des signaux.</w:t>
            </w:r>
          </w:p>
        </w:tc>
      </w:tr>
      <w:tr>
        <w:tc>
          <w:tcPr>
            <w:tcW w:type="dxa" w:w="4703"/>
          </w:tcPr>
          <w:p>
            <w:r/>
            <w:r>
              <w:rPr>
                <w:b/>
                <w:color w:val="0A2A1A"/>
                <w:sz w:val="20"/>
              </w:rPr>
              <w:t>Station simulée</w:t>
            </w:r>
          </w:p>
        </w:tc>
        <w:tc>
          <w:tcPr>
            <w:tcW w:type="dxa" w:w="4703"/>
          </w:tcPr>
          <w:p>
            <w:r/>
            <w:r>
              <w:rPr>
                <w:sz w:val="20"/>
              </w:rPr>
              <w:t>Station environnementale virtuelle émettant des mesures réalistes via un générateur déterministe, utilisée tant qu'aucun capteur physique n'est déployé.</w:t>
            </w:r>
          </w:p>
        </w:tc>
      </w:tr>
    </w:tbl>
    <w:p>
      <w:pPr>
        <w:pStyle w:val="Heading2"/>
      </w:pPr>
      <w:r>
        <w:t>2.2 Enjeux environnementaux maliens</w:t>
      </w:r>
    </w:p>
    <w:p>
      <w:r>
        <w:t>Le territoire malien présente des caractéristiques qui justifient pleinement l'orientation de la plateforme. La composante sahélienne au nord expose le pays à une variabilité pluviométrique forte, avec des séquences de sécheresse à impact agricole direct. La bande agropastorale centrale subit des feux de brousse récurrents qui dégradent les sols et participent à la perte de couverture végétale. Le sud du pays, plus arrosé, voit ses ressources en eau soumises à des pressions croissantes liées à l'irrigation, à l'urbanisation et aux activités extractives. La surveillance atmosphérique reste lacunaire malgré l'existence de sources satellitaires comme Sentinel-5P.</w:t>
      </w:r>
    </w:p>
    <w:p>
      <w:r>
        <w:t>Ces enjeux ne sont pas indépendants : une baisse pluviométrique anormale, conjuguée à une hausse de température et à un NDVI en recul, peut indiquer une dégradation végétative qui elle-même préfigure un risque d'incendie accru. C'est précisément la capacité de la plateforme à corréler ces signaux qui en fait la valeur, plutôt que la présentation séparée de chaque source.</w:t>
      </w:r>
    </w:p>
    <w:p>
      <w:pPr>
        <w:pStyle w:val="Heading2"/>
      </w:pPr>
      <w:r>
        <w:t>2.3 Portée et limites de la phase MVP</w:t>
      </w:r>
    </w:p>
    <w:p>
      <w:r>
        <w:t>La portée du MVP est volontairement délimitée pour garantir une démonstration probante sans dispersion de l'effort. Le système couvre l'ensemble du territoire malien à l'échelle communale, exploite les sources ouvertes identifiées, simule les stations terrain et expose un tableau de bord national avec carte interactive. Hors portée : l'application mobile, les vrais capteurs physiques, l'infrastructure IoT réelle, les modèles ML complexes, l'architecture microservices, Kubernetes, et tout déploiement institutionnel complet. Ces éléments sont reportés à des phases ultérieures afin de préserver un noyau solide, livrable et démontrable.</w:t>
      </w:r>
    </w:p>
    <w:p>
      <w:pPr>
        <w:pStyle w:val="Heading1"/>
      </w:pPr>
      <w:r>
        <w:t>3. Objectifs et critères de succès du MVP</w:t>
      </w:r>
    </w:p>
    <w:p>
      <w:pPr>
        <w:pStyle w:val="Heading2"/>
      </w:pPr>
      <w:r>
        <w:t>3.1 Objectifs généraux</w:t>
      </w:r>
    </w:p>
    <w:p>
      <w:r>
        <w:t>Le projet vise trois objectifs généraux, hiérarchisés de manière à guider les arbitrages techniques. Premièrement, centraliser les sources environnementales pertinentes pour le Mali au sein d'une plateforme unique et cohérente, avec une tracabilité claire des données et de leur couverture. Deuxièmement, transformer ces données en indicateurs scientifiquement défendables et en détections d'anomalies, sans jamais présenter une mesure incertaine comme une valeur exacte. Troisièmement, produire une vision opérationnelle du territoire — incidents, alertes, IEZ — utilisable par des décideurs non nécessairement experts des données satellites.</w:t>
      </w:r>
    </w:p>
    <w:p>
      <w:pPr>
        <w:pStyle w:val="Heading2"/>
      </w:pPr>
      <w:r>
        <w:t>3.2 Critères de succès du MVP</w:t>
      </w:r>
    </w:p>
    <w:p>
      <w:r>
        <w:t>Le MVP sera considéré comme réussi si, à l'issue de la phase de prototype, il démontre simultanément les capacités suivantes, chacune associée à un critère mesurable :</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B5E20"/>
          </w:tcPr>
          <w:p>
            <w:r/>
            <w:r>
              <w:rPr>
                <w:b/>
                <w:color w:val="FFFFFF"/>
                <w:sz w:val="20"/>
              </w:rPr>
              <w:t>Capacité démontrée</w:t>
            </w:r>
          </w:p>
        </w:tc>
        <w:tc>
          <w:tcPr>
            <w:tcW w:type="dxa" w:w="3135"/>
            <w:shd w:val="clear" w:color="auto" w:fill="1B5E20"/>
          </w:tcPr>
          <w:p>
            <w:r/>
            <w:r>
              <w:rPr>
                <w:b/>
                <w:color w:val="FFFFFF"/>
                <w:sz w:val="20"/>
              </w:rPr>
              <w:t>Critère mesurable</w:t>
            </w:r>
          </w:p>
        </w:tc>
        <w:tc>
          <w:tcPr>
            <w:tcW w:type="dxa" w:w="3135"/>
            <w:shd w:val="clear" w:color="auto" w:fill="1B5E20"/>
          </w:tcPr>
          <w:p>
            <w:r/>
            <w:r>
              <w:rPr>
                <w:b/>
                <w:color w:val="FFFFFF"/>
                <w:sz w:val="20"/>
              </w:rPr>
              <w:t>Source de vérité</w:t>
            </w:r>
          </w:p>
        </w:tc>
      </w:tr>
      <w:tr>
        <w:tc>
          <w:tcPr>
            <w:tcW w:type="dxa" w:w="3135"/>
          </w:tcPr>
          <w:p>
            <w:r/>
            <w:r>
              <w:rPr>
                <w:b/>
                <w:color w:val="0A2A1A"/>
                <w:sz w:val="20"/>
              </w:rPr>
              <w:t>Dashboard national</w:t>
            </w:r>
          </w:p>
        </w:tc>
        <w:tc>
          <w:tcPr>
            <w:tcW w:type="dxa" w:w="3135"/>
          </w:tcPr>
          <w:p>
            <w:r/>
            <w:r>
              <w:rPr>
                <w:sz w:val="20"/>
              </w:rPr>
              <w:t>Affiche l'état environnemental consolidé du Mali</w:t>
            </w:r>
          </w:p>
        </w:tc>
        <w:tc>
          <w:tcPr>
            <w:tcW w:type="dxa" w:w="3135"/>
          </w:tcPr>
          <w:p>
            <w:r/>
            <w:r>
              <w:rPr>
                <w:sz w:val="20"/>
              </w:rPr>
              <w:t>Capture écran + démo live</w:t>
            </w:r>
          </w:p>
        </w:tc>
      </w:tr>
      <w:tr>
        <w:tc>
          <w:tcPr>
            <w:tcW w:type="dxa" w:w="3135"/>
            <w:shd w:val="clear" w:color="auto" w:fill="F1F8E9"/>
          </w:tcPr>
          <w:p>
            <w:r/>
            <w:r>
              <w:rPr>
                <w:b/>
                <w:color w:val="0A2A1A"/>
                <w:sz w:val="20"/>
              </w:rPr>
              <w:t>Carte interactive</w:t>
            </w:r>
          </w:p>
        </w:tc>
        <w:tc>
          <w:tcPr>
            <w:tcW w:type="dxa" w:w="3135"/>
            <w:shd w:val="clear" w:color="auto" w:fill="F1F8E9"/>
          </w:tcPr>
          <w:p>
            <w:r/>
            <w:r>
              <w:rPr>
                <w:sz w:val="20"/>
              </w:rPr>
              <w:t>Présente zones + données + incidents avec zoom</w:t>
            </w:r>
          </w:p>
        </w:tc>
        <w:tc>
          <w:tcPr>
            <w:tcW w:type="dxa" w:w="3135"/>
            <w:shd w:val="clear" w:color="auto" w:fill="F1F8E9"/>
          </w:tcPr>
          <w:p>
            <w:r/>
            <w:r>
              <w:rPr>
                <w:sz w:val="20"/>
              </w:rPr>
              <w:t>Démo live</w:t>
            </w:r>
          </w:p>
        </w:tc>
      </w:tr>
      <w:tr>
        <w:tc>
          <w:tcPr>
            <w:tcW w:type="dxa" w:w="3135"/>
          </w:tcPr>
          <w:p>
            <w:r/>
            <w:r>
              <w:rPr>
                <w:b/>
                <w:color w:val="0A2A1A"/>
                <w:sz w:val="20"/>
              </w:rPr>
              <w:t>Feux actifs</w:t>
            </w:r>
          </w:p>
        </w:tc>
        <w:tc>
          <w:tcPr>
            <w:tcW w:type="dxa" w:w="3135"/>
          </w:tcPr>
          <w:p>
            <w:r/>
            <w:r>
              <w:rPr>
                <w:sz w:val="20"/>
              </w:rPr>
              <w:t>Données NASA FIRMS réelles intégrées</w:t>
            </w:r>
          </w:p>
        </w:tc>
        <w:tc>
          <w:tcPr>
            <w:tcW w:type="dxa" w:w="3135"/>
          </w:tcPr>
          <w:p>
            <w:r/>
            <w:r>
              <w:rPr>
                <w:sz w:val="20"/>
              </w:rPr>
              <w:t>API FIRMS connectée</w:t>
            </w:r>
          </w:p>
        </w:tc>
      </w:tr>
      <w:tr>
        <w:tc>
          <w:tcPr>
            <w:tcW w:type="dxa" w:w="3135"/>
            <w:shd w:val="clear" w:color="auto" w:fill="F1F8E9"/>
          </w:tcPr>
          <w:p>
            <w:r/>
            <w:r>
              <w:rPr>
                <w:b/>
                <w:color w:val="0A2A1A"/>
                <w:sz w:val="20"/>
              </w:rPr>
              <w:t>Végétation</w:t>
            </w:r>
          </w:p>
        </w:tc>
        <w:tc>
          <w:tcPr>
            <w:tcW w:type="dxa" w:w="3135"/>
            <w:shd w:val="clear" w:color="auto" w:fill="F1F8E9"/>
          </w:tcPr>
          <w:p>
            <w:r/>
            <w:r>
              <w:rPr>
                <w:sz w:val="20"/>
              </w:rPr>
              <w:t>Calcul NDVI à partir de Sentinel-2</w:t>
            </w:r>
          </w:p>
        </w:tc>
        <w:tc>
          <w:tcPr>
            <w:tcW w:type="dxa" w:w="3135"/>
            <w:shd w:val="clear" w:color="auto" w:fill="F1F8E9"/>
          </w:tcPr>
          <w:p>
            <w:r/>
            <w:r>
              <w:rPr>
                <w:sz w:val="20"/>
              </w:rPr>
              <w:t>Image Sentinel + calcul</w:t>
            </w:r>
          </w:p>
        </w:tc>
      </w:tr>
      <w:tr>
        <w:tc>
          <w:tcPr>
            <w:tcW w:type="dxa" w:w="3135"/>
          </w:tcPr>
          <w:p>
            <w:r/>
            <w:r>
              <w:rPr>
                <w:b/>
                <w:color w:val="0A2A1A"/>
                <w:sz w:val="20"/>
              </w:rPr>
              <w:t>Climat</w:t>
            </w:r>
          </w:p>
        </w:tc>
        <w:tc>
          <w:tcPr>
            <w:tcW w:type="dxa" w:w="3135"/>
          </w:tcPr>
          <w:p>
            <w:r/>
            <w:r>
              <w:rPr>
                <w:sz w:val="20"/>
              </w:rPr>
              <w:t>NASA POWER + CHIRPS/ERA5 exploités</w:t>
            </w:r>
          </w:p>
        </w:tc>
        <w:tc>
          <w:tcPr>
            <w:tcW w:type="dxa" w:w="3135"/>
          </w:tcPr>
          <w:p>
            <w:r/>
            <w:r>
              <w:rPr>
                <w:sz w:val="20"/>
              </w:rPr>
              <w:t>Séries temporelles</w:t>
            </w:r>
          </w:p>
        </w:tc>
      </w:tr>
      <w:tr>
        <w:tc>
          <w:tcPr>
            <w:tcW w:type="dxa" w:w="3135"/>
            <w:shd w:val="clear" w:color="auto" w:fill="F1F8E9"/>
          </w:tcPr>
          <w:p>
            <w:r/>
            <w:r>
              <w:rPr>
                <w:b/>
                <w:color w:val="0A2A1A"/>
                <w:sz w:val="20"/>
              </w:rPr>
              <w:t>Atmosphère</w:t>
            </w:r>
          </w:p>
        </w:tc>
        <w:tc>
          <w:tcPr>
            <w:tcW w:type="dxa" w:w="3135"/>
            <w:shd w:val="clear" w:color="auto" w:fill="F1F8E9"/>
          </w:tcPr>
          <w:p>
            <w:r/>
            <w:r>
              <w:rPr>
                <w:sz w:val="20"/>
              </w:rPr>
              <w:t>Indicateurs Sentinel-5P (NO₂, SO₂, CO…)</w:t>
            </w:r>
          </w:p>
        </w:tc>
        <w:tc>
          <w:tcPr>
            <w:tcW w:type="dxa" w:w="3135"/>
            <w:shd w:val="clear" w:color="auto" w:fill="F1F8E9"/>
          </w:tcPr>
          <w:p>
            <w:r/>
            <w:r>
              <w:rPr>
                <w:sz w:val="20"/>
              </w:rPr>
              <w:t>Catalogue Sentinel-5P</w:t>
            </w:r>
          </w:p>
        </w:tc>
      </w:tr>
      <w:tr>
        <w:tc>
          <w:tcPr>
            <w:tcW w:type="dxa" w:w="3135"/>
          </w:tcPr>
          <w:p>
            <w:r/>
            <w:r>
              <w:rPr>
                <w:b/>
                <w:color w:val="0A2A1A"/>
                <w:sz w:val="20"/>
              </w:rPr>
              <w:t>Stations</w:t>
            </w:r>
          </w:p>
        </w:tc>
        <w:tc>
          <w:tcPr>
            <w:tcW w:type="dxa" w:w="3135"/>
          </w:tcPr>
          <w:p>
            <w:r/>
            <w:r>
              <w:rPr>
                <w:sz w:val="20"/>
              </w:rPr>
              <w:t>Au moins 5 stations simulées opérationnelles</w:t>
            </w:r>
          </w:p>
        </w:tc>
        <w:tc>
          <w:tcPr>
            <w:tcW w:type="dxa" w:w="3135"/>
          </w:tcPr>
          <w:p>
            <w:r/>
            <w:r>
              <w:rPr>
                <w:sz w:val="20"/>
              </w:rPr>
              <w:t>Console de simulation</w:t>
            </w:r>
          </w:p>
        </w:tc>
      </w:tr>
      <w:tr>
        <w:tc>
          <w:tcPr>
            <w:tcW w:type="dxa" w:w="3135"/>
            <w:shd w:val="clear" w:color="auto" w:fill="F1F8E9"/>
          </w:tcPr>
          <w:p>
            <w:r/>
            <w:r>
              <w:rPr>
                <w:b/>
                <w:color w:val="0A2A1A"/>
                <w:sz w:val="20"/>
              </w:rPr>
              <w:t>IA Groq</w:t>
            </w:r>
          </w:p>
        </w:tc>
        <w:tc>
          <w:tcPr>
            <w:tcW w:type="dxa" w:w="3135"/>
            <w:shd w:val="clear" w:color="auto" w:fill="F1F8E9"/>
          </w:tcPr>
          <w:p>
            <w:r/>
            <w:r>
              <w:rPr>
                <w:sz w:val="20"/>
              </w:rPr>
              <w:t>Au moins un scénario d'interprétation d'incident</w:t>
            </w:r>
          </w:p>
        </w:tc>
        <w:tc>
          <w:tcPr>
            <w:tcW w:type="dxa" w:w="3135"/>
            <w:shd w:val="clear" w:color="auto" w:fill="F1F8E9"/>
          </w:tcPr>
          <w:p>
            <w:r/>
            <w:r>
              <w:rPr>
                <w:sz w:val="20"/>
              </w:rPr>
              <w:t>Logs API Groq</w:t>
            </w:r>
          </w:p>
        </w:tc>
      </w:tr>
      <w:tr>
        <w:tc>
          <w:tcPr>
            <w:tcW w:type="dxa" w:w="3135"/>
          </w:tcPr>
          <w:p>
            <w:r/>
            <w:r>
              <w:rPr>
                <w:b/>
                <w:color w:val="0A2A1A"/>
                <w:sz w:val="20"/>
              </w:rPr>
              <w:t>Anomalies</w:t>
            </w:r>
          </w:p>
        </w:tc>
        <w:tc>
          <w:tcPr>
            <w:tcW w:type="dxa" w:w="3135"/>
          </w:tcPr>
          <w:p>
            <w:r/>
            <w:r>
              <w:rPr>
                <w:sz w:val="20"/>
              </w:rPr>
              <w:t>Détection automatique d'au moins un type d'anomalie</w:t>
            </w:r>
          </w:p>
        </w:tc>
        <w:tc>
          <w:tcPr>
            <w:tcW w:type="dxa" w:w="3135"/>
          </w:tcPr>
          <w:p>
            <w:r/>
            <w:r>
              <w:rPr>
                <w:sz w:val="20"/>
              </w:rPr>
              <w:t>Logs moteur</w:t>
            </w:r>
          </w:p>
        </w:tc>
      </w:tr>
      <w:tr>
        <w:tc>
          <w:tcPr>
            <w:tcW w:type="dxa" w:w="3135"/>
            <w:shd w:val="clear" w:color="auto" w:fill="F1F8E9"/>
          </w:tcPr>
          <w:p>
            <w:r/>
            <w:r>
              <w:rPr>
                <w:b/>
                <w:color w:val="0A2A1A"/>
                <w:sz w:val="20"/>
              </w:rPr>
              <w:t>Risques</w:t>
            </w:r>
          </w:p>
        </w:tc>
        <w:tc>
          <w:tcPr>
            <w:tcW w:type="dxa" w:w="3135"/>
            <w:shd w:val="clear" w:color="auto" w:fill="F1F8E9"/>
          </w:tcPr>
          <w:p>
            <w:r/>
            <w:r>
              <w:rPr>
                <w:sz w:val="20"/>
              </w:rPr>
              <w:t>Quatre niveaux 🟢🟡🟠🔴 attribuables</w:t>
            </w:r>
          </w:p>
        </w:tc>
        <w:tc>
          <w:tcPr>
            <w:tcW w:type="dxa" w:w="3135"/>
            <w:shd w:val="clear" w:color="auto" w:fill="F1F8E9"/>
          </w:tcPr>
          <w:p>
            <w:r/>
            <w:r>
              <w:rPr>
                <w:sz w:val="20"/>
              </w:rPr>
              <w:t>Carte des risques</w:t>
            </w:r>
          </w:p>
        </w:tc>
      </w:tr>
      <w:tr>
        <w:tc>
          <w:tcPr>
            <w:tcW w:type="dxa" w:w="3135"/>
          </w:tcPr>
          <w:p>
            <w:r/>
            <w:r>
              <w:rPr>
                <w:b/>
                <w:color w:val="0A2A1A"/>
                <w:sz w:val="20"/>
              </w:rPr>
              <w:t>IEZ</w:t>
            </w:r>
          </w:p>
        </w:tc>
        <w:tc>
          <w:tcPr>
            <w:tcW w:type="dxa" w:w="3135"/>
          </w:tcPr>
          <w:p>
            <w:r/>
            <w:r>
              <w:rPr>
                <w:sz w:val="20"/>
              </w:rPr>
              <w:t>Calcul d'IEZ sur au moins une zone avec historique</w:t>
            </w:r>
          </w:p>
        </w:tc>
        <w:tc>
          <w:tcPr>
            <w:tcW w:type="dxa" w:w="3135"/>
          </w:tcPr>
          <w:p>
            <w:r/>
            <w:r>
              <w:rPr>
                <w:sz w:val="20"/>
              </w:rPr>
              <w:t>Page IEZ</w:t>
            </w:r>
          </w:p>
        </w:tc>
      </w:tr>
    </w:tbl>
    <w:p>
      <w:pPr>
        <w:pStyle w:val="Heading1"/>
      </w:pPr>
      <w:r>
        <w:t>4. Sources de données identifiées</w:t>
      </w:r>
    </w:p>
    <w:p>
      <w:r>
        <w:t>Cette section détaille chaque source retenue, son usage opérationnel dans la plateforme, et la nature de l'accès (gratuit, conditionnel, payant au-delà d'un seuil). L'objectif est d'établir de façon vérifiable la couverture environnementale du MVP et d'identifier en amont les contraintes de licence ou de débit à anticiper.</w:t>
      </w:r>
    </w:p>
    <w:p>
      <w:pPr>
        <w:pStyle w:val="Heading2"/>
      </w:pPr>
      <w:r>
        <w:t>4.1 Sentinel-2 — Observation multispectrale</w:t>
      </w:r>
    </w:p>
    <w:p>
      <w:r>
        <w:t>Sentinel-2 fournit des images multispectrales avec une revisite globale d'environ 5 jours et des bandes à 10 m, 20 m et 60 m selon les bandes. Elles sont particulièrement adaptées à l'analyse de la végétation, des sols et de la couverture en eau. Copernicus Data Space fournit également des API permettant d'accéder aux collections Sentinel directement depuis nos applications.</w:t>
      </w:r>
    </w:p>
    <w:p>
      <w:r>
        <w:t>Indicateurs exploités à partir de Sentinel-2 :</w:t>
      </w:r>
    </w:p>
    <w:p>
      <w:pPr>
        <w:pStyle w:val="ListBullet"/>
        <w:spacing w:after="40"/>
      </w:pPr>
      <w:r>
        <w:t>NDVI — Normalized Difference Vegetation Index</w:t>
      </w:r>
    </w:p>
    <w:p>
      <w:pPr>
        <w:pStyle w:val="ListBullet"/>
        <w:spacing w:after="40"/>
      </w:pPr>
      <w:r>
        <w:t>NDWI — Normalized Difference Water Index</w:t>
      </w:r>
    </w:p>
    <w:p>
      <w:pPr>
        <w:pStyle w:val="ListBullet"/>
        <w:spacing w:after="40"/>
      </w:pPr>
      <w:r>
        <w:t>NBR — Normalized Burn Ratio (détection zones brûlées)</w:t>
      </w:r>
    </w:p>
    <w:p>
      <w:pPr>
        <w:pStyle w:val="ListBullet"/>
        <w:spacing w:after="40"/>
      </w:pPr>
      <w:r>
        <w:t>Évolution de la végétation sur fenêtres glissantes</w:t>
      </w:r>
    </w:p>
    <w:p>
      <w:pPr>
        <w:pStyle w:val="ListBullet"/>
        <w:spacing w:after="40"/>
      </w:pPr>
      <w:r>
        <w:t>Changements de surface (sol nu, urbain, végétalisé)</w:t>
      </w:r>
    </w:p>
    <w:p>
      <w:pPr>
        <w:pStyle w:val="ListBullet"/>
        <w:spacing w:after="40"/>
      </w:pPr>
      <w:r>
        <w:t>Zones agricoles, zones forestières, zones de sols nus</w:t>
      </w:r>
    </w:p>
    <w:p>
      <w:pPr>
        <w:pStyle w:val="ListBullet"/>
        <w:spacing w:after="40"/>
      </w:pPr>
      <w:r>
        <w:t>Évolution des plans d'eau</w:t>
      </w:r>
    </w:p>
    <w:p>
      <w:hyperlink r:id="rId11">
        <w:r>
          <w:rPr>
            <w:color w:val="1A5BA6"/>
            <w:u w:val="single"/>
            <w:sz w:val="22"/>
          </w:rPr>
          <w:t xml:space="preserve">[1] Catalogue Sentinel-2 — Google Earth Engine</w:t>
        </w:r>
      </w:hyperlink>
      <w:hyperlink r:id="rId12">
        <w:r>
          <w:rPr>
            <w:color w:val="1A5BA6"/>
            <w:u w:val="single"/>
            <w:sz w:val="22"/>
          </w:rPr>
          <w:t xml:space="preserve">  | [2] APIs Copernicus Data Space</w:t>
        </w:r>
      </w:hyperlink>
    </w:p>
    <w:p>
      <w:pPr>
        <w:pStyle w:val="Heading2"/>
      </w:pPr>
      <w:r>
        <w:t>4.2 NASA FIRMS — Détection des feux actifs</w:t>
      </w:r>
    </w:p>
    <w:p>
      <w:r>
        <w:t>NASA FIRMS fournit les données de détection des feux actifs provenant notamment de MODIS, VIIRS et Landsat OLI. Les données récentes peuvent être récupérées sous différents formats et via des services comme WMS/WMS-T. Un compte Earthdata est nécessaire pour commencer les téléchargements. Cette source est probablement l'une des premières intégrations à réaliser car elle est mature, documentée et directement actionnable.</w:t>
      </w:r>
    </w:p>
    <w:p>
      <w:r>
        <w:t>Pipeline FIRMS dans la plateforme :</w:t>
      </w:r>
    </w:p>
    <w:p>
      <w:pPr>
        <w:spacing w:before="120" w:after="200"/>
        <w:jc w:val="center"/>
        <w:shd w:val="clear" w:color="auto" w:fill="F1F8E9"/>
      </w:pPr>
      <w:r>
        <w:rPr>
          <w:b/>
          <w:color w:val="1B5E20"/>
          <w:sz w:val="22"/>
        </w:rPr>
        <w:t>ECO-SURVEILLANCE  →  FIRMS  →  hotspots  →  carte  →  analyse  →  incident</w:t>
      </w:r>
    </w:p>
    <w:p>
      <w:hyperlink r:id="rId13">
        <w:r>
          <w:rPr>
            <w:color w:val="1A5BA6"/>
            <w:u w:val="single"/>
            <w:sz w:val="22"/>
          </w:rPr>
          <w:t xml:space="preserve">[3] NASA | LANCE | FIRMS — Active Fire Data</w:t>
        </w:r>
      </w:hyperlink>
    </w:p>
    <w:p>
      <w:pPr>
        <w:pStyle w:val="Heading2"/>
      </w:pPr>
      <w:r>
        <w:t>4.3 Sentinel-5P / TROPOMI — Atmosphère</w:t>
      </w:r>
    </w:p>
    <w:p>
      <w:r>
        <w:t>Les données Sentinel-5P permettent de travailler avec NO₂, SO₂, CO, CH₄, O₃, HCHO et aérosols. Le catalogue Earth Engine confirme ces différentes collections et leur disponibilité historique depuis 2018/2019 selon le produit. La documentation Copernicus confirme également l'accès aux produits Sentinel-5P niveau 2 et leurs différents paramètres.</w:t>
      </w:r>
    </w:p>
    <w:p>
      <w:r>
        <w:rPr>
          <w:b/>
          <w:color w:val="E65100"/>
          <w:sz w:val="22"/>
        </w:rPr>
        <w:t xml:space="preserve">Attention — </w:t>
      </w:r>
      <w:r>
        <w:rPr>
          <w:sz w:val="22"/>
        </w:rPr>
        <w:t>la plateforme ne présentera jamais une mesure satellitaire atmosphérique comme une mesure précise au niveau d'une usine ou d'un capteur local. Ce sera systématiquement un indicateur spatial et régional, avec mention explicite de la source et de la résolution.</w:t>
      </w:r>
    </w:p>
    <w:p>
      <w:hyperlink r:id="rId14">
        <w:r>
          <w:rPr>
            <w:color w:val="1A5BA6"/>
            <w:u w:val="single"/>
            <w:sz w:val="22"/>
          </w:rPr>
          <w:t xml:space="preserve">[4] Sentinel-5P Datasets — Google Earth Engine</w:t>
        </w:r>
      </w:hyperlink>
      <w:hyperlink r:id="rId15">
        <w:r>
          <w:rPr>
            <w:color w:val="1A5BA6"/>
            <w:u w:val="single"/>
            <w:sz w:val="22"/>
          </w:rPr>
          <w:t xml:space="preserve">  | [5] Sentinel-5P L2 — Copernicus</w:t>
        </w:r>
      </w:hyperlink>
    </w:p>
    <w:p>
      <w:pPr>
        <w:pStyle w:val="Heading2"/>
      </w:pPr>
      <w:r>
        <w:t>4.4 Google Earth Engine — Accélérateur optionnel</w:t>
      </w:r>
    </w:p>
    <w:p>
      <w:r>
        <w:t>Earth Engine possède un catalogue public énorme comprenant Sentinel, Landsat, MODIS, climat, météo, données géophysiques, occupation des sols, feux, sécheresse, eau, etc. Earth Engine est précisément conçu pour effectuer des calculs géospatiaux à grande échelle sans devoir télécharger nous-mêmes toutes les images.</w:t>
      </w:r>
    </w:p>
    <w:p>
      <w:r>
        <w:t>Cependant, depuis avril 2026, Google a introduit des quotas gratuits mensuels pour les projets non commerciaux. Google précise qu'une entreprise privée/startup utilisant Earth Engine à des fins opérationnelles ou commerciales doit utiliser une configuration commerciale payante. La conséquence est directe : pour ECO-SURVEILLANCE, Earth Engine est extrêmement intéressant en phase de prototype et de recherche, mais ne doit pas devenir une dépendance obligatoire en production. Le système est donc conçu avec une couche d'abstraction de fournisseurs satellites.</w:t>
      </w:r>
    </w:p>
    <w:p>
      <w:pPr>
        <w:shd w:val="clear" w:color="auto" w:fill="F5F5F5"/>
      </w:pPr>
      <w:r>
        <w:rPr>
          <w:rFonts w:ascii="Consolas" w:hAnsi="Consolas"/>
          <w:color w:val="1A1A1A"/>
          <w:sz w:val="20"/>
        </w:rPr>
        <w:t>SatelliteProvider</w:t>
      </w:r>
    </w:p>
    <w:p>
      <w:pPr>
        <w:shd w:val="clear" w:color="auto" w:fill="F5F5F5"/>
        <w:spacing w:after="0"/>
      </w:pPr>
      <w:r>
        <w:rPr>
          <w:rFonts w:ascii="Consolas" w:hAnsi="Consolas"/>
          <w:color w:val="1A1A1A"/>
          <w:sz w:val="20"/>
        </w:rPr>
        <w:t xml:space="preserve"> ├── EarthEngineProvider</w:t>
      </w:r>
    </w:p>
    <w:p>
      <w:pPr>
        <w:shd w:val="clear" w:color="auto" w:fill="F5F5F5"/>
        <w:spacing w:after="0"/>
      </w:pPr>
      <w:r>
        <w:rPr>
          <w:rFonts w:ascii="Consolas" w:hAnsi="Consolas"/>
          <w:color w:val="1A1A1A"/>
          <w:sz w:val="20"/>
        </w:rPr>
        <w:t xml:space="preserve"> ├── CopernicusProvider</w:t>
      </w:r>
    </w:p>
    <w:p>
      <w:pPr>
        <w:shd w:val="clear" w:color="auto" w:fill="F5F5F5"/>
        <w:spacing w:after="0"/>
      </w:pPr>
      <w:r>
        <w:rPr>
          <w:rFonts w:ascii="Consolas" w:hAnsi="Consolas"/>
          <w:color w:val="1A1A1A"/>
          <w:sz w:val="20"/>
        </w:rPr>
        <w:t xml:space="preserve"> └── autres providers futurs</w:t>
      </w:r>
    </w:p>
    <w:p>
      <w:pPr>
        <w:spacing w:after="200"/>
      </w:pPr>
    </w:p>
    <w:p>
      <w:hyperlink r:id="rId16">
        <w:r>
          <w:rPr>
            <w:color w:val="1A5BA6"/>
            <w:u w:val="single"/>
            <w:sz w:val="22"/>
          </w:rPr>
          <w:t xml:space="preserve">[6] Earth Engine Noncommercial Tiers</w:t>
        </w:r>
      </w:hyperlink>
      <w:hyperlink r:id="rId17">
        <w:r>
          <w:rPr>
            <w:color w:val="1A5BA6"/>
            <w:u w:val="single"/>
            <w:sz w:val="22"/>
          </w:rPr>
          <w:t xml:space="preserve">  | [7] Transition to commercial projects</w:t>
        </w:r>
      </w:hyperlink>
    </w:p>
    <w:p>
      <w:pPr>
        <w:pStyle w:val="Heading2"/>
      </w:pPr>
      <w:r>
        <w:t>4.5 NASA POWER — Données climatiques</w:t>
      </w:r>
    </w:p>
    <w:p>
      <w:r>
        <w:t>NASA POWER fournit des données climatiques mondiales gratuitement et expose une API permettant notamment d'obtenir des séries temporelles météorologiques et climatiques. Les APIs temporelles permettent des données horaires, quotidiennes, mensuelles et des climatologies. On pourra récupérer température, précipitations, humidité, vent, rayonnement — parfait pour alimenter l'analyse climatique des zones.</w:t>
      </w:r>
    </w:p>
    <w:p>
      <w:hyperlink r:id="rId18">
        <w:r>
          <w:rPr>
            <w:color w:val="1A5BA6"/>
            <w:u w:val="single"/>
            <w:sz w:val="22"/>
          </w:rPr>
          <w:t xml:space="preserve">[10] NASA POWER — API tutorial</w:t>
        </w:r>
      </w:hyperlink>
      <w:hyperlink r:id="rId19">
        <w:r>
          <w:rPr>
            <w:color w:val="1A5BA6"/>
            <w:u w:val="single"/>
            <w:sz w:val="22"/>
          </w:rPr>
          <w:t xml:space="preserve">  | [11] NASA POWER — Temporal APIs</w:t>
        </w:r>
      </w:hyperlink>
    </w:p>
    <w:p>
      <w:pPr>
        <w:pStyle w:val="Heading2"/>
      </w:pPr>
      <w:r>
        <w:t>4.6 ERA5 — Réanalyse climatique historique</w:t>
      </w:r>
    </w:p>
    <w:p>
      <w:r>
        <w:t>ERA5 fournit une réanalyse climatique mondiale remontant jusqu'à 1940, avec des données horaires et une couverture globale. Cela permet d'étudier la température historique, les précipitations historiques, le vent, l'humidité, et de comparer les conditions actuelles à ces références pour produire une anomalie climatique. C'est particulièrement pertinent pour la sécheresse, le stress climatique, l'évolution des températures et la vulnérabilité des zones agricoles.</w:t>
      </w:r>
    </w:p>
    <w:p>
      <w:hyperlink r:id="rId20">
        <w:r>
          <w:rPr>
            <w:color w:val="1A5BA6"/>
            <w:u w:val="single"/>
            <w:sz w:val="22"/>
          </w:rPr>
          <w:t xml:space="preserve">[12] ERA5 hourly data on single levels from 1940 to present</w:t>
        </w:r>
      </w:hyperlink>
    </w:p>
    <w:p>
      <w:pPr>
        <w:pStyle w:val="Heading2"/>
      </w:pPr>
      <w:r>
        <w:t>4.7 CHIRPS — Précipitations haute résolution</w:t>
      </w:r>
    </w:p>
    <w:p>
      <w:r>
        <w:t>CHIRPS fournit des données de précipitations quasi-globales à haute résolution, combinant observations satellitaires et stations au sol. La version actuelle CHIRPS v3 couvre de 60°S à 60°N, depuis 1981 jusqu'à aujourd'hui, avec une grille de 0,05°. Surtout, les données CHIRPS sont dans le domaine public. Pour le Mali, cette source est particulièrement importante : elle permet de construire un indice de déficit pluviométrique en comparant la pluie actuelle à un historique de 10/20/30 ans, puis de dériver un risque de sécheresse.</w:t>
      </w:r>
    </w:p>
    <w:p>
      <w:hyperlink r:id="rId21">
        <w:r>
          <w:rPr>
            <w:color w:val="1A5BA6"/>
            <w:u w:val="single"/>
            <w:sz w:val="22"/>
          </w:rPr>
          <w:t xml:space="preserve">[13] CHIRPS v3 — Climate Hazards Center</w:t>
        </w:r>
      </w:hyperlink>
      <w:hyperlink r:id="rId22">
        <w:r>
          <w:rPr>
            <w:color w:val="1A5BA6"/>
            <w:u w:val="single"/>
            <w:sz w:val="22"/>
          </w:rPr>
          <w:t xml:space="preserve">  | [14] CHIRPS — Climate Hazards Center</w:t>
        </w:r>
      </w:hyperlink>
    </w:p>
    <w:p>
      <w:pPr>
        <w:pStyle w:val="Heading2"/>
      </w:pPr>
      <w:r>
        <w:t>4.8 OpenAQ — Qualité de l'air</w:t>
      </w:r>
    </w:p>
    <w:p>
      <w:r>
        <w:t>OpenAQ fournit une API ouverte donnant accès à des données publiques de qualité de l'air provenant de différentes sources. On y trouve notamment PM2.5, PM10, SO₂, NO₂, CO, O₃, température, humidité, et dans certains endroits CO₂, CH₄, NOx. Comme pour toute donnée atmosphérique, la plateforme affichera toujours la source et la couverture réelle des données, sans surinterpréter la précision.</w:t>
      </w:r>
    </w:p>
    <w:p>
      <w:hyperlink r:id="rId23">
        <w:r>
          <w:rPr>
            <w:color w:val="1A5BA6"/>
            <w:u w:val="single"/>
            <w:sz w:val="22"/>
          </w:rPr>
          <w:t xml:space="preserve">[15] About the API — OpenAQ Docs</w:t>
        </w:r>
      </w:hyperlink>
    </w:p>
    <w:p>
      <w:pPr>
        <w:pStyle w:val="Heading1"/>
      </w:pPr>
      <w:r>
        <w:t>5. Modules fonctionnels détaillés</w:t>
      </w:r>
    </w:p>
    <w:p>
      <w:r>
        <w:t>Cette section spécifie, pour chacun des modules fonctionnels, ses responsabilités, ses données d'entrée, ses calculs et ses sorties attendues. Les modules sont numérotés de 1 à 10 pour refléter l'ordre d'importance opérationnelle dans le MVP. Chaque module contribue au moteur de risques central et à l'IEZ.</w:t>
      </w:r>
    </w:p>
    <w:p>
      <w:pPr>
        <w:pStyle w:val="Heading2"/>
      </w:pPr>
      <w:r>
        <w:t>5.1 Geographic Intelligence</w:t>
      </w:r>
    </w:p>
    <w:p>
      <w:r>
        <w:t>Ce module est la fondation géospatiale de la plateforme. Il gère le découpage administratif du Mali (régions, cercles, communes), les zones environnementales personnalisées, les coordonnées, les géométries et les couches cartographiques. Toutes les autres données — satellites, climatiques, stations — sont rattachées à une entité géographique gérée par ce module, ce qui garantit la cohérence de l'agrégation spatiale à travers la plateforme.</w:t>
      </w:r>
    </w:p>
    <w:p>
      <w:r>
        <w:t>Responsabilités principales :</w:t>
      </w:r>
    </w:p>
    <w:p>
      <w:pPr>
        <w:pStyle w:val="ListBullet"/>
        <w:spacing w:after="40"/>
      </w:pPr>
      <w:r>
        <w:t>Chargement et versionnage du découpage administratif malien</w:t>
      </w:r>
    </w:p>
    <w:p>
      <w:pPr>
        <w:pStyle w:val="ListBullet"/>
        <w:spacing w:after="40"/>
      </w:pPr>
      <w:r>
        <w:t>Gestion des zones environnementales personnalisées (casiers agricoles, bassins versants)</w:t>
      </w:r>
    </w:p>
    <w:p>
      <w:pPr>
        <w:pStyle w:val="ListBullet"/>
        <w:spacing w:after="40"/>
      </w:pPr>
      <w:r>
        <w:t>Conversion de coordonnées et gestion des projections (WGS84, UTM)</w:t>
      </w:r>
    </w:p>
    <w:p>
      <w:pPr>
        <w:pStyle w:val="ListBullet"/>
        <w:spacing w:after="40"/>
      </w:pPr>
      <w:r>
        <w:t>Exposition des couches cartographiques vers le frontend (Leaflet/MapLibre)</w:t>
      </w:r>
    </w:p>
    <w:p>
      <w:pPr>
        <w:pStyle w:val="ListBullet"/>
        <w:spacing w:after="40"/>
      </w:pPr>
      <w:r>
        <w:t>Jointure spatiale entre données environnementales et entités administratives</w:t>
      </w:r>
    </w:p>
    <w:p>
      <w:pPr>
        <w:pStyle w:val="Heading2"/>
      </w:pPr>
      <w:r>
        <w:t>5.2 Satellite Intelligence</w:t>
      </w:r>
    </w:p>
    <w:p>
      <w:r>
        <w:t>Le module Satellite Intelligence gère l'accès aux données satellitaires (Sentinel-1, Sentinel-2, Sentinel-5P, Landsat, et optionnellement Earth Engine) à travers la couche d'abstraction SatelliteProvider. Il réalise les calculs spectraux standards et expose les résultats aux modules Vegetation, Water et Atmosphere.</w:t>
      </w:r>
    </w:p>
    <w:p>
      <w:r>
        <w:t>Calculs et indicateurs produits :</w:t>
      </w:r>
    </w:p>
    <w:p>
      <w:pPr>
        <w:pStyle w:val="ListBullet"/>
        <w:spacing w:after="40"/>
      </w:pPr>
      <w:r>
        <w:t>NDVI — végétation</w:t>
      </w:r>
    </w:p>
    <w:p>
      <w:pPr>
        <w:pStyle w:val="ListBullet"/>
        <w:spacing w:after="40"/>
      </w:pPr>
      <w:r>
        <w:t>NDWI — eau de surface</w:t>
      </w:r>
    </w:p>
    <w:p>
      <w:pPr>
        <w:pStyle w:val="ListBullet"/>
        <w:spacing w:after="40"/>
      </w:pPr>
      <w:r>
        <w:t>NBR — zones brûlées</w:t>
      </w:r>
    </w:p>
    <w:p>
      <w:pPr>
        <w:pStyle w:val="ListBullet"/>
        <w:spacing w:after="40"/>
      </w:pPr>
      <w:r>
        <w:t>Détection de changements</w:t>
      </w:r>
    </w:p>
    <w:p>
      <w:pPr>
        <w:pStyle w:val="ListBullet"/>
        <w:spacing w:after="40"/>
      </w:pPr>
      <w:r>
        <w:t>Couverture terrestre</w:t>
      </w:r>
    </w:p>
    <w:p>
      <w:pPr>
        <w:pStyle w:val="ListBullet"/>
        <w:spacing w:after="40"/>
      </w:pPr>
      <w:r>
        <w:t>Évolution temporelle sur fenêtres glissantes</w:t>
      </w:r>
    </w:p>
    <w:p>
      <w:r>
        <w:t>L'abstraction SatelliteProvider permet de basculer entre Earth Engine (prototype) et Copernicus direct (production) sans modifier la logique métier, et d'ajouter de nouveaux fournisseurs à l'avenir.</w:t>
      </w:r>
    </w:p>
    <w:p>
      <w:pPr>
        <w:pStyle w:val="Heading2"/>
      </w:pPr>
      <w:r>
        <w:t>5.3 Fire Intelligence</w:t>
      </w:r>
    </w:p>
    <w:p>
      <w:r>
        <w:t>Le module Fire Intelligence exploite les données NASA FIRMS (MODIS, VIIRS, Landsat OLI) pour détecter et suivre les feux actifs au Mali. Il constitue l'une des premières intégrations concrètes du MVP parce que les données sont structurées, fiables et directement actionnables. Le module ne se contente pas d'afficher les hotspots : il les agrège, les classe, calcule leur évolution et alimente le Risk Engine.</w:t>
      </w:r>
    </w:p>
    <w:p>
      <w:r>
        <w:t>Fonctions :</w:t>
      </w:r>
    </w:p>
    <w:p>
      <w:pPr>
        <w:pStyle w:val="ListBullet"/>
        <w:spacing w:after="40"/>
      </w:pPr>
      <w:r>
        <w:t>Hotspots — détection des feux actifs</w:t>
      </w:r>
    </w:p>
    <w:p>
      <w:pPr>
        <w:pStyle w:val="ListBullet"/>
        <w:spacing w:after="40"/>
      </w:pPr>
      <w:r>
        <w:t>Clustering — regroupement spatial des détections proches</w:t>
      </w:r>
    </w:p>
    <w:p>
      <w:pPr>
        <w:pStyle w:val="ListBullet"/>
        <w:spacing w:after="40"/>
      </w:pPr>
      <w:r>
        <w:t>Historique — feux passés par zone</w:t>
      </w:r>
    </w:p>
    <w:p>
      <w:pPr>
        <w:pStyle w:val="ListBullet"/>
        <w:spacing w:after="40"/>
      </w:pPr>
      <w:r>
        <w:t>Évolution — intensité et propagation</w:t>
      </w:r>
    </w:p>
    <w:p>
      <w:pPr>
        <w:pStyle w:val="ListBullet"/>
        <w:spacing w:after="40"/>
      </w:pPr>
      <w:r>
        <w:t>Zones touchées — estimation des surfaces</w:t>
      </w:r>
    </w:p>
    <w:p>
      <w:pPr>
        <w:pStyle w:val="ListBullet"/>
        <w:spacing w:after="40"/>
      </w:pPr>
      <w:r>
        <w:t>Risque incendie — combinaison avec NDVI et conditions climatiques</w:t>
      </w:r>
    </w:p>
    <w:p>
      <w:pPr>
        <w:pStyle w:val="Heading2"/>
      </w:pPr>
      <w:r>
        <w:t>5.4 Vegetation Intelligence</w:t>
      </w:r>
    </w:p>
    <w:p>
      <w:r>
        <w:t>Le module Vegetation Intelligence exploite les calculs spectraux du module Satellite (principalement NDVI et NBR) pour analyser l'état et l'évolution du couvert végétal. Il identifie les zones en dégradation, en régénération, en stress végétatif, ainsi que les conversions entre types d'occupation du sol (agricole, forestier, sol nu).</w:t>
      </w:r>
    </w:p>
    <w:p>
      <w:r>
        <w:t>Indicateurs produits :</w:t>
      </w:r>
    </w:p>
    <w:p>
      <w:pPr>
        <w:pStyle w:val="ListBullet"/>
        <w:spacing w:after="40"/>
      </w:pPr>
      <w:r>
        <w:t>Déforestation — pertes nettes de couvert</w:t>
      </w:r>
    </w:p>
    <w:p>
      <w:pPr>
        <w:pStyle w:val="ListBullet"/>
        <w:spacing w:after="40"/>
      </w:pPr>
      <w:r>
        <w:t>Dégradation — baisse d'intensité sans perte nette</w:t>
      </w:r>
    </w:p>
    <w:p>
      <w:pPr>
        <w:pStyle w:val="ListBullet"/>
        <w:spacing w:after="40"/>
      </w:pPr>
      <w:r>
        <w:t>Régénération — reprise de végétation</w:t>
      </w:r>
    </w:p>
    <w:p>
      <w:pPr>
        <w:pStyle w:val="ListBullet"/>
        <w:spacing w:after="40"/>
      </w:pPr>
      <w:r>
        <w:t>Stress végétatif — anomalie de NDVI vs climatologie</w:t>
      </w:r>
    </w:p>
    <w:p>
      <w:pPr>
        <w:pStyle w:val="ListBullet"/>
        <w:spacing w:after="40"/>
      </w:pPr>
      <w:r>
        <w:t>Pression agricole — intensification ou déprise</w:t>
      </w:r>
    </w:p>
    <w:p>
      <w:pPr>
        <w:pStyle w:val="Heading2"/>
      </w:pPr>
      <w:r>
        <w:t>5.5 Water Intelligence</w:t>
      </w:r>
    </w:p>
    <w:p>
      <w:r>
        <w:t>Le module Water Intelligence combine deux sources complémentaires : les données satellite (surface, évolution, indicateurs spectraux NDWI) et les stations simulées (pH, turbidité, conductivité, oxygène dissous, température, niveau). Cette double approche permet de présenter à la fois une vue spatiale large et des mesures ponctuelles précises, en mentionnant toujours leur origine (satellite vs station).</w:t>
      </w:r>
    </w:p>
    <w:p>
      <w:r>
        <w:t>Données satellite :</w:t>
      </w:r>
    </w:p>
    <w:p>
      <w:pPr>
        <w:pStyle w:val="ListBullet"/>
        <w:spacing w:after="40"/>
      </w:pPr>
      <w:r>
        <w:t>Surface en eau</w:t>
      </w:r>
    </w:p>
    <w:p>
      <w:pPr>
        <w:pStyle w:val="ListBullet"/>
        <w:spacing w:after="40"/>
      </w:pPr>
      <w:r>
        <w:t>Évolution des plans d'eau</w:t>
      </w:r>
    </w:p>
    <w:p>
      <w:pPr>
        <w:pStyle w:val="ListBullet"/>
        <w:spacing w:after="40"/>
      </w:pPr>
      <w:r>
        <w:t>Indicateurs spectraux (NDWI)</w:t>
      </w:r>
    </w:p>
    <w:p>
      <w:r>
        <w:t>Données station (simulées dans le MVP) :</w:t>
      </w:r>
    </w:p>
    <w:p>
      <w:pPr>
        <w:pStyle w:val="ListBullet"/>
        <w:spacing w:after="40"/>
      </w:pPr>
      <w:r>
        <w:t>pH</w:t>
      </w:r>
    </w:p>
    <w:p>
      <w:pPr>
        <w:pStyle w:val="ListBullet"/>
        <w:spacing w:after="40"/>
      </w:pPr>
      <w:r>
        <w:t>Turbidité</w:t>
      </w:r>
    </w:p>
    <w:p>
      <w:pPr>
        <w:pStyle w:val="ListBullet"/>
        <w:spacing w:after="40"/>
      </w:pPr>
      <w:r>
        <w:t>Conductivité</w:t>
      </w:r>
    </w:p>
    <w:p>
      <w:pPr>
        <w:pStyle w:val="ListBullet"/>
        <w:spacing w:after="40"/>
      </w:pPr>
      <w:r>
        <w:t>Oxygène dissous</w:t>
      </w:r>
    </w:p>
    <w:p>
      <w:pPr>
        <w:pStyle w:val="ListBullet"/>
        <w:spacing w:after="40"/>
      </w:pPr>
      <w:r>
        <w:t>Température</w:t>
      </w:r>
    </w:p>
    <w:p>
      <w:pPr>
        <w:pStyle w:val="ListBullet"/>
        <w:spacing w:after="40"/>
      </w:pPr>
      <w:r>
        <w:t>Niveau d'eau</w:t>
      </w:r>
    </w:p>
    <w:p>
      <w:pPr>
        <w:pStyle w:val="Heading2"/>
      </w:pPr>
      <w:r>
        <w:t>5.6 Climate Intelligence</w:t>
      </w:r>
    </w:p>
    <w:p>
      <w:r>
        <w:t>Le module Climate Intelligence agrège les sources climatiques (NASA POWER, ERA5, CHIRPS) pour produire une analyse climatique par zone, incluant température, précipitations, sécheresse, anomalies climatiques et vulnérabilité. La combinaison ERA5 (climatologie historique longue) + CHIRPS (précipitations haute résolution) + NASA POWER (séries temps réel) est particulièrement puisante pour le Mali.</w:t>
      </w:r>
    </w:p>
    <w:p>
      <w:r>
        <w:t>Analyses produites :</w:t>
      </w:r>
    </w:p>
    <w:p>
      <w:pPr>
        <w:pStyle w:val="ListBullet"/>
        <w:spacing w:after="40"/>
      </w:pPr>
      <w:r>
        <w:t>Température — valeur courante et anomalie vs climatologie</w:t>
      </w:r>
    </w:p>
    <w:p>
      <w:pPr>
        <w:pStyle w:val="ListBullet"/>
        <w:spacing w:after="40"/>
      </w:pPr>
      <w:r>
        <w:t>Pluie — cumul et déficit vs historique 10/20/30 ans</w:t>
      </w:r>
    </w:p>
    <w:p>
      <w:pPr>
        <w:pStyle w:val="ListBullet"/>
        <w:spacing w:after="40"/>
      </w:pPr>
      <w:r>
        <w:t>Sécheresse — indice composite</w:t>
      </w:r>
    </w:p>
    <w:p>
      <w:pPr>
        <w:pStyle w:val="ListBullet"/>
        <w:spacing w:after="40"/>
      </w:pPr>
      <w:r>
        <w:t>Anomalies climatiques — détection d'écart</w:t>
      </w:r>
    </w:p>
    <w:p>
      <w:pPr>
        <w:pStyle w:val="ListBullet"/>
        <w:spacing w:after="40"/>
      </w:pPr>
      <w:r>
        <w:t>Vulnérabilité climatique des zones agricoles</w:t>
      </w:r>
    </w:p>
    <w:p>
      <w:pPr>
        <w:pStyle w:val="Heading2"/>
      </w:pPr>
      <w:r>
        <w:t>5.7 Atmosphere Intelligence</w:t>
      </w:r>
    </w:p>
    <w:p>
      <w:r>
        <w:t>Le module Atmosphere Intelligence exploite Sentinel-5P et, lorsque disponible, OpenAQ pour les mesures au sol. Il produit des indicateurs spatiaux/régionaux de NO₂, SO₂, CO, CH₄, O₃, HCHO et aérosols. La plateforme ne présentera jamais une mesure satellitaire atmosphérique comme une mesure précise au niveau d'une usine ou d'un capteur local.</w:t>
      </w:r>
    </w:p>
    <w:p>
      <w:r>
        <w:t>Paramètres suivis :</w:t>
      </w:r>
    </w:p>
    <w:p>
      <w:pPr>
        <w:pStyle w:val="ListBullet"/>
        <w:spacing w:after="40"/>
      </w:pPr>
      <w:r>
        <w:t>NO₂</w:t>
      </w:r>
    </w:p>
    <w:p>
      <w:pPr>
        <w:pStyle w:val="ListBullet"/>
        <w:spacing w:after="40"/>
      </w:pPr>
      <w:r>
        <w:t>SO₂</w:t>
      </w:r>
    </w:p>
    <w:p>
      <w:pPr>
        <w:pStyle w:val="ListBullet"/>
        <w:spacing w:after="40"/>
      </w:pPr>
      <w:r>
        <w:t>CO</w:t>
      </w:r>
    </w:p>
    <w:p>
      <w:pPr>
        <w:pStyle w:val="ListBullet"/>
        <w:spacing w:after="40"/>
      </w:pPr>
      <w:r>
        <w:t>CH₄</w:t>
      </w:r>
    </w:p>
    <w:p>
      <w:pPr>
        <w:pStyle w:val="ListBullet"/>
        <w:spacing w:after="40"/>
      </w:pPr>
      <w:r>
        <w:t>O₃</w:t>
      </w:r>
    </w:p>
    <w:p>
      <w:pPr>
        <w:pStyle w:val="ListBullet"/>
        <w:spacing w:after="40"/>
      </w:pPr>
      <w:r>
        <w:t>HCHO</w:t>
      </w:r>
    </w:p>
    <w:p>
      <w:pPr>
        <w:pStyle w:val="ListBullet"/>
        <w:spacing w:after="40"/>
      </w:pPr>
      <w:r>
        <w:t>Aérosols (AI)</w:t>
      </w:r>
    </w:p>
    <w:p>
      <w:pPr>
        <w:pStyle w:val="Heading2"/>
      </w:pPr>
      <w:r>
        <w:t>5.8 Sensor Intelligence — Stations simulées</w:t>
      </w:r>
    </w:p>
    <w:p>
      <w:r>
        <w:t>Comme le projet n'est pas encore sur le terrain, le module Sensor Intelligence met en œuvre une architecture IoT complète avec des stations virtuelles. Le système doit pouvoir simuler différents scénarios de fonctionnement et basculer ultérieurement vers de vrais capteurs sans refaire toute l'architecture.</w:t>
      </w:r>
    </w:p>
    <w:p>
      <w:r>
        <w:t>Exemple de structure d'une station simulée :</w:t>
      </w:r>
    </w:p>
    <w:p>
      <w:pPr>
        <w:shd w:val="clear" w:color="auto" w:fill="F5F5F5"/>
        <w:spacing w:after="0"/>
      </w:pPr>
      <w:r>
        <w:rPr>
          <w:rFonts w:ascii="Consolas" w:hAnsi="Consolas"/>
          <w:color w:val="1A1A1A"/>
          <w:sz w:val="19"/>
        </w:rPr>
        <w:t>Station ENV-MALI-001</w:t>
      </w:r>
    </w:p>
    <w:p>
      <w:pPr>
        <w:shd w:val="clear" w:color="auto" w:fill="F5F5F5"/>
        <w:spacing w:after="0"/>
      </w:pPr>
      <w:r>
        <w:rPr>
          <w:rFonts w:ascii="Consolas" w:hAnsi="Consolas"/>
          <w:color w:val="1A1A1A"/>
          <w:sz w:val="19"/>
        </w:rPr>
        <w:t>Localisation : Bamako</w:t>
      </w:r>
    </w:p>
    <w:p>
      <w:pPr>
        <w:shd w:val="clear" w:color="auto" w:fill="F5F5F5"/>
        <w:spacing w:after="0"/>
      </w:pPr>
      <w:r>
        <w:rPr>
          <w:rFonts w:ascii="Consolas" w:hAnsi="Consolas"/>
          <w:color w:val="1A1A1A"/>
          <w:sz w:val="19"/>
        </w:rPr>
        <w:t>Température : 31.4 °C</w:t>
      </w:r>
    </w:p>
    <w:p>
      <w:pPr>
        <w:shd w:val="clear" w:color="auto" w:fill="F5F5F5"/>
        <w:spacing w:after="0"/>
      </w:pPr>
      <w:r>
        <w:rPr>
          <w:rFonts w:ascii="Consolas" w:hAnsi="Consolas"/>
          <w:color w:val="1A1A1A"/>
          <w:sz w:val="19"/>
        </w:rPr>
        <w:t>pH : 6.8</w:t>
      </w:r>
    </w:p>
    <w:p>
      <w:pPr>
        <w:shd w:val="clear" w:color="auto" w:fill="F5F5F5"/>
        <w:spacing w:after="0"/>
      </w:pPr>
      <w:r>
        <w:rPr>
          <w:rFonts w:ascii="Consolas" w:hAnsi="Consolas"/>
          <w:color w:val="1A1A1A"/>
          <w:sz w:val="19"/>
        </w:rPr>
        <w:t>Turbidité : 74 NTU</w:t>
      </w:r>
    </w:p>
    <w:p>
      <w:pPr>
        <w:shd w:val="clear" w:color="auto" w:fill="F5F5F5"/>
        <w:spacing w:after="0"/>
      </w:pPr>
      <w:r>
        <w:rPr>
          <w:rFonts w:ascii="Consolas" w:hAnsi="Consolas"/>
          <w:color w:val="1A1A1A"/>
          <w:sz w:val="19"/>
        </w:rPr>
        <w:t>Conductivité : 452 µS/cm</w:t>
      </w:r>
    </w:p>
    <w:p>
      <w:pPr>
        <w:shd w:val="clear" w:color="auto" w:fill="F5F5F5"/>
        <w:spacing w:after="0"/>
      </w:pPr>
      <w:r>
        <w:rPr>
          <w:rFonts w:ascii="Consolas" w:hAnsi="Consolas"/>
          <w:color w:val="1A1A1A"/>
          <w:sz w:val="19"/>
        </w:rPr>
        <w:t>Oxygène dissous : 5.1 mg/L</w:t>
      </w:r>
    </w:p>
    <w:p>
      <w:pPr>
        <w:shd w:val="clear" w:color="auto" w:fill="F5F5F5"/>
        <w:spacing w:after="0"/>
      </w:pPr>
      <w:r>
        <w:rPr>
          <w:rFonts w:ascii="Consolas" w:hAnsi="Consolas"/>
          <w:color w:val="1A1A1A"/>
          <w:sz w:val="19"/>
        </w:rPr>
        <w:t>Niveau d'eau : 2.8 m</w:t>
      </w:r>
    </w:p>
    <w:p>
      <w:pPr>
        <w:shd w:val="clear" w:color="auto" w:fill="F5F5F5"/>
        <w:spacing w:after="0"/>
      </w:pPr>
      <w:r>
        <w:rPr>
          <w:rFonts w:ascii="Consolas" w:hAnsi="Consolas"/>
          <w:color w:val="1A1A1A"/>
          <w:sz w:val="19"/>
        </w:rPr>
        <w:t>CO₂ : ...</w:t>
      </w:r>
    </w:p>
    <w:p>
      <w:pPr>
        <w:shd w:val="clear" w:color="auto" w:fill="F5F5F5"/>
        <w:spacing w:after="0"/>
      </w:pPr>
      <w:r>
        <w:rPr>
          <w:rFonts w:ascii="Consolas" w:hAnsi="Consolas"/>
          <w:color w:val="1A1A1A"/>
          <w:sz w:val="19"/>
        </w:rPr>
        <w:t>CH₄ : ...</w:t>
      </w:r>
    </w:p>
    <w:p>
      <w:pPr>
        <w:shd w:val="clear" w:color="auto" w:fill="F5F5F5"/>
        <w:spacing w:after="0"/>
      </w:pPr>
      <w:r>
        <w:rPr>
          <w:rFonts w:ascii="Consolas" w:hAnsi="Consolas"/>
          <w:color w:val="1A1A1A"/>
          <w:sz w:val="19"/>
        </w:rPr>
        <w:t>Dernière transmission : 10:42</w:t>
      </w:r>
    </w:p>
    <w:p>
      <w:pPr>
        <w:shd w:val="clear" w:color="auto" w:fill="F5F5F5"/>
        <w:spacing w:after="0"/>
      </w:pPr>
      <w:r>
        <w:rPr>
          <w:rFonts w:ascii="Consolas" w:hAnsi="Consolas"/>
          <w:color w:val="1A1A1A"/>
          <w:sz w:val="19"/>
        </w:rPr>
        <w:t>État : 🟢 ACTIVE</w:t>
      </w:r>
    </w:p>
    <w:p>
      <w:pPr>
        <w:shd w:val="clear" w:color="auto" w:fill="F5F5F5"/>
        <w:spacing w:after="0"/>
      </w:pPr>
      <w:r>
        <w:rPr>
          <w:rFonts w:ascii="Consolas" w:hAnsi="Consolas"/>
          <w:color w:val="1A1A1A"/>
          <w:sz w:val="19"/>
        </w:rPr>
        <w:t>SOURCE : SIMULATION</w:t>
      </w:r>
    </w:p>
    <w:p/>
    <w:p>
      <w:r>
        <w:t>Scénarios à simuler :</w:t>
      </w:r>
    </w:p>
    <w:p>
      <w:pPr>
        <w:pStyle w:val="ListBullet"/>
        <w:spacing w:after="40"/>
      </w:pPr>
      <w:r>
        <w:t>Fonctionnement normal</w:t>
      </w:r>
    </w:p>
    <w:p>
      <w:pPr>
        <w:pStyle w:val="ListBullet"/>
        <w:spacing w:after="40"/>
      </w:pPr>
      <w:r>
        <w:t>Augmentation de turbidité</w:t>
      </w:r>
    </w:p>
    <w:p>
      <w:pPr>
        <w:pStyle w:val="ListBullet"/>
        <w:spacing w:after="40"/>
      </w:pPr>
      <w:r>
        <w:t>Baisse du pH</w:t>
      </w:r>
    </w:p>
    <w:p>
      <w:pPr>
        <w:pStyle w:val="ListBullet"/>
        <w:spacing w:after="40"/>
      </w:pPr>
      <w:r>
        <w:t>Hausse de température</w:t>
      </w:r>
    </w:p>
    <w:p>
      <w:pPr>
        <w:pStyle w:val="ListBullet"/>
        <w:spacing w:after="40"/>
      </w:pPr>
      <w:r>
        <w:t>Baisse d'oxygène</w:t>
      </w:r>
    </w:p>
    <w:p>
      <w:pPr>
        <w:pStyle w:val="ListBullet"/>
        <w:spacing w:after="40"/>
      </w:pPr>
      <w:r>
        <w:t>Capteur hors ligne</w:t>
      </w:r>
    </w:p>
    <w:p>
      <w:pPr>
        <w:pStyle w:val="ListBullet"/>
        <w:spacing w:after="40"/>
      </w:pPr>
      <w:r>
        <w:t>Valeurs aberrantes</w:t>
      </w:r>
    </w:p>
    <w:p>
      <w:pPr>
        <w:pStyle w:val="ListBullet"/>
        <w:spacing w:after="40"/>
      </w:pPr>
      <w:r>
        <w:t>Incident combiné</w:t>
      </w:r>
    </w:p>
    <w:p>
      <w:r>
        <w:t>Transition future : SIMULATION → vrai capteur IoT, sans devoir refaire toute l'architecture. Le simulateur respecte donc la même interface que celle qu'auront les futurs capteurs physiques.</w:t>
      </w:r>
    </w:p>
    <w:p>
      <w:pPr>
        <w:pStyle w:val="Heading2"/>
      </w:pPr>
      <w:r>
        <w:t>5.9 AI Intelligence — Couche d'interprétation Groq</w:t>
      </w:r>
    </w:p>
    <w:p>
      <w:r>
        <w:t>Le module AI Intelligence applique la décision architecturale clé : l'IA ne remplace pas les calculs scientifiques. Le moteur calcule NDVI, anomalies, statistiques, IEZ et scores. Groq intervient pour interpréter, corréler, résumer, expliquer, classifier et recommander.</w:t>
      </w:r>
    </w:p>
    <w:p>
      <w:r>
        <w:t>Groq dispose actuellement d'un Free tier soumis à des limites de requêtes/tokens, parfait pour le développement et les essais, mais pas illimité pour une production à gros volume. L'API Groq est directement accessible en Python. La conception prévoit donc une couche d'abstraction de fournisseurs d'IA pour permettre à terme de basculer vers Gemini, OpenRouter ou un autre provider.</w:t>
      </w:r>
    </w:p>
    <w:p>
      <w:r>
        <w:t>Architecture des fournisseurs d'IA :</w:t>
      </w:r>
    </w:p>
    <w:p>
      <w:pPr>
        <w:shd w:val="clear" w:color="auto" w:fill="F5F5F5"/>
        <w:spacing w:after="0"/>
      </w:pPr>
      <w:r>
        <w:rPr>
          <w:rFonts w:ascii="Consolas" w:hAnsi="Consolas"/>
          <w:color w:val="1A1A1A"/>
          <w:sz w:val="20"/>
        </w:rPr>
        <w:t>AIProvider</w:t>
      </w:r>
    </w:p>
    <w:p>
      <w:pPr>
        <w:shd w:val="clear" w:color="auto" w:fill="F5F5F5"/>
        <w:spacing w:after="0"/>
      </w:pPr>
      <w:r>
        <w:rPr>
          <w:rFonts w:ascii="Consolas" w:hAnsi="Consolas"/>
          <w:color w:val="1A1A1A"/>
          <w:sz w:val="20"/>
        </w:rPr>
        <w:t xml:space="preserve">   ├── Groq</w:t>
      </w:r>
    </w:p>
    <w:p>
      <w:pPr>
        <w:shd w:val="clear" w:color="auto" w:fill="F5F5F5"/>
        <w:spacing w:after="0"/>
      </w:pPr>
      <w:r>
        <w:rPr>
          <w:rFonts w:ascii="Consolas" w:hAnsi="Consolas"/>
          <w:color w:val="1A1A1A"/>
          <w:sz w:val="20"/>
        </w:rPr>
        <w:t xml:space="preserve">   ├── Gemini</w:t>
      </w:r>
    </w:p>
    <w:p>
      <w:pPr>
        <w:shd w:val="clear" w:color="auto" w:fill="F5F5F5"/>
        <w:spacing w:after="0"/>
      </w:pPr>
      <w:r>
        <w:rPr>
          <w:rFonts w:ascii="Consolas" w:hAnsi="Consolas"/>
          <w:color w:val="1A1A1A"/>
          <w:sz w:val="20"/>
        </w:rPr>
        <w:t xml:space="preserve">   ├── OpenRouter</w:t>
      </w:r>
    </w:p>
    <w:p>
      <w:pPr>
        <w:shd w:val="clear" w:color="auto" w:fill="F5F5F5"/>
        <w:spacing w:after="0"/>
      </w:pPr>
      <w:r>
        <w:rPr>
          <w:rFonts w:ascii="Consolas" w:hAnsi="Consolas"/>
          <w:color w:val="1A1A1A"/>
          <w:sz w:val="20"/>
        </w:rPr>
        <w:t xml:space="preserve">   └── futur provider</w:t>
      </w:r>
    </w:p>
    <w:p/>
    <w:p>
      <w:hyperlink r:id="rId24">
        <w:r>
          <w:rPr>
            <w:color w:val="1A5BA6"/>
            <w:u w:val="single"/>
            <w:sz w:val="22"/>
          </w:rPr>
          <w:t xml:space="preserve">[16] Groq — Free tier and limits</w:t>
        </w:r>
      </w:hyperlink>
      <w:hyperlink r:id="rId25">
        <w:r>
          <w:rPr>
            <w:color w:val="1A5BA6"/>
            <w:u w:val="single"/>
            <w:sz w:val="22"/>
          </w:rPr>
          <w:t xml:space="preserve">  | [17] GroqCloud Quickstart</w:t>
        </w:r>
      </w:hyperlink>
    </w:p>
    <w:p>
      <w:pPr>
        <w:pStyle w:val="Heading2"/>
      </w:pPr>
      <w:r>
        <w:t>5.10 Risk &amp; Incident Engine</w:t>
      </w:r>
    </w:p>
    <w:p>
      <w:r>
        <w:t>Le moteur de risques centralise les sorties de tous les modules fonctionnels. Il combine les anomalies détectées en un score de risque, un score de confiance et un niveau ordinal. Chaque incident produit comporte un type, une localisation, une date, une source, des données associées, un score, une confiance, un niveau, une évolution et un statut.</w:t>
      </w:r>
    </w:p>
    <w:p>
      <w:r>
        <w:t>Exemple de déroulement d'un incident :</w:t>
      </w:r>
    </w:p>
    <w:p>
      <w:pPr>
        <w:shd w:val="clear" w:color="auto" w:fill="F5F5F5"/>
        <w:spacing w:after="0"/>
      </w:pPr>
      <w:r>
        <w:rPr>
          <w:rFonts w:ascii="Consolas" w:hAnsi="Consolas"/>
          <w:color w:val="1A1A1A"/>
          <w:sz w:val="19"/>
        </w:rPr>
        <w:t>NDVI ↓ 35%</w:t>
      </w:r>
    </w:p>
    <w:p>
      <w:pPr>
        <w:shd w:val="clear" w:color="auto" w:fill="F5F5F5"/>
        <w:spacing w:after="0"/>
      </w:pPr>
      <w:r>
        <w:rPr>
          <w:rFonts w:ascii="Consolas" w:hAnsi="Consolas"/>
          <w:color w:val="1A1A1A"/>
          <w:sz w:val="19"/>
        </w:rPr>
        <w:t>+ pluviométrie ↓ 42%</w:t>
      </w:r>
    </w:p>
    <w:p>
      <w:pPr>
        <w:shd w:val="clear" w:color="auto" w:fill="F5F5F5"/>
        <w:spacing w:after="0"/>
      </w:pPr>
      <w:r>
        <w:rPr>
          <w:rFonts w:ascii="Consolas" w:hAnsi="Consolas"/>
          <w:color w:val="1A1A1A"/>
          <w:sz w:val="19"/>
        </w:rPr>
        <w:t>+ température ↑</w:t>
      </w:r>
    </w:p>
    <w:p>
      <w:pPr>
        <w:shd w:val="clear" w:color="auto" w:fill="F5F5F5"/>
        <w:spacing w:after="0"/>
      </w:pPr>
      <w:r>
        <w:rPr>
          <w:rFonts w:ascii="Consolas" w:hAnsi="Consolas"/>
          <w:color w:val="1A1A1A"/>
          <w:sz w:val="19"/>
        </w:rPr>
        <w:t>+ historique anormal</w:t>
      </w:r>
    </w:p>
    <w:p>
      <w:pPr>
        <w:shd w:val="clear" w:color="auto" w:fill="F5F5F5"/>
        <w:spacing w:after="0"/>
      </w:pPr>
      <w:r>
        <w:rPr>
          <w:rFonts w:ascii="Consolas" w:hAnsi="Consolas"/>
          <w:color w:val="1A1A1A"/>
          <w:sz w:val="19"/>
        </w:rPr>
        <w:t xml:space="preserve">        ↓</w:t>
      </w:r>
    </w:p>
    <w:p>
      <w:pPr>
        <w:shd w:val="clear" w:color="auto" w:fill="F5F5F5"/>
        <w:spacing w:after="0"/>
      </w:pPr>
      <w:r>
        <w:rPr>
          <w:rFonts w:ascii="Consolas" w:hAnsi="Consolas"/>
          <w:color w:val="1A1A1A"/>
          <w:sz w:val="19"/>
        </w:rPr>
        <w:t>ANOMALIE</w:t>
      </w:r>
    </w:p>
    <w:p>
      <w:pPr>
        <w:shd w:val="clear" w:color="auto" w:fill="F5F5F5"/>
        <w:spacing w:after="0"/>
      </w:pPr>
      <w:r>
        <w:rPr>
          <w:rFonts w:ascii="Consolas" w:hAnsi="Consolas"/>
          <w:color w:val="1A1A1A"/>
          <w:sz w:val="19"/>
        </w:rPr>
        <w:t xml:space="preserve">        ↓</w:t>
      </w:r>
    </w:p>
    <w:p>
      <w:pPr>
        <w:shd w:val="clear" w:color="auto" w:fill="F5F5F5"/>
        <w:spacing w:after="0"/>
      </w:pPr>
      <w:r>
        <w:rPr>
          <w:rFonts w:ascii="Consolas" w:hAnsi="Consolas"/>
          <w:color w:val="1A1A1A"/>
          <w:sz w:val="19"/>
        </w:rPr>
        <w:t>IA contextualise</w:t>
      </w:r>
    </w:p>
    <w:p>
      <w:pPr>
        <w:shd w:val="clear" w:color="auto" w:fill="F5F5F5"/>
        <w:spacing w:after="0"/>
      </w:pPr>
      <w:r>
        <w:rPr>
          <w:rFonts w:ascii="Consolas" w:hAnsi="Consolas"/>
          <w:color w:val="1A1A1A"/>
          <w:sz w:val="19"/>
        </w:rPr>
        <w:t xml:space="preserve">        ↓</w:t>
      </w:r>
    </w:p>
    <w:p>
      <w:pPr>
        <w:shd w:val="clear" w:color="auto" w:fill="F5F5F5"/>
        <w:spacing w:after="0"/>
      </w:pPr>
      <w:r>
        <w:rPr>
          <w:rFonts w:ascii="Consolas" w:hAnsi="Consolas"/>
          <w:color w:val="1A1A1A"/>
          <w:sz w:val="19"/>
        </w:rPr>
        <w:t>RISQUE SÉCHERESSE</w:t>
      </w:r>
    </w:p>
    <w:p>
      <w:pPr>
        <w:shd w:val="clear" w:color="auto" w:fill="F5F5F5"/>
        <w:spacing w:after="0"/>
      </w:pPr>
      <w:r>
        <w:rPr>
          <w:rFonts w:ascii="Consolas" w:hAnsi="Consolas"/>
          <w:color w:val="1A1A1A"/>
          <w:sz w:val="19"/>
        </w:rPr>
        <w:t xml:space="preserve">        ↓</w:t>
      </w:r>
    </w:p>
    <w:p>
      <w:pPr>
        <w:shd w:val="clear" w:color="auto" w:fill="F5F5F5"/>
        <w:spacing w:after="0"/>
      </w:pPr>
      <w:r>
        <w:rPr>
          <w:rFonts w:ascii="Consolas" w:hAnsi="Consolas"/>
          <w:color w:val="1A1A1A"/>
          <w:sz w:val="19"/>
        </w:rPr>
        <w:t>ORANGE</w:t>
      </w:r>
    </w:p>
    <w:p/>
    <w:p>
      <w:pPr>
        <w:pStyle w:val="Heading1"/>
      </w:pPr>
      <w:r>
        <w:t>6. Niveaux de risque et scoring</w:t>
      </w:r>
    </w:p>
    <w:p>
      <w:pPr>
        <w:pStyle w:val="Heading2"/>
      </w:pPr>
      <w:r>
        <w:t>6.1 Niveaux ordinaux</w:t>
      </w:r>
    </w:p>
    <w:p>
      <w:r>
        <w:t>Le Risk Engine utilise quatre niveaux ordinaux pour caractériser la gravité estimée d'un incident ou d'une zone. Cette échelle est omniprésente dans l'interface afin de fournir une lecture immédiate de l'état du territoire, complétée par les scores quantitatifs.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B5E20"/>
          </w:tcPr>
          <w:p>
            <w:r/>
            <w:r>
              <w:rPr>
                <w:b/>
                <w:color w:val="FFFFFF"/>
                <w:sz w:val="20"/>
              </w:rPr>
              <w:t>Niveau</w:t>
            </w:r>
          </w:p>
        </w:tc>
        <w:tc>
          <w:tcPr>
            <w:tcW w:type="dxa" w:w="3135"/>
            <w:shd w:val="clear" w:color="auto" w:fill="1B5E20"/>
          </w:tcPr>
          <w:p>
            <w:r/>
            <w:r>
              <w:rPr>
                <w:b/>
                <w:color w:val="FFFFFF"/>
                <w:sz w:val="20"/>
              </w:rPr>
              <w:t>Étiquette</w:t>
            </w:r>
          </w:p>
        </w:tc>
        <w:tc>
          <w:tcPr>
            <w:tcW w:type="dxa" w:w="3135"/>
            <w:shd w:val="clear" w:color="auto" w:fill="1B5E20"/>
          </w:tcPr>
          <w:p>
            <w:r/>
            <w:r>
              <w:rPr>
                <w:b/>
                <w:color w:val="FFFFFF"/>
                <w:sz w:val="20"/>
              </w:rPr>
              <w:t>Interprétation opérationnelle</w:t>
            </w:r>
          </w:p>
        </w:tc>
      </w:tr>
      <w:tr>
        <w:tc>
          <w:tcPr>
            <w:tcW w:type="dxa" w:w="3135"/>
          </w:tcPr>
          <w:p>
            <w:r/>
            <w:r>
              <w:rPr>
                <w:sz w:val="28"/>
              </w:rPr>
              <w:t>🟢</w:t>
            </w:r>
          </w:p>
        </w:tc>
        <w:tc>
          <w:tcPr>
            <w:tcW w:type="dxa" w:w="3135"/>
          </w:tcPr>
          <w:p>
            <w:r/>
            <w:r>
              <w:rPr>
                <w:b/>
                <w:color w:val="0A2A1A"/>
                <w:sz w:val="20"/>
              </w:rPr>
              <w:t>Normal</w:t>
            </w:r>
          </w:p>
        </w:tc>
        <w:tc>
          <w:tcPr>
            <w:tcW w:type="dxa" w:w="3135"/>
          </w:tcPr>
          <w:p>
            <w:r/>
            <w:r>
              <w:rPr>
                <w:sz w:val="20"/>
              </w:rPr>
              <w:t>Pas d'anomalie significative détectée. Surveillance de routine.</w:t>
            </w:r>
          </w:p>
        </w:tc>
      </w:tr>
      <w:tr>
        <w:tc>
          <w:tcPr>
            <w:tcW w:type="dxa" w:w="3135"/>
            <w:shd w:val="clear" w:color="auto" w:fill="F1F8E9"/>
          </w:tcPr>
          <w:p>
            <w:r/>
            <w:r>
              <w:rPr>
                <w:sz w:val="28"/>
              </w:rPr>
              <w:t>🟡</w:t>
            </w:r>
          </w:p>
        </w:tc>
        <w:tc>
          <w:tcPr>
            <w:tcW w:type="dxa" w:w="3135"/>
            <w:shd w:val="clear" w:color="auto" w:fill="F1F8E9"/>
          </w:tcPr>
          <w:p>
            <w:r/>
            <w:r>
              <w:rPr>
                <w:b/>
                <w:color w:val="0A2A1A"/>
                <w:sz w:val="20"/>
              </w:rPr>
              <w:t>Vigilance</w:t>
            </w:r>
          </w:p>
        </w:tc>
        <w:tc>
          <w:tcPr>
            <w:tcW w:type="dxa" w:w="3135"/>
            <w:shd w:val="clear" w:color="auto" w:fill="F1F8E9"/>
          </w:tcPr>
          <w:p>
            <w:r/>
            <w:r>
              <w:rPr>
                <w:sz w:val="20"/>
              </w:rPr>
              <w:t>Anomalie détectée mais faible ou isolée. À surveiller.</w:t>
            </w:r>
          </w:p>
        </w:tc>
      </w:tr>
      <w:tr>
        <w:tc>
          <w:tcPr>
            <w:tcW w:type="dxa" w:w="3135"/>
          </w:tcPr>
          <w:p>
            <w:r/>
            <w:r>
              <w:rPr>
                <w:sz w:val="28"/>
              </w:rPr>
              <w:t>🟠</w:t>
            </w:r>
          </w:p>
        </w:tc>
        <w:tc>
          <w:tcPr>
            <w:tcW w:type="dxa" w:w="3135"/>
          </w:tcPr>
          <w:p>
            <w:r/>
            <w:r>
              <w:rPr>
                <w:b/>
                <w:color w:val="0A2A1A"/>
                <w:sz w:val="20"/>
              </w:rPr>
              <w:t>Risque élevé</w:t>
            </w:r>
          </w:p>
        </w:tc>
        <w:tc>
          <w:tcPr>
            <w:tcW w:type="dxa" w:w="3135"/>
          </w:tcPr>
          <w:p>
            <w:r/>
            <w:r>
              <w:rPr>
                <w:sz w:val="20"/>
              </w:rPr>
              <w:t>Convergence de signaux anormaux. Action recommandée.</w:t>
            </w:r>
          </w:p>
        </w:tc>
      </w:tr>
      <w:tr>
        <w:tc>
          <w:tcPr>
            <w:tcW w:type="dxa" w:w="3135"/>
            <w:shd w:val="clear" w:color="auto" w:fill="F1F8E9"/>
          </w:tcPr>
          <w:p>
            <w:r/>
            <w:r>
              <w:rPr>
                <w:sz w:val="28"/>
              </w:rPr>
              <w:t>🔴</w:t>
            </w:r>
          </w:p>
        </w:tc>
        <w:tc>
          <w:tcPr>
            <w:tcW w:type="dxa" w:w="3135"/>
            <w:shd w:val="clear" w:color="auto" w:fill="F1F8E9"/>
          </w:tcPr>
          <w:p>
            <w:r/>
            <w:r>
              <w:rPr>
                <w:b/>
                <w:color w:val="0A2A1A"/>
                <w:sz w:val="20"/>
              </w:rPr>
              <w:t>Danger critique</w:t>
            </w:r>
          </w:p>
        </w:tc>
        <w:tc>
          <w:tcPr>
            <w:tcW w:type="dxa" w:w="3135"/>
            <w:shd w:val="clear" w:color="auto" w:fill="F1F8E9"/>
          </w:tcPr>
          <w:p>
            <w:r/>
            <w:r>
              <w:rPr>
                <w:sz w:val="20"/>
              </w:rPr>
              <w:t>Anomalies graves et/ou multiples, confiance élevée. Alerte immédiate.</w:t>
            </w:r>
          </w:p>
        </w:tc>
      </w:tr>
    </w:tbl>
    <w:p>
      <w:pPr>
        <w:pStyle w:val="Heading2"/>
      </w:pPr>
      <w:r>
        <w:t>6.2 Risk Score et Confidence Score</w:t>
      </w:r>
    </w:p>
    <w:p>
      <w:r>
        <w:t>Les deux scores numériques complémentaires — Risk Score et Confidence Score — évitent de confondre gravité et certitude. Un incident avec un Risk Score élevé mais un Confidence Score bas ne doit pas être traité comme un danger avéré : il indique une situation potentiellement grave mais dont les sources sont limitées ou divergentes. Inversement, un incident avec un Risk Score modéré et un Confidence Score élevé correspond à une situation bien caractérisée, dont la gravité reste contenue.</w:t>
      </w:r>
    </w:p>
    <w:p>
      <w:r>
        <w:t>Cette dissociation est essentielle pour la crédibilité du système auprès des décideurs : elle évite les sur-réactions à des détections bruitées comme les sous-réactions à des signaux graves mais mal confirmés. Les deux scores sont historisés et permettent une analyse de trajectoire.</w:t>
      </w:r>
    </w:p>
    <w:p>
      <w:pPr>
        <w:pStyle w:val="Heading1"/>
      </w:pPr>
      <w:r>
        <w:t>7. Indice Environnemental de Zone (IEZ)</w:t>
      </w:r>
    </w:p>
    <w:p>
      <w:r>
        <w:t>L'IEZ est l'une des fonctions centrales du projet. Chaque zone possède un score composite 0–100 qui synthétise l'état environnemental. La grille de lecture est conçue pour être immédiatement compréhensible par un décideur non expert, tout en reposant sur des indicateurs scientifiquement défendables.</w:t>
      </w:r>
    </w:p>
    <w:p>
      <w:pPr>
        <w:pStyle w:val="Heading2"/>
      </w:pPr>
      <w:r>
        <w:t>7.1 Grille de lecture</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B5E20"/>
          </w:tcPr>
          <w:p>
            <w:r/>
            <w:r>
              <w:rPr>
                <w:b/>
                <w:color w:val="FFFFFF"/>
                <w:sz w:val="20"/>
              </w:rPr>
              <w:t>Score IEZ</w:t>
            </w:r>
          </w:p>
        </w:tc>
        <w:tc>
          <w:tcPr>
            <w:tcW w:type="dxa" w:w="3135"/>
            <w:shd w:val="clear" w:color="auto" w:fill="1B5E20"/>
          </w:tcPr>
          <w:p>
            <w:r/>
            <w:r>
              <w:rPr>
                <w:b/>
                <w:color w:val="FFFFFF"/>
                <w:sz w:val="20"/>
              </w:rPr>
              <w:t>État</w:t>
            </w:r>
          </w:p>
        </w:tc>
        <w:tc>
          <w:tcPr>
            <w:tcW w:type="dxa" w:w="3135"/>
            <w:shd w:val="clear" w:color="auto" w:fill="1B5E20"/>
          </w:tcPr>
          <w:p>
            <w:r/>
            <w:r>
              <w:rPr>
                <w:b/>
                <w:color w:val="FFFFFF"/>
                <w:sz w:val="20"/>
              </w:rPr>
              <w:t>Couleur</w:t>
            </w:r>
          </w:p>
        </w:tc>
      </w:tr>
      <w:tr>
        <w:tc>
          <w:tcPr>
            <w:tcW w:type="dxa" w:w="3135"/>
          </w:tcPr>
          <w:p>
            <w:r/>
            <w:r>
              <w:rPr>
                <w:b/>
                <w:sz w:val="20"/>
              </w:rPr>
              <w:t>85–100</w:t>
            </w:r>
          </w:p>
        </w:tc>
        <w:tc>
          <w:tcPr>
            <w:tcW w:type="dxa" w:w="3135"/>
          </w:tcPr>
          <w:p>
            <w:r/>
            <w:r>
              <w:rPr>
                <w:color w:val="0A2A1A"/>
                <w:sz w:val="20"/>
              </w:rPr>
              <w:t>Bon</w:t>
            </w:r>
          </w:p>
        </w:tc>
        <w:tc>
          <w:tcPr>
            <w:tcW w:type="dxa" w:w="3135"/>
          </w:tcPr>
          <w:p>
            <w:r/>
            <w:r>
              <w:rPr>
                <w:sz w:val="20"/>
              </w:rPr>
              <w:t>🟢</w:t>
            </w:r>
          </w:p>
        </w:tc>
      </w:tr>
      <w:tr>
        <w:tc>
          <w:tcPr>
            <w:tcW w:type="dxa" w:w="3135"/>
            <w:shd w:val="clear" w:color="auto" w:fill="F1F8E9"/>
          </w:tcPr>
          <w:p>
            <w:r/>
            <w:r>
              <w:rPr>
                <w:b/>
                <w:sz w:val="20"/>
              </w:rPr>
              <w:t>65–84</w:t>
            </w:r>
          </w:p>
        </w:tc>
        <w:tc>
          <w:tcPr>
            <w:tcW w:type="dxa" w:w="3135"/>
            <w:shd w:val="clear" w:color="auto" w:fill="F1F8E9"/>
          </w:tcPr>
          <w:p>
            <w:r/>
            <w:r>
              <w:rPr>
                <w:color w:val="0A2A1A"/>
                <w:sz w:val="20"/>
              </w:rPr>
              <w:t>Vigilance</w:t>
            </w:r>
          </w:p>
        </w:tc>
        <w:tc>
          <w:tcPr>
            <w:tcW w:type="dxa" w:w="3135"/>
            <w:shd w:val="clear" w:color="auto" w:fill="F1F8E9"/>
          </w:tcPr>
          <w:p>
            <w:r/>
            <w:r>
              <w:rPr>
                <w:sz w:val="20"/>
              </w:rPr>
              <w:t>🟡</w:t>
            </w:r>
          </w:p>
        </w:tc>
      </w:tr>
      <w:tr>
        <w:tc>
          <w:tcPr>
            <w:tcW w:type="dxa" w:w="3135"/>
          </w:tcPr>
          <w:p>
            <w:r/>
            <w:r>
              <w:rPr>
                <w:b/>
                <w:sz w:val="20"/>
              </w:rPr>
              <w:t>40–64</w:t>
            </w:r>
          </w:p>
        </w:tc>
        <w:tc>
          <w:tcPr>
            <w:tcW w:type="dxa" w:w="3135"/>
          </w:tcPr>
          <w:p>
            <w:r/>
            <w:r>
              <w:rPr>
                <w:color w:val="0A2A1A"/>
                <w:sz w:val="20"/>
              </w:rPr>
              <w:t>Dégradé</w:t>
            </w:r>
          </w:p>
        </w:tc>
        <w:tc>
          <w:tcPr>
            <w:tcW w:type="dxa" w:w="3135"/>
          </w:tcPr>
          <w:p>
            <w:r/>
            <w:r>
              <w:rPr>
                <w:sz w:val="20"/>
              </w:rPr>
              <w:t>🟠</w:t>
            </w:r>
          </w:p>
        </w:tc>
      </w:tr>
      <w:tr>
        <w:tc>
          <w:tcPr>
            <w:tcW w:type="dxa" w:w="3135"/>
            <w:shd w:val="clear" w:color="auto" w:fill="F1F8E9"/>
          </w:tcPr>
          <w:p>
            <w:r/>
            <w:r>
              <w:rPr>
                <w:b/>
                <w:sz w:val="20"/>
              </w:rPr>
              <w:t>0–39</w:t>
            </w:r>
          </w:p>
        </w:tc>
        <w:tc>
          <w:tcPr>
            <w:tcW w:type="dxa" w:w="3135"/>
            <w:shd w:val="clear" w:color="auto" w:fill="F1F8E9"/>
          </w:tcPr>
          <w:p>
            <w:r/>
            <w:r>
              <w:rPr>
                <w:color w:val="0A2A1A"/>
                <w:sz w:val="20"/>
              </w:rPr>
              <w:t>Critique</w:t>
            </w:r>
          </w:p>
        </w:tc>
        <w:tc>
          <w:tcPr>
            <w:tcW w:type="dxa" w:w="3135"/>
            <w:shd w:val="clear" w:color="auto" w:fill="F1F8E9"/>
          </w:tcPr>
          <w:p>
            <w:r/>
            <w:r>
              <w:rPr>
                <w:sz w:val="20"/>
              </w:rPr>
              <w:t>🔴</w:t>
            </w:r>
          </w:p>
        </w:tc>
      </w:tr>
    </w:tbl>
    <w:p>
      <w:pPr>
        <w:pStyle w:val="Heading2"/>
      </w:pPr>
      <w:r>
        <w:t>7.2 Composantes de l'IEZ</w:t>
      </w:r>
    </w:p>
    <w:p>
      <w:r>
        <w:t>L'IEZ combine plusieurs dimensions environnementales afin de produire une vision intégrée plutôt qu'une juxtaposition de scores. Les pondérations exactes seront calibrées en phase de prototypage à partir de cas réels, mais la structure des composantes est figée par conception :</w:t>
      </w:r>
    </w:p>
    <w:p>
      <w:pPr>
        <w:pStyle w:val="ListBullet"/>
        <w:spacing w:after="40"/>
      </w:pPr>
      <w:r>
        <w:t>Végétation (NDVI, dégradation)</w:t>
      </w:r>
    </w:p>
    <w:p>
      <w:pPr>
        <w:pStyle w:val="ListBullet"/>
        <w:spacing w:after="40"/>
      </w:pPr>
      <w:r>
        <w:t>Eau (surface et qualité)</w:t>
      </w:r>
    </w:p>
    <w:p>
      <w:pPr>
        <w:pStyle w:val="ListBullet"/>
        <w:spacing w:after="40"/>
      </w:pPr>
      <w:r>
        <w:t>Incendies (fréquence, surface)</w:t>
      </w:r>
    </w:p>
    <w:p>
      <w:pPr>
        <w:pStyle w:val="ListBullet"/>
        <w:spacing w:after="40"/>
      </w:pPr>
      <w:r>
        <w:t>Atmosphère (NO₂, aérosols)</w:t>
      </w:r>
    </w:p>
    <w:p>
      <w:pPr>
        <w:pStyle w:val="ListBullet"/>
        <w:spacing w:after="40"/>
      </w:pPr>
      <w:r>
        <w:t>Climat (anomalies température et pluie)</w:t>
      </w:r>
    </w:p>
    <w:p>
      <w:pPr>
        <w:pStyle w:val="ListBullet"/>
        <w:spacing w:after="40"/>
      </w:pPr>
      <w:r>
        <w:t>Pression humaine</w:t>
      </w:r>
    </w:p>
    <w:p>
      <w:pPr>
        <w:pStyle w:val="ListBullet"/>
        <w:spacing w:after="40"/>
      </w:pPr>
      <w:r>
        <w:t>Vulnérabilité de la zone</w:t>
      </w:r>
    </w:p>
    <w:p>
      <w:pPr>
        <w:pStyle w:val="Heading2"/>
      </w:pPr>
      <w:r>
        <w:t>7.3 Dimension historique</w:t>
      </w:r>
    </w:p>
    <w:p>
      <w:r>
        <w:t>L'IEZ est historisé. La plateforme affiche non seulement l'IEZ courant, mais aussi ses valeurs sur fenêtres glissantes (7 jours, 30 jours, 1 an). L'application ne montre donc pas uniquement l'état actuel d'une zone, mais sa trajectoire environnementale, ce qui permet de distinguer une dégradation soudaine d'une dégradation chronique et de qualifier la dynamique observée.</w:t>
      </w:r>
    </w:p>
    <w:p>
      <w:pPr>
        <w:spacing w:before="120" w:after="200"/>
        <w:jc w:val="center"/>
        <w:shd w:val="clear" w:color="auto" w:fill="F1F8E9"/>
      </w:pPr>
      <w:r>
        <w:rPr>
          <w:b/>
          <w:color w:val="1B5E20"/>
          <w:sz w:val="22"/>
        </w:rPr>
        <w:t>IEZ actuel : 71    |    7 jours : 74    |    30 jours : 79    |    1 an : 83</w:t>
      </w:r>
    </w:p>
    <w:p>
      <w:pPr>
        <w:pStyle w:val="Heading1"/>
      </w:pPr>
      <w:r>
        <w:t>8. Scénario concret de fonctionnement</w:t>
      </w:r>
    </w:p>
    <w:p>
      <w:r>
        <w:t>Pour illustrer l'articulation des modules, voici un scénario concret sur une zone agricole de Ségou. Ce scénario montre comment les sources multiples alimentent le moteur, comment le moteur détecte l'anomalie, comment Groq intervient et comment le système décide du niveau de risque et recalcule l'IEZ.</w:t>
      </w:r>
    </w:p>
    <w:p>
      <w:pPr>
        <w:pStyle w:val="Heading2"/>
      </w:pPr>
      <w:r>
        <w:t>8.1 Réception des données</w:t>
      </w:r>
    </w:p>
    <w:p>
      <w:pPr>
        <w:pStyle w:val="ListBullet"/>
        <w:spacing w:after="40"/>
      </w:pPr>
      <w:r>
        <w:t>CHIRPS → déficit de pluie détecté</w:t>
      </w:r>
    </w:p>
    <w:p>
      <w:pPr>
        <w:pStyle w:val="ListBullet"/>
        <w:spacing w:after="40"/>
      </w:pPr>
      <w:r>
        <w:t>NASA POWER → température élevée détectée</w:t>
      </w:r>
    </w:p>
    <w:p>
      <w:pPr>
        <w:pStyle w:val="ListBullet"/>
        <w:spacing w:after="40"/>
      </w:pPr>
      <w:r>
        <w:t>Sentinel-2 → NDVI en baisse détecté</w:t>
      </w:r>
    </w:p>
    <w:p>
      <w:pPr>
        <w:pStyle w:val="ListBullet"/>
        <w:spacing w:after="40"/>
      </w:pPr>
      <w:r>
        <w:t>Historique → situation inhabituelle confirmée</w:t>
      </w:r>
    </w:p>
    <w:p>
      <w:pPr>
        <w:pStyle w:val="Heading2"/>
      </w:pPr>
      <w:r>
        <w:t>8.2 Détection par le moteur scientifique</w:t>
      </w:r>
    </w:p>
    <w:p>
      <w:r>
        <w:t>Le moteur scientifique — pas l'IA — détecte l'anomalie climatique et végétative. Cette séparation est essentielle : la détection repose sur des seuils statistiques, des comparaisons à des climatologies, et des règles déterministes auditables. L'IA n'intervient qu'ensuite.</w:t>
      </w:r>
    </w:p>
    <w:p>
      <w:pPr>
        <w:pStyle w:val="Heading2"/>
      </w:pPr>
      <w:r>
        <w:t>8.3 Intervention de Groq</w:t>
      </w:r>
    </w:p>
    <w:p>
      <w:r>
        <w:t>Groq reçoit uniquement les données structurées pré-calculées par le moteur. Il ne reçoit jamais les données brutes satellites, ce qui évite les coûts inutiles et les hallucinations sur des données trop riches. Voici un exemple de payload envoyé :</w:t>
      </w:r>
    </w:p>
    <w:p>
      <w:pPr>
        <w:shd w:val="clear" w:color="auto" w:fill="F5F5F5"/>
        <w:spacing w:after="0"/>
      </w:pPr>
      <w:r>
        <w:rPr>
          <w:rFonts w:ascii="Consolas" w:hAnsi="Consolas"/>
          <w:color w:val="1A1A1A"/>
          <w:sz w:val="20"/>
        </w:rPr>
        <w:t>zone = Ségou</w:t>
      </w:r>
    </w:p>
    <w:p>
      <w:pPr>
        <w:shd w:val="clear" w:color="auto" w:fill="F5F5F5"/>
        <w:spacing w:after="0"/>
      </w:pPr>
      <w:r>
        <w:rPr>
          <w:rFonts w:ascii="Consolas" w:hAnsi="Consolas"/>
          <w:color w:val="1A1A1A"/>
          <w:sz w:val="20"/>
        </w:rPr>
        <w:t>ndvi_change = -31%</w:t>
      </w:r>
    </w:p>
    <w:p>
      <w:pPr>
        <w:shd w:val="clear" w:color="auto" w:fill="F5F5F5"/>
        <w:spacing w:after="0"/>
      </w:pPr>
      <w:r>
        <w:rPr>
          <w:rFonts w:ascii="Consolas" w:hAnsi="Consolas"/>
          <w:color w:val="1A1A1A"/>
          <w:sz w:val="20"/>
        </w:rPr>
        <w:t>rainfall_anomaly = -42%</w:t>
      </w:r>
    </w:p>
    <w:p>
      <w:pPr>
        <w:shd w:val="clear" w:color="auto" w:fill="F5F5F5"/>
        <w:spacing w:after="0"/>
      </w:pPr>
      <w:r>
        <w:rPr>
          <w:rFonts w:ascii="Consolas" w:hAnsi="Consolas"/>
          <w:color w:val="1A1A1A"/>
          <w:sz w:val="20"/>
        </w:rPr>
        <w:t>temperature_anomaly = +2.7°C</w:t>
      </w:r>
    </w:p>
    <w:p>
      <w:pPr>
        <w:shd w:val="clear" w:color="auto" w:fill="F5F5F5"/>
        <w:spacing w:after="0"/>
      </w:pPr>
      <w:r>
        <w:rPr>
          <w:rFonts w:ascii="Consolas" w:hAnsi="Consolas"/>
          <w:color w:val="1A1A1A"/>
          <w:sz w:val="20"/>
        </w:rPr>
        <w:t>historical_baseline = ...</w:t>
      </w:r>
    </w:p>
    <w:p/>
    <w:p>
      <w:r>
        <w:t>Groq produit alors une analyse en langage naturel, par exemple : les indicateurs montrent une dégradation inhabituelle de l'état végétatif, associée à un déficit pluviométrique et à une température supérieure à la normale. Cette analyse est affichée dans l'interface comme contexte explicatif, mais ne déclenche pas la décision de risque.</w:t>
      </w:r>
    </w:p>
    <w:p>
      <w:pPr>
        <w:pStyle w:val="Heading2"/>
      </w:pPr>
      <w:r>
        <w:t>8.4 Décision et recalcul</w:t>
      </w:r>
    </w:p>
    <w:p>
      <w:r>
        <w:t>Le moteur décide, sur la base de ses propres règles et des anomalies quantifiées : Risk = ORANGE. Puis il recalcule l'IEZ de la zone : IEZ = 58/100. Cette décision est traçable : chaque anomalie source est conservée, chaque seuil appliqué est journalisé, et l'analyse de Groq est rattachée à l'incident comme métadonnée explicative, jamais comme cause de la décision.</w:t>
      </w:r>
    </w:p>
    <w:p>
      <w:pPr>
        <w:pStyle w:val="Heading1"/>
      </w:pPr>
      <w:r>
        <w:t>9. Architecture technique</w:t>
      </w:r>
    </w:p>
    <w:p>
      <w:pPr>
        <w:pStyle w:val="Heading2"/>
      </w:pPr>
      <w:r>
        <w:t>9.1 Stack définitive du premier prototype</w:t>
      </w:r>
    </w:p>
    <w:p>
      <w:pPr>
        <w:pStyle w:val="Heading3"/>
      </w:pPr>
      <w:r>
        <w:t>9.1.1 Backend — Django pur</w:t>
      </w:r>
    </w:p>
    <w:p>
      <w:r>
        <w:t>Le backend du MVP est construit en Django pur, sans React. Ce choix vise à accélérer le démarrage en supprimant la complexité d'une API séparée et d'un frontend découplé, tout en conservant une base technique mature et bien outillée. Django REST Framework est ajouté uniquement si une interface API devient nécessaire pour un cas d'usage spécifique (par exemple un futur application mobile).</w:t>
      </w:r>
    </w:p>
    <w:p>
      <w:pPr>
        <w:pStyle w:val="ListBullet"/>
        <w:spacing w:after="40"/>
      </w:pPr>
      <w:r>
        <w:t>Django — framework web</w:t>
      </w:r>
    </w:p>
    <w:p>
      <w:pPr>
        <w:pStyle w:val="ListBullet"/>
        <w:spacing w:after="40"/>
      </w:pPr>
      <w:r>
        <w:t>Django Templates — rendu serveur</w:t>
      </w:r>
    </w:p>
    <w:p>
      <w:pPr>
        <w:pStyle w:val="ListBullet"/>
        <w:spacing w:after="40"/>
      </w:pPr>
      <w:r>
        <w:t>Django ORM — accès base de données</w:t>
      </w:r>
    </w:p>
    <w:p>
      <w:pPr>
        <w:pStyle w:val="ListBullet"/>
        <w:spacing w:after="40"/>
      </w:pPr>
      <w:r>
        <w:t>Django REST Framework — seulement si nécessaire</w:t>
      </w:r>
    </w:p>
    <w:p>
      <w:pPr>
        <w:pStyle w:val="ListBullet"/>
        <w:spacing w:after="40"/>
      </w:pPr>
      <w:r>
        <w:t>PostgreSQL — base relationnelle</w:t>
      </w:r>
    </w:p>
    <w:p>
      <w:pPr>
        <w:pStyle w:val="ListBullet"/>
        <w:spacing w:after="40"/>
      </w:pPr>
      <w:r>
        <w:t>PostGIS — extension spatiale</w:t>
      </w:r>
    </w:p>
    <w:p>
      <w:pPr>
        <w:pStyle w:val="ListBullet"/>
        <w:spacing w:after="40"/>
      </w:pPr>
      <w:r>
        <w:t>Celery — tâches asynchrones</w:t>
      </w:r>
    </w:p>
    <w:p>
      <w:pPr>
        <w:pStyle w:val="ListBullet"/>
        <w:spacing w:after="40"/>
      </w:pPr>
      <w:r>
        <w:t>Redis — file d'attente et cache</w:t>
      </w:r>
    </w:p>
    <w:p>
      <w:pPr>
        <w:pStyle w:val="Heading2"/>
      </w:pPr>
      <w:r>
        <w:t>9.1.2 Frontend — Templates + CSS + JS</w:t>
      </w:r>
    </w:p>
    <w:p>
      <w:r>
        <w:t>Le frontend est volontairement simple : Django Templates, HTML, CSS et JavaScript. Cette approche permet d'aller beaucoup plus vite que la construction d'une API complète + React + backend séparé dès le début. Les bibliothèques retenues sont matures, légères et compatibles avec un rendu côté serveur.</w:t>
      </w:r>
    </w:p>
    <w:p>
      <w:pPr>
        <w:pStyle w:val="ListBullet"/>
        <w:spacing w:after="40"/>
      </w:pPr>
      <w:r>
        <w:t>Tailwind CSS — utilitaires de style</w:t>
      </w:r>
    </w:p>
    <w:p>
      <w:pPr>
        <w:pStyle w:val="ListBullet"/>
        <w:spacing w:after="40"/>
      </w:pPr>
      <w:r>
        <w:t>Alpine.js — interactivité légère si nécessaire</w:t>
      </w:r>
    </w:p>
    <w:p>
      <w:pPr>
        <w:pStyle w:val="ListBullet"/>
        <w:spacing w:after="40"/>
      </w:pPr>
      <w:r>
        <w:t>Leaflet ou MapLibre — cartographie interactive</w:t>
      </w:r>
    </w:p>
    <w:p>
      <w:pPr>
        <w:pStyle w:val="ListBullet"/>
        <w:spacing w:after="40"/>
      </w:pPr>
      <w:r>
        <w:t>Chart.js — graphiques temporels</w:t>
      </w:r>
    </w:p>
    <w:p>
      <w:pPr>
        <w:pStyle w:val="Heading2"/>
      </w:pPr>
      <w:r>
        <w:t>9.2 Schéma d'architecture globale</w:t>
      </w:r>
    </w:p>
    <w:p>
      <w:r>
        <w:t>Le schéma ci-dessous présente l'organisation des trois familles de sources (satellites, climat, terrain), leur ingestion, leur normalisation et la chaîne analytique qui aboutit à la plateforme Django et à la carte du Mali.</w:t>
      </w:r>
    </w:p>
    <w:p>
      <w:pPr>
        <w:shd w:val="clear" w:color="auto" w:fill="F5F5F5"/>
        <w:spacing w:after="0" w:line="240" w:lineRule="auto"/>
      </w:pPr>
      <w:r>
        <w:rPr>
          <w:rFonts w:ascii="Consolas" w:hAnsi="Consolas"/>
          <w:color w:val="1A1A1A"/>
          <w:sz w:val="17"/>
        </w:rPr>
        <w:t xml:space="preserve">                    ECO-SURVEILLANCE MALI</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                    │                    │</w:t>
      </w:r>
    </w:p>
    <w:p>
      <w:pPr>
        <w:shd w:val="clear" w:color="auto" w:fill="F5F5F5"/>
        <w:spacing w:after="0" w:line="240" w:lineRule="auto"/>
      </w:pPr>
      <w:r>
        <w:rPr>
          <w:rFonts w:ascii="Consolas" w:hAnsi="Consolas"/>
          <w:color w:val="1A1A1A"/>
          <w:sz w:val="17"/>
        </w:rPr>
        <w:t xml:space="preserve">   SATELLITES            CLIMAT              TERRAIN</w:t>
      </w:r>
    </w:p>
    <w:p>
      <w:pPr>
        <w:shd w:val="clear" w:color="auto" w:fill="F5F5F5"/>
        <w:spacing w:after="0" w:line="240" w:lineRule="auto"/>
      </w:pPr>
      <w:r>
        <w:rPr>
          <w:rFonts w:ascii="Consolas" w:hAnsi="Consolas"/>
          <w:color w:val="1A1A1A"/>
          <w:sz w:val="17"/>
        </w:rPr>
        <w:t xml:space="preserve">       │                    │                    │</w:t>
      </w:r>
    </w:p>
    <w:p>
      <w:pPr>
        <w:shd w:val="clear" w:color="auto" w:fill="F5F5F5"/>
        <w:spacing w:after="0" w:line="240" w:lineRule="auto"/>
      </w:pPr>
      <w:r>
        <w:rPr>
          <w:rFonts w:ascii="Consolas" w:hAnsi="Consolas"/>
          <w:color w:val="1A1A1A"/>
          <w:sz w:val="17"/>
        </w:rPr>
        <w:t xml:space="preserve"> Sentinel-2             NASA POWER          Stations</w:t>
      </w:r>
    </w:p>
    <w:p>
      <w:pPr>
        <w:shd w:val="clear" w:color="auto" w:fill="F5F5F5"/>
        <w:spacing w:after="0" w:line="240" w:lineRule="auto"/>
      </w:pPr>
      <w:r>
        <w:rPr>
          <w:rFonts w:ascii="Consolas" w:hAnsi="Consolas"/>
          <w:color w:val="1A1A1A"/>
          <w:sz w:val="17"/>
        </w:rPr>
        <w:t xml:space="preserve"> Sentinel-5P            ERA5                simulées</w:t>
      </w:r>
    </w:p>
    <w:p>
      <w:pPr>
        <w:shd w:val="clear" w:color="auto" w:fill="F5F5F5"/>
        <w:spacing w:after="0" w:line="240" w:lineRule="auto"/>
      </w:pPr>
      <w:r>
        <w:rPr>
          <w:rFonts w:ascii="Consolas" w:hAnsi="Consolas"/>
          <w:color w:val="1A1A1A"/>
          <w:sz w:val="17"/>
        </w:rPr>
        <w:t xml:space="preserve"> Sentinel-1             CHIRPS</w:t>
      </w:r>
    </w:p>
    <w:p>
      <w:pPr>
        <w:shd w:val="clear" w:color="auto" w:fill="F5F5F5"/>
        <w:spacing w:after="0" w:line="240" w:lineRule="auto"/>
      </w:pPr>
      <w:r>
        <w:rPr>
          <w:rFonts w:ascii="Consolas" w:hAnsi="Consolas"/>
          <w:color w:val="1A1A1A"/>
          <w:sz w:val="17"/>
        </w:rPr>
        <w:t xml:space="preserve"> Landsat</w:t>
      </w:r>
    </w:p>
    <w:p>
      <w:pPr>
        <w:shd w:val="clear" w:color="auto" w:fill="F5F5F5"/>
        <w:spacing w:after="0" w:line="240" w:lineRule="auto"/>
      </w:pPr>
      <w:r>
        <w:rPr>
          <w:rFonts w:ascii="Consolas" w:hAnsi="Consolas"/>
          <w:color w:val="1A1A1A"/>
          <w:sz w:val="17"/>
        </w:rPr>
        <w:t xml:space="preserve"> FIRMS</w:t>
      </w:r>
    </w:p>
    <w:p>
      <w:pPr>
        <w:shd w:val="clear" w:color="auto" w:fill="F5F5F5"/>
        <w:spacing w:after="0" w:line="240" w:lineRule="auto"/>
      </w:pPr>
      <w:r>
        <w:rPr>
          <w:rFonts w:ascii="Consolas" w:hAnsi="Consolas"/>
          <w:color w:val="1A1A1A"/>
          <w:sz w:val="17"/>
        </w:rPr>
        <w:t xml:space="preserve">       │                    │                    │</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DATA INGESTION</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DATA NORMALIZATION</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ANALYTICS ENGINE</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ANOMALY DETECTION</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RISK ENGINE</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                   ↓</w:t>
      </w:r>
    </w:p>
    <w:p>
      <w:pPr>
        <w:shd w:val="clear" w:color="auto" w:fill="F5F5F5"/>
        <w:spacing w:after="0" w:line="240" w:lineRule="auto"/>
      </w:pPr>
      <w:r>
        <w:rPr>
          <w:rFonts w:ascii="Consolas" w:hAnsi="Consolas"/>
          <w:color w:val="1A1A1A"/>
          <w:sz w:val="17"/>
        </w:rPr>
        <w:t xml:space="preserve">                IEZ              AI ENGINE</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GROQ</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CONTEXT / ANALYSIS</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INCIDENT / ALERT</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DJANGO DASHBOARD</w:t>
      </w:r>
    </w:p>
    <w:p>
      <w:pPr>
        <w:shd w:val="clear" w:color="auto" w:fill="F5F5F5"/>
        <w:spacing w:after="0" w:line="240" w:lineRule="auto"/>
      </w:pPr>
      <w:r>
        <w:rPr>
          <w:rFonts w:ascii="Consolas" w:hAnsi="Consolas"/>
          <w:color w:val="1A1A1A"/>
          <w:sz w:val="17"/>
        </w:rPr>
        <w:t xml:space="preserve">                                      ↓</w:t>
      </w:r>
    </w:p>
    <w:p>
      <w:pPr>
        <w:shd w:val="clear" w:color="auto" w:fill="F5F5F5"/>
        <w:spacing w:after="0" w:line="240" w:lineRule="auto"/>
      </w:pPr>
      <w:r>
        <w:rPr>
          <w:rFonts w:ascii="Consolas" w:hAnsi="Consolas"/>
          <w:color w:val="1A1A1A"/>
          <w:sz w:val="17"/>
        </w:rPr>
        <w:t xml:space="preserve">                                  CARTE MALI</w:t>
      </w:r>
    </w:p>
    <w:p/>
    <w:p>
      <w:pPr>
        <w:pStyle w:val="Heading1"/>
      </w:pPr>
      <w:r>
        <w:t>10. Exigences non fonctionnelles</w:t>
      </w:r>
    </w:p>
    <w:p>
      <w:r>
        <w:t>Cette section regroupe les contraintes transverses qui s'appliquent à l'ensemble des modules fonctionnels. Elles sont issues de la recherche et des décisions architecturales prises lors de la phase de cadrage.</w:t>
      </w:r>
    </w:p>
    <w:p>
      <w:pPr>
        <w:pStyle w:val="Heading2"/>
      </w:pPr>
      <w:r>
        <w:t>10.1 Transparence des sources</w:t>
      </w:r>
    </w:p>
    <w:p>
      <w:r>
        <w:t>Chaque donnée affichée dans l'interface doit être accompagnée de sa source (satellite, climatique, station), de sa date d'acquisition, et de sa résolution spatiale ou temporelle. Aucune donnée simulée ne doit être présentée comme réelle : la mention SIMULATION doit être visible. Cette exigence est non négociable pour la crédibilité du système.</w:t>
      </w:r>
    </w:p>
    <w:p>
      <w:pPr>
        <w:pStyle w:val="Heading2"/>
      </w:pPr>
      <w:r>
        <w:t>10.2 Performance</w:t>
      </w:r>
    </w:p>
    <w:p>
      <w:r>
        <w:t>Le tableau de bord principal doit se charger en moins de 3 secondes pour le périmètre national. Les requêtes cartographiques (zoom, pan, sélection de zone) doivent rester fluides, ce qui implique un pré-calcul des agrégations spatiales via Celery plutôt que des calculs à la volée sur PostGIS pour les couches lourdes. Les appels à Earth Engine, lorsqu'ils sont utilisés, doivent être mis en cache pour éviter la surconsommation du quota gratuit.</w:t>
      </w:r>
    </w:p>
    <w:p>
      <w:pPr>
        <w:pStyle w:val="Heading2"/>
      </w:pPr>
      <w:r>
        <w:t>10.3 Limites d'usage des API externes</w:t>
      </w:r>
    </w:p>
    <w:p>
      <w:r>
        <w:t>Le système doit respecter les limites d'usage des API externes. Groq Free tier est soumis à des limites de requêtes et de tokens, parfaites pour le développement mais insuffisantes pour une production à gros volume. La conception prévoit donc un cache des analyses IA et un mode dégradé sans IA en cas de dépassement de quota. De même, Earth Engine impose des quotas gratuits mensuels pour les projets non commerciaux depuis avril 2026, ce qui justifie la couche d'abstraction SatelliteProvider.</w:t>
      </w:r>
    </w:p>
    <w:p>
      <w:pPr>
        <w:pStyle w:val="Heading2"/>
      </w:pPr>
      <w:r>
        <w:t>10.4 Maintenabilité</w:t>
      </w:r>
    </w:p>
    <w:p>
      <w:r>
        <w:t>Le code est organisé en modules Django cohérents avec les modules fonctionnels (geographic, satellite, fire, vegetation, water, climate, atmosphere, sensor, ai, risk). Chaque module expose des services réutilisables, des modèles PostGIS correspondants, et des tâches Celery planifiées. Cette organisation modulaire facilite les évolutions futures et l'ajout de nouvelles sources sans régression.</w:t>
      </w:r>
    </w:p>
    <w:p>
      <w:pPr>
        <w:pStyle w:val="Heading2"/>
      </w:pPr>
      <w:r>
        <w:t>10.5 Auditabilité</w:t>
      </w:r>
    </w:p>
    <w:p>
      <w:r>
        <w:t>Chaque incident, chaque anomalie, chaque calcul d'IEZ doit être journalisé avec ses entrées (données sources), ses seuils appliqués, et son résultat. Cette auditabilité est indispensable pour qu'un décideur puisse comprendre la genèse d'une alerte et pour qu'un scientifique puisse valider la méthode. L'auditabilité est aussi la garantie que l'IA n'a pas pris de décision : elle a seulement interprété.</w:t>
      </w:r>
    </w:p>
    <w:p>
      <w:pPr>
        <w:pStyle w:val="Heading1"/>
      </w:pPr>
      <w:r>
        <w:t>11. Livrables attendus du MVP</w:t>
      </w:r>
    </w:p>
    <w:p>
      <w:r>
        <w:t>À la fin du MVP, le prototype doit démontrer de façon consolidée les capacités listées ci-dessous. Chaque livrable est rattaché à un module responsable et à une source de vérité vérifiable.</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B5E20"/>
          </w:tcPr>
          <w:p>
            <w:r/>
            <w:r>
              <w:rPr>
                <w:b/>
                <w:color w:val="FFFFFF"/>
                <w:sz w:val="20"/>
              </w:rPr>
              <w:t>Livrable</w:t>
            </w:r>
          </w:p>
        </w:tc>
        <w:tc>
          <w:tcPr>
            <w:tcW w:type="dxa" w:w="3135"/>
            <w:shd w:val="clear" w:color="auto" w:fill="1B5E20"/>
          </w:tcPr>
          <w:p>
            <w:r/>
            <w:r>
              <w:rPr>
                <w:b/>
                <w:color w:val="FFFFFF"/>
                <w:sz w:val="20"/>
              </w:rPr>
              <w:t>Module responsable</w:t>
            </w:r>
          </w:p>
        </w:tc>
        <w:tc>
          <w:tcPr>
            <w:tcW w:type="dxa" w:w="3135"/>
            <w:shd w:val="clear" w:color="auto" w:fill="1B5E20"/>
          </w:tcPr>
          <w:p>
            <w:r/>
            <w:r>
              <w:rPr>
                <w:b/>
                <w:color w:val="FFFFFF"/>
                <w:sz w:val="20"/>
              </w:rPr>
              <w:t>Vérification</w:t>
            </w:r>
          </w:p>
        </w:tc>
      </w:tr>
      <w:tr>
        <w:tc>
          <w:tcPr>
            <w:tcW w:type="dxa" w:w="3135"/>
          </w:tcPr>
          <w:p>
            <w:r/>
            <w:r>
              <w:rPr>
                <w:b/>
                <w:color w:val="0A2A1A"/>
                <w:sz w:val="20"/>
              </w:rPr>
              <w:t>Dashboard</w:t>
            </w:r>
          </w:p>
        </w:tc>
        <w:tc>
          <w:tcPr>
            <w:tcW w:type="dxa" w:w="3135"/>
          </w:tcPr>
          <w:p>
            <w:r/>
            <w:r>
              <w:rPr>
                <w:sz w:val="20"/>
              </w:rPr>
              <w:t>—</w:t>
            </w:r>
          </w:p>
        </w:tc>
        <w:tc>
          <w:tcPr>
            <w:tcW w:type="dxa" w:w="3135"/>
          </w:tcPr>
          <w:p>
            <w:r/>
            <w:r>
              <w:rPr>
                <w:sz w:val="20"/>
              </w:rPr>
              <w:t>État environnemental du Mali sur une page</w:t>
            </w:r>
          </w:p>
        </w:tc>
      </w:tr>
      <w:tr>
        <w:tc>
          <w:tcPr>
            <w:tcW w:type="dxa" w:w="3135"/>
            <w:shd w:val="clear" w:color="auto" w:fill="F1F8E9"/>
          </w:tcPr>
          <w:p>
            <w:r/>
            <w:r>
              <w:rPr>
                <w:b/>
                <w:color w:val="0A2A1A"/>
                <w:sz w:val="20"/>
              </w:rPr>
              <w:t>Carte</w:t>
            </w:r>
          </w:p>
        </w:tc>
        <w:tc>
          <w:tcPr>
            <w:tcW w:type="dxa" w:w="3135"/>
            <w:shd w:val="clear" w:color="auto" w:fill="F1F8E9"/>
          </w:tcPr>
          <w:p>
            <w:r/>
            <w:r>
              <w:rPr>
                <w:sz w:val="20"/>
              </w:rPr>
              <w:t>Geographic</w:t>
            </w:r>
          </w:p>
        </w:tc>
        <w:tc>
          <w:tcPr>
            <w:tcW w:type="dxa" w:w="3135"/>
            <w:shd w:val="clear" w:color="auto" w:fill="F1F8E9"/>
          </w:tcPr>
          <w:p>
            <w:r/>
            <w:r>
              <w:rPr>
                <w:sz w:val="20"/>
              </w:rPr>
              <w:t>Zones + données + incidents</w:t>
            </w:r>
          </w:p>
        </w:tc>
      </w:tr>
      <w:tr>
        <w:tc>
          <w:tcPr>
            <w:tcW w:type="dxa" w:w="3135"/>
          </w:tcPr>
          <w:p>
            <w:r/>
            <w:r>
              <w:rPr>
                <w:b/>
                <w:color w:val="0A2A1A"/>
                <w:sz w:val="20"/>
              </w:rPr>
              <w:t>Feux</w:t>
            </w:r>
          </w:p>
        </w:tc>
        <w:tc>
          <w:tcPr>
            <w:tcW w:type="dxa" w:w="3135"/>
          </w:tcPr>
          <w:p>
            <w:r/>
            <w:r>
              <w:rPr>
                <w:sz w:val="20"/>
              </w:rPr>
              <w:t>Fire</w:t>
            </w:r>
          </w:p>
        </w:tc>
        <w:tc>
          <w:tcPr>
            <w:tcW w:type="dxa" w:w="3135"/>
          </w:tcPr>
          <w:p>
            <w:r/>
            <w:r>
              <w:rPr>
                <w:sz w:val="20"/>
              </w:rPr>
              <w:t>Vraies données NASA FIRMS</w:t>
            </w:r>
          </w:p>
        </w:tc>
      </w:tr>
      <w:tr>
        <w:tc>
          <w:tcPr>
            <w:tcW w:type="dxa" w:w="3135"/>
            <w:shd w:val="clear" w:color="auto" w:fill="F1F8E9"/>
          </w:tcPr>
          <w:p>
            <w:r/>
            <w:r>
              <w:rPr>
                <w:b/>
                <w:color w:val="0A2A1A"/>
                <w:sz w:val="20"/>
              </w:rPr>
              <w:t>Végétation</w:t>
            </w:r>
          </w:p>
        </w:tc>
        <w:tc>
          <w:tcPr>
            <w:tcW w:type="dxa" w:w="3135"/>
            <w:shd w:val="clear" w:color="auto" w:fill="F1F8E9"/>
          </w:tcPr>
          <w:p>
            <w:r/>
            <w:r>
              <w:rPr>
                <w:sz w:val="20"/>
              </w:rPr>
              <w:t>Vegetation + Satellite</w:t>
            </w:r>
          </w:p>
        </w:tc>
        <w:tc>
          <w:tcPr>
            <w:tcW w:type="dxa" w:w="3135"/>
            <w:shd w:val="clear" w:color="auto" w:fill="F1F8E9"/>
          </w:tcPr>
          <w:p>
            <w:r/>
            <w:r>
              <w:rPr>
                <w:sz w:val="20"/>
              </w:rPr>
              <w:t>Sentinel-2 / traitement géospatial</w:t>
            </w:r>
          </w:p>
        </w:tc>
      </w:tr>
      <w:tr>
        <w:tc>
          <w:tcPr>
            <w:tcW w:type="dxa" w:w="3135"/>
          </w:tcPr>
          <w:p>
            <w:r/>
            <w:r>
              <w:rPr>
                <w:b/>
                <w:color w:val="0A2A1A"/>
                <w:sz w:val="20"/>
              </w:rPr>
              <w:t>Climat</w:t>
            </w:r>
          </w:p>
        </w:tc>
        <w:tc>
          <w:tcPr>
            <w:tcW w:type="dxa" w:w="3135"/>
          </w:tcPr>
          <w:p>
            <w:r/>
            <w:r>
              <w:rPr>
                <w:sz w:val="20"/>
              </w:rPr>
              <w:t>Climate</w:t>
            </w:r>
          </w:p>
        </w:tc>
        <w:tc>
          <w:tcPr>
            <w:tcW w:type="dxa" w:w="3135"/>
          </w:tcPr>
          <w:p>
            <w:r/>
            <w:r>
              <w:rPr>
                <w:sz w:val="20"/>
              </w:rPr>
              <w:t>NASA POWER + CHIRPS / ERA5</w:t>
            </w:r>
          </w:p>
        </w:tc>
      </w:tr>
      <w:tr>
        <w:tc>
          <w:tcPr>
            <w:tcW w:type="dxa" w:w="3135"/>
            <w:shd w:val="clear" w:color="auto" w:fill="F1F8E9"/>
          </w:tcPr>
          <w:p>
            <w:r/>
            <w:r>
              <w:rPr>
                <w:b/>
                <w:color w:val="0A2A1A"/>
                <w:sz w:val="20"/>
              </w:rPr>
              <w:t>Atmosphère</w:t>
            </w:r>
          </w:p>
        </w:tc>
        <w:tc>
          <w:tcPr>
            <w:tcW w:type="dxa" w:w="3135"/>
            <w:shd w:val="clear" w:color="auto" w:fill="F1F8E9"/>
          </w:tcPr>
          <w:p>
            <w:r/>
            <w:r>
              <w:rPr>
                <w:sz w:val="20"/>
              </w:rPr>
              <w:t>Atmosphere</w:t>
            </w:r>
          </w:p>
        </w:tc>
        <w:tc>
          <w:tcPr>
            <w:tcW w:type="dxa" w:w="3135"/>
            <w:shd w:val="clear" w:color="auto" w:fill="F1F8E9"/>
          </w:tcPr>
          <w:p>
            <w:r/>
            <w:r>
              <w:rPr>
                <w:sz w:val="20"/>
              </w:rPr>
              <w:t>Sentinel-5P</w:t>
            </w:r>
          </w:p>
        </w:tc>
      </w:tr>
      <w:tr>
        <w:tc>
          <w:tcPr>
            <w:tcW w:type="dxa" w:w="3135"/>
          </w:tcPr>
          <w:p>
            <w:r/>
            <w:r>
              <w:rPr>
                <w:b/>
                <w:color w:val="0A2A1A"/>
                <w:sz w:val="20"/>
              </w:rPr>
              <w:t>Stations</w:t>
            </w:r>
          </w:p>
        </w:tc>
        <w:tc>
          <w:tcPr>
            <w:tcW w:type="dxa" w:w="3135"/>
          </w:tcPr>
          <w:p>
            <w:r/>
            <w:r>
              <w:rPr>
                <w:sz w:val="20"/>
              </w:rPr>
              <w:t>Sensor</w:t>
            </w:r>
          </w:p>
        </w:tc>
        <w:tc>
          <w:tcPr>
            <w:tcW w:type="dxa" w:w="3135"/>
          </w:tcPr>
          <w:p>
            <w:r/>
            <w:r>
              <w:rPr>
                <w:sz w:val="20"/>
              </w:rPr>
              <w:t>Stations simulées</w:t>
            </w:r>
          </w:p>
        </w:tc>
      </w:tr>
      <w:tr>
        <w:tc>
          <w:tcPr>
            <w:tcW w:type="dxa" w:w="3135"/>
            <w:shd w:val="clear" w:color="auto" w:fill="F1F8E9"/>
          </w:tcPr>
          <w:p>
            <w:r/>
            <w:r>
              <w:rPr>
                <w:b/>
                <w:color w:val="0A2A1A"/>
                <w:sz w:val="20"/>
              </w:rPr>
              <w:t>IA</w:t>
            </w:r>
          </w:p>
        </w:tc>
        <w:tc>
          <w:tcPr>
            <w:tcW w:type="dxa" w:w="3135"/>
            <w:shd w:val="clear" w:color="auto" w:fill="F1F8E9"/>
          </w:tcPr>
          <w:p>
            <w:r/>
            <w:r>
              <w:rPr>
                <w:sz w:val="20"/>
              </w:rPr>
              <w:t>AI</w:t>
            </w:r>
          </w:p>
        </w:tc>
        <w:tc>
          <w:tcPr>
            <w:tcW w:type="dxa" w:w="3135"/>
            <w:shd w:val="clear" w:color="auto" w:fill="F1F8E9"/>
          </w:tcPr>
          <w:p>
            <w:r/>
            <w:r>
              <w:rPr>
                <w:sz w:val="20"/>
              </w:rPr>
              <w:t>Groq</w:t>
            </w:r>
          </w:p>
        </w:tc>
      </w:tr>
      <w:tr>
        <w:tc>
          <w:tcPr>
            <w:tcW w:type="dxa" w:w="3135"/>
          </w:tcPr>
          <w:p>
            <w:r/>
            <w:r>
              <w:rPr>
                <w:b/>
                <w:color w:val="0A2A1A"/>
                <w:sz w:val="20"/>
              </w:rPr>
              <w:t>Anomalies</w:t>
            </w:r>
          </w:p>
        </w:tc>
        <w:tc>
          <w:tcPr>
            <w:tcW w:type="dxa" w:w="3135"/>
          </w:tcPr>
          <w:p>
            <w:r/>
            <w:r>
              <w:rPr>
                <w:sz w:val="20"/>
              </w:rPr>
              <w:t>Analytics Engine</w:t>
            </w:r>
          </w:p>
        </w:tc>
        <w:tc>
          <w:tcPr>
            <w:tcW w:type="dxa" w:w="3135"/>
          </w:tcPr>
          <w:p>
            <w:r/>
            <w:r>
              <w:rPr>
                <w:sz w:val="20"/>
              </w:rPr>
              <w:t>Moteur scientifique</w:t>
            </w:r>
          </w:p>
        </w:tc>
      </w:tr>
      <w:tr>
        <w:tc>
          <w:tcPr>
            <w:tcW w:type="dxa" w:w="3135"/>
            <w:shd w:val="clear" w:color="auto" w:fill="F1F8E9"/>
          </w:tcPr>
          <w:p>
            <w:r/>
            <w:r>
              <w:rPr>
                <w:b/>
                <w:color w:val="0A2A1A"/>
                <w:sz w:val="20"/>
              </w:rPr>
              <w:t>Risques</w:t>
            </w:r>
          </w:p>
        </w:tc>
        <w:tc>
          <w:tcPr>
            <w:tcW w:type="dxa" w:w="3135"/>
            <w:shd w:val="clear" w:color="auto" w:fill="F1F8E9"/>
          </w:tcPr>
          <w:p>
            <w:r/>
            <w:r>
              <w:rPr>
                <w:sz w:val="20"/>
              </w:rPr>
              <w:t>Risk Engine</w:t>
            </w:r>
          </w:p>
        </w:tc>
        <w:tc>
          <w:tcPr>
            <w:tcW w:type="dxa" w:w="3135"/>
            <w:shd w:val="clear" w:color="auto" w:fill="F1F8E9"/>
          </w:tcPr>
          <w:p>
            <w:r/>
            <w:r>
              <w:rPr>
                <w:sz w:val="20"/>
              </w:rPr>
              <w:t>🟢🟡🟠🔴</w:t>
            </w:r>
          </w:p>
        </w:tc>
      </w:tr>
      <w:tr>
        <w:tc>
          <w:tcPr>
            <w:tcW w:type="dxa" w:w="3135"/>
          </w:tcPr>
          <w:p>
            <w:r/>
            <w:r>
              <w:rPr>
                <w:b/>
                <w:color w:val="0A2A1A"/>
                <w:sz w:val="20"/>
              </w:rPr>
              <w:t>IEZ</w:t>
            </w:r>
          </w:p>
        </w:tc>
        <w:tc>
          <w:tcPr>
            <w:tcW w:type="dxa" w:w="3135"/>
          </w:tcPr>
          <w:p>
            <w:r/>
            <w:r>
              <w:rPr>
                <w:sz w:val="20"/>
              </w:rPr>
              <w:t>Risk Engine</w:t>
            </w:r>
          </w:p>
        </w:tc>
        <w:tc>
          <w:tcPr>
            <w:tcW w:type="dxa" w:w="3135"/>
          </w:tcPr>
          <w:p>
            <w:r/>
            <w:r>
              <w:rPr>
                <w:sz w:val="20"/>
              </w:rPr>
              <w:t>0–100</w:t>
            </w:r>
          </w:p>
        </w:tc>
      </w:tr>
      <w:tr>
        <w:tc>
          <w:tcPr>
            <w:tcW w:type="dxa" w:w="3135"/>
            <w:shd w:val="clear" w:color="auto" w:fill="F1F8E9"/>
          </w:tcPr>
          <w:p>
            <w:r/>
            <w:r>
              <w:rPr>
                <w:b/>
                <w:color w:val="0A2A1A"/>
                <w:sz w:val="20"/>
              </w:rPr>
              <w:t>Alertes</w:t>
            </w:r>
          </w:p>
        </w:tc>
        <w:tc>
          <w:tcPr>
            <w:tcW w:type="dxa" w:w="3135"/>
            <w:shd w:val="clear" w:color="auto" w:fill="F1F8E9"/>
          </w:tcPr>
          <w:p>
            <w:r/>
            <w:r>
              <w:rPr>
                <w:sz w:val="20"/>
              </w:rPr>
              <w:t>Risk Engine</w:t>
            </w:r>
          </w:p>
        </w:tc>
        <w:tc>
          <w:tcPr>
            <w:tcW w:type="dxa" w:w="3135"/>
            <w:shd w:val="clear" w:color="auto" w:fill="F1F8E9"/>
          </w:tcPr>
          <w:p>
            <w:r/>
            <w:r>
              <w:rPr>
                <w:sz w:val="20"/>
              </w:rPr>
              <w:t>Incidents détectés</w:t>
            </w:r>
          </w:p>
        </w:tc>
      </w:tr>
      <w:tr>
        <w:tc>
          <w:tcPr>
            <w:tcW w:type="dxa" w:w="3135"/>
          </w:tcPr>
          <w:p>
            <w:r/>
            <w:r>
              <w:rPr>
                <w:b/>
                <w:color w:val="0A2A1A"/>
                <w:sz w:val="20"/>
              </w:rPr>
              <w:t>Historique</w:t>
            </w:r>
          </w:p>
        </w:tc>
        <w:tc>
          <w:tcPr>
            <w:tcW w:type="dxa" w:w="3135"/>
          </w:tcPr>
          <w:p>
            <w:r/>
            <w:r>
              <w:rPr>
                <w:sz w:val="20"/>
              </w:rPr>
              <w:t>Risk + Analytics</w:t>
            </w:r>
          </w:p>
        </w:tc>
        <w:tc>
          <w:tcPr>
            <w:tcW w:type="dxa" w:w="3135"/>
          </w:tcPr>
          <w:p>
            <w:r/>
            <w:r>
              <w:rPr>
                <w:sz w:val="20"/>
              </w:rPr>
              <w:t>Évolution des zones</w:t>
            </w:r>
          </w:p>
        </w:tc>
      </w:tr>
    </w:tbl>
    <w:p>
      <w:pPr>
        <w:pStyle w:val="Heading1"/>
      </w:pPr>
      <w:r>
        <w:t>12. Limites, contre-arguments et risques</w:t>
      </w:r>
    </w:p>
    <w:p>
      <w:pPr>
        <w:pStyle w:val="Heading2"/>
      </w:pPr>
      <w:r>
        <w:t>12.1 Limites scientifiques</w:t>
      </w:r>
    </w:p>
    <w:p>
      <w:r>
        <w:t>La principale limite scientifique du MVP concerne la précision spatiale des mesures atmosphériques satellitaires. Sentinel-5P fournit des données à résolution kilométrique, inadaptées à une interprétation locale au niveau d'une usine ou d'un capteur de quartier. La plateforme ne présentera donc jamais ces données comme des mesures précises : elles seront des indicateurs spatiaux et régionaux, avec mention explicite de la résolution et de la source. Cette position de transparence est essentielle pour ne pas tromper les utilisateurs.</w:t>
      </w:r>
    </w:p>
    <w:p>
      <w:r>
        <w:t>De même, les stations environnementales sont simulées dans le MVP. Leurs valeurs, bien que réalistes, ne reflètent pas la réalité du terrain. Toute utilisation externe des indicateurs issus de ces stations doit mentionner leur nature simulée. Le système prévoit un marquage automatique SIMULATION sur chaque mesure issue du simulateur pour éviter toute confusion.</w:t>
      </w:r>
    </w:p>
    <w:p>
      <w:pPr>
        <w:pStyle w:val="Heading2"/>
      </w:pPr>
      <w:r>
        <w:t>12.2 Limites opérationnelles</w:t>
      </w:r>
    </w:p>
    <w:p>
      <w:r>
        <w:t>Sur le plan opérationnel, la dépendance à Earth Engine en production constitue un risque financier : depuis avril 2026, Google impose une configuration commerciale payante pour les usages opérationnels ou commerciaux. La plateforme gère ce risque par la couche d'abstraction SatelliteProvider, qui permet de basculer vers les sources Copernicus directes sans modifier la logique métier. En phase de prototype, Earth Engine reste légitime car son quota gratuit mensuel pour les projets non commerciaux est suffisant pour la recherche et le développement.</w:t>
      </w:r>
    </w:p>
    <w:p>
      <w:r>
        <w:t>Le Free tier de Groq est également une limite à anticiper : il est parfait pour le développement et les essais, mais pas illimité pour une production à gros volume. Le système prévoit donc un cache des analyses IA, un mode dégradé sans IA en cas de dépassement de quota, et une stratégie de bascule vers un autre fournisseur d'IA via la couche AIProvider.</w:t>
      </w:r>
    </w:p>
    <w:p>
      <w:pPr>
        <w:pStyle w:val="Heading2"/>
      </w:pPr>
      <w:r>
        <w:t>12.3 Limites de périmètre</w:t>
      </w:r>
    </w:p>
    <w:p>
      <w:r>
        <w:t>Le MVP délimite volontairement son périmètre pour garantir un noyau solide et démontrable. Ne sont pas inclus : l'application mobile, les vrais capteurs physiques, l'infrastructure IoT réelle, les modèles ML complexes, React, les microservices, Kubernetes, l'architecture cloud énorme, les 50 intégrations externes et le système institutionnel complet. Ces éléments sont reportés à des phases ultérieures. Ce parti pris évite la dispersion et permet de livrer un prototype réellement fonctionnel plutôt qu'un assemblage inachevé.</w:t>
      </w:r>
    </w:p>
    <w:p>
      <w:pPr>
        <w:pStyle w:val="Heading2"/>
      </w:pPr>
      <w:r>
        <w:t>12.4 Contre-arguments et réponses</w:t>
      </w:r>
    </w:p>
    <w:p>
      <w:r>
        <w:t>Un contre-argument possible serait qu'un monolithe Django + Templates limite l'évolutivité future vers une API consommée par des clients mobiles ou des partenaires. La réponse est que Django REST Framework peut être ajouté ultérieurement sans réécriture du cœur métier, et que la séparation entre modules fonctionnels rend l'exposition d'APIEndpoints ciblées facile à opérer. Le monolithe est donc un choix de vitesse, pas un verrouillage technique.</w:t>
      </w:r>
    </w:p>
    <w:p>
      <w:r>
        <w:t>Un autre contre-argument consisterait à dire que les stations simulées ne démontrent pas la valeur réelle du système. La réponse est que la valeur du MVP réside dans le pipeline analytique (données → indicateurs → anomalies → risques → IEZ), et que ce pipeline fonctionne avec des données réelles côté satellite et climat. Les stations simulées ne sont qu'une couche additionnelle permettant de valider l'architecture IoT sans dépendre d'un déploiement terrain coûteux et long à mettre en place.</w:t>
      </w:r>
    </w:p>
    <w:p>
      <w:pPr>
        <w:pStyle w:val="Heading1"/>
      </w:pPr>
      <w:r>
        <w:t>13. Conclusion et implications</w:t>
      </w:r>
    </w:p>
    <w:p>
      <w:r>
        <w:t>Le projet ECO-SURVEILLANCE MALI est faisable, et le coût initial des données n'est pas le problème principal. NASA POWER fournit des données climatiques mondiales gratuitement. CHIRPS est public et exploitable pour les précipitations. Copernicus fournit des accès aux données Sentinel via son Data Space. NASA FIRMS fournit les données de feux. Earth Engine offre un catalogue massif et une puissance de calcul géospatiale, mais son usage commercial doit être payé. Groq permet de démarrer avec un Free tier, avec des limites de débit. L'ensemble de ces sources couvre le spectre environnemental visé sans débourser de budget données significatif en phase MVP.</w:t>
      </w:r>
    </w:p>
    <w:p>
      <w:r>
        <w:t>La stratégie technique qui en découle est claire : Django pur + Templates + PostGIS + Celery/Redis + données ouvertes + stations simulées + moteur scientifique + Groq. Earth Engine est conservé comme accélérateur géospatial optionnel, pas comme dépendance obligatoire du système. Cette posture préserve la souveraineté technique du projet et facilite un bascule futur vers des sources alternatives sans réécriture profonde.</w:t>
      </w:r>
    </w:p>
    <w:p>
      <w:r>
        <w:t>Les implications pour les phases suivantes sont triples. Premièrement, le passage à l'échelle opérationnelle nécessitera d'arbitrer entre une configuration Earth Engine commerciale et une architecture reposant sur Copernicus direct, en fonction du volume de calcul géospatial requis. Deuxièmement, le déploiement de vrais capteurs physiques devra respecter l'interface déjà définie par le simulateur, ce qui garantit une transition sans rupture du code. Troisièmement, l'ouverture à des partenaires institutionnels passera par l'exposition d'APIEndpoints ciblées via Django REST Framework, sans modifier le cœur métier.</w:t>
      </w:r>
    </w:p>
    <w:p>
      <w:r>
        <w:t>Le présent document constitue la base consolidée permettant de passer à l'étape suivante : la conception du master prompt de construction du prototype. Ce prompt de construction devra être beaucoup plus précis sur les modules, les responsabilités de chaque service, les sources de données et surtout sur ce qui est réel versus simulé. Le présent cahier de charges fournit cette précision.</w:t>
      </w:r>
    </w:p>
    <w:p>
      <w:pPr>
        <w:pStyle w:val="Heading1"/>
      </w:pPr>
      <w:r>
        <w:t>14. Références</w:t>
      </w:r>
    </w:p>
    <w:p>
      <w:r>
        <w:t>Les références ci-dessous correspondent aux sources consultées et vérifiées lors de la phase de recherche d'août 2026. Elles sont cliquables et classées par ordre d'apparition dans le document.</w:t>
      </w:r>
    </w:p>
    <w:p>
      <w:pPr>
        <w:spacing w:after="80"/>
      </w:pPr>
      <w:r>
        <w:rPr>
          <w:b/>
          <w:color w:val="1B5E20"/>
          <w:sz w:val="20"/>
        </w:rPr>
        <w:t xml:space="preserve">[1] </w:t>
      </w:r>
      <w:r>
        <w:rPr>
          <w:color w:val="182820"/>
          <w:sz w:val="20"/>
        </w:rPr>
        <w:t xml:space="preserve">Ensembles de données Sentinel-2 dans Earth Engine — Google for Developers — </w:t>
      </w:r>
      <w:hyperlink r:id="rId11">
        <w:r>
          <w:rPr>
            <w:color w:val="1A5BA6"/>
            <w:u w:val="single"/>
            <w:sz w:val="20"/>
          </w:rPr>
          <w:t xml:space="preserve">https://developers.google.com/earth-engine/datasets/catalog/sentinel-2?hl=fr</w:t>
        </w:r>
      </w:hyperlink>
    </w:p>
    <w:p>
      <w:pPr>
        <w:spacing w:after="80"/>
      </w:pPr>
      <w:r>
        <w:rPr>
          <w:b/>
          <w:color w:val="1B5E20"/>
          <w:sz w:val="20"/>
        </w:rPr>
        <w:t xml:space="preserve">[2] </w:t>
      </w:r>
      <w:r>
        <w:rPr>
          <w:color w:val="182820"/>
          <w:sz w:val="20"/>
        </w:rPr>
        <w:t xml:space="preserve">APIs — Documentation Copernicus Data Space — </w:t>
      </w:r>
      <w:hyperlink r:id="rId12">
        <w:r>
          <w:rPr>
            <w:color w:val="1A5BA6"/>
            <w:u w:val="single"/>
            <w:sz w:val="20"/>
          </w:rPr>
          <w:t xml:space="preserve">https://documentation.dataspace.copernicus.eu/APIs.html</w:t>
        </w:r>
      </w:hyperlink>
    </w:p>
    <w:p>
      <w:pPr>
        <w:spacing w:after="80"/>
      </w:pPr>
      <w:r>
        <w:rPr>
          <w:b/>
          <w:color w:val="1B5E20"/>
          <w:sz w:val="20"/>
        </w:rPr>
        <w:t xml:space="preserve">[3] </w:t>
      </w:r>
      <w:r>
        <w:rPr>
          <w:color w:val="182820"/>
          <w:sz w:val="20"/>
        </w:rPr>
        <w:t xml:space="preserve">NASA | LANCE | FIRMS — Active Fire Data — </w:t>
      </w:r>
      <w:hyperlink r:id="rId13">
        <w:r>
          <w:rPr>
            <w:color w:val="1A5BA6"/>
            <w:u w:val="single"/>
            <w:sz w:val="20"/>
          </w:rPr>
          <w:t xml:space="preserve">https://firms.modaps.eosdis.nasa.gov/active_fire/</w:t>
        </w:r>
      </w:hyperlink>
    </w:p>
    <w:p>
      <w:pPr>
        <w:spacing w:after="80"/>
      </w:pPr>
      <w:r>
        <w:rPr>
          <w:b/>
          <w:color w:val="1B5E20"/>
          <w:sz w:val="20"/>
        </w:rPr>
        <w:t xml:space="preserve">[4] </w:t>
      </w:r>
      <w:r>
        <w:rPr>
          <w:color w:val="182820"/>
          <w:sz w:val="20"/>
        </w:rPr>
        <w:t xml:space="preserve">Sentinel-5P Datasets in Earth Engine — Google for Developers — </w:t>
      </w:r>
      <w:hyperlink r:id="rId14">
        <w:r>
          <w:rPr>
            <w:color w:val="1A5BA6"/>
            <w:u w:val="single"/>
            <w:sz w:val="20"/>
          </w:rPr>
          <w:t xml:space="preserve">https://developers.google.com/earth-engine/datasets/catalog/sentinel-5p</w:t>
        </w:r>
      </w:hyperlink>
    </w:p>
    <w:p>
      <w:pPr>
        <w:spacing w:after="80"/>
      </w:pPr>
      <w:r>
        <w:rPr>
          <w:b/>
          <w:color w:val="1B5E20"/>
          <w:sz w:val="20"/>
        </w:rPr>
        <w:t xml:space="preserve">[5] </w:t>
      </w:r>
      <w:r>
        <w:rPr>
          <w:color w:val="182820"/>
          <w:sz w:val="20"/>
        </w:rPr>
        <w:t xml:space="preserve">Sentinel-5P L2 — Documentation Copernicus — </w:t>
      </w:r>
      <w:hyperlink r:id="rId15">
        <w:r>
          <w:rPr>
            <w:color w:val="1A5BA6"/>
            <w:u w:val="single"/>
            <w:sz w:val="20"/>
          </w:rPr>
          <w:t xml:space="preserve">https://documentation.dataspace.copernicus.eu/APIs/SentinelHub/Data/S5PL2.html</w:t>
        </w:r>
      </w:hyperlink>
    </w:p>
    <w:p>
      <w:pPr>
        <w:spacing w:after="80"/>
      </w:pPr>
      <w:r>
        <w:rPr>
          <w:b/>
          <w:color w:val="1B5E20"/>
          <w:sz w:val="20"/>
        </w:rPr>
        <w:t xml:space="preserve">[6] </w:t>
      </w:r>
      <w:r>
        <w:rPr>
          <w:color w:val="182820"/>
          <w:sz w:val="20"/>
        </w:rPr>
        <w:t xml:space="preserve">Earth Engine Noncommercial Tiers — Google for Developers — </w:t>
      </w:r>
      <w:hyperlink r:id="rId16">
        <w:r>
          <w:rPr>
            <w:color w:val="1A5BA6"/>
            <w:u w:val="single"/>
            <w:sz w:val="20"/>
          </w:rPr>
          <w:t xml:space="preserve">https://developers.google.com/earth-engine/guides/noncommercial_tiers?hl=fr</w:t>
        </w:r>
      </w:hyperlink>
    </w:p>
    <w:p>
      <w:pPr>
        <w:spacing w:after="80"/>
      </w:pPr>
      <w:r>
        <w:rPr>
          <w:b/>
          <w:color w:val="1B5E20"/>
          <w:sz w:val="20"/>
        </w:rPr>
        <w:t xml:space="preserve">[7] </w:t>
      </w:r>
      <w:r>
        <w:rPr>
          <w:color w:val="182820"/>
          <w:sz w:val="20"/>
        </w:rPr>
        <w:t xml:space="preserve">Transition to commercial projects — Google Earth Engine — </w:t>
      </w:r>
      <w:hyperlink r:id="rId17">
        <w:r>
          <w:rPr>
            <w:color w:val="1A5BA6"/>
            <w:u w:val="single"/>
            <w:sz w:val="20"/>
          </w:rPr>
          <w:t xml:space="preserve">https://developers.google.com/earth-engine/guides/transition_to_commercial</w:t>
        </w:r>
      </w:hyperlink>
    </w:p>
    <w:p>
      <w:pPr>
        <w:spacing w:after="80"/>
      </w:pPr>
      <w:r>
        <w:rPr>
          <w:b/>
          <w:color w:val="1B5E20"/>
          <w:sz w:val="20"/>
        </w:rPr>
        <w:t xml:space="preserve">[8] </w:t>
      </w:r>
      <w:r>
        <w:rPr>
          <w:color w:val="182820"/>
          <w:sz w:val="20"/>
        </w:rPr>
        <w:t xml:space="preserve">Niveaux non commerciaux d'Earth Engine — Google for Developers — </w:t>
      </w:r>
      <w:hyperlink r:id="rId16">
        <w:r>
          <w:rPr>
            <w:color w:val="1A5BA6"/>
            <w:u w:val="single"/>
            <w:sz w:val="20"/>
          </w:rPr>
          <w:t xml:space="preserve">https://developers.google.com/earth-engine/guides/noncommercial_tiers?hl=fr</w:t>
        </w:r>
      </w:hyperlink>
    </w:p>
    <w:p>
      <w:pPr>
        <w:spacing w:after="80"/>
      </w:pPr>
      <w:r>
        <w:rPr>
          <w:b/>
          <w:color w:val="1B5E20"/>
          <w:sz w:val="20"/>
        </w:rPr>
        <w:t xml:space="preserve">[9] </w:t>
      </w:r>
      <w:r>
        <w:rPr>
          <w:color w:val="182820"/>
          <w:sz w:val="20"/>
        </w:rPr>
        <w:t xml:space="preserve">Transition to commercial projects — Google for Developers — </w:t>
      </w:r>
      <w:hyperlink r:id="rId17">
        <w:r>
          <w:rPr>
            <w:color w:val="1A5BA6"/>
            <w:u w:val="single"/>
            <w:sz w:val="20"/>
          </w:rPr>
          <w:t xml:space="preserve">https://developers.google.com/earth-engine/guides/transition_to_commercial</w:t>
        </w:r>
      </w:hyperlink>
    </w:p>
    <w:p>
      <w:pPr>
        <w:spacing w:after="80"/>
      </w:pPr>
      <w:r>
        <w:rPr>
          <w:b/>
          <w:color w:val="1B5E20"/>
          <w:sz w:val="20"/>
        </w:rPr>
        <w:t xml:space="preserve">[10] </w:t>
      </w:r>
      <w:r>
        <w:rPr>
          <w:color w:val="182820"/>
          <w:sz w:val="20"/>
        </w:rPr>
        <w:t xml:space="preserve">NASA POWER — API tutorial — </w:t>
      </w:r>
      <w:hyperlink r:id="rId18">
        <w:r>
          <w:rPr>
            <w:color w:val="1A5BA6"/>
            <w:u w:val="single"/>
            <w:sz w:val="20"/>
          </w:rPr>
          <w:t xml:space="preserve">https://power.larc.nasa.gov/docs/tutorials/service-data-request/api/</w:t>
        </w:r>
      </w:hyperlink>
    </w:p>
    <w:p>
      <w:pPr>
        <w:spacing w:after="80"/>
      </w:pPr>
      <w:r>
        <w:rPr>
          <w:b/>
          <w:color w:val="1B5E20"/>
          <w:sz w:val="20"/>
        </w:rPr>
        <w:t xml:space="preserve">[11] </w:t>
      </w:r>
      <w:r>
        <w:rPr>
          <w:color w:val="182820"/>
          <w:sz w:val="20"/>
        </w:rPr>
        <w:t xml:space="preserve">NASA POWER — Data Services — Temporal APIs — </w:t>
      </w:r>
      <w:hyperlink r:id="rId19">
        <w:r>
          <w:rPr>
            <w:color w:val="1A5BA6"/>
            <w:u w:val="single"/>
            <w:sz w:val="20"/>
          </w:rPr>
          <w:t xml:space="preserve">https://power.larc.nasa.gov/docs/services/api/temporal/</w:t>
        </w:r>
      </w:hyperlink>
    </w:p>
    <w:p>
      <w:pPr>
        <w:spacing w:after="80"/>
      </w:pPr>
      <w:r>
        <w:rPr>
          <w:b/>
          <w:color w:val="1B5E20"/>
          <w:sz w:val="20"/>
        </w:rPr>
        <w:t xml:space="preserve">[12] </w:t>
      </w:r>
      <w:r>
        <w:rPr>
          <w:color w:val="182820"/>
          <w:sz w:val="20"/>
        </w:rPr>
        <w:t xml:space="preserve">ERA5 hourly data on single levels from 1940 to present — Climate Data Store — </w:t>
      </w:r>
      <w:hyperlink r:id="rId20">
        <w:r>
          <w:rPr>
            <w:color w:val="1A5BA6"/>
            <w:u w:val="single"/>
            <w:sz w:val="20"/>
          </w:rPr>
          <w:t xml:space="preserve">https://cds.climate.copernicus.eu/datasets/reanalysis-era5-single-levels?tab=overview</w:t>
        </w:r>
      </w:hyperlink>
    </w:p>
    <w:p>
      <w:pPr>
        <w:spacing w:after="80"/>
      </w:pPr>
      <w:r>
        <w:rPr>
          <w:b/>
          <w:color w:val="1B5E20"/>
          <w:sz w:val="20"/>
        </w:rPr>
        <w:t xml:space="preserve">[13] </w:t>
      </w:r>
      <w:r>
        <w:rPr>
          <w:color w:val="182820"/>
          <w:sz w:val="20"/>
        </w:rPr>
        <w:t xml:space="preserve">CHIRPS v3 — Climate Hazards Center, UC Santa Barbara — </w:t>
      </w:r>
      <w:hyperlink r:id="rId21">
        <w:r>
          <w:rPr>
            <w:color w:val="1A5BA6"/>
            <w:u w:val="single"/>
            <w:sz w:val="20"/>
          </w:rPr>
          <w:t xml:space="preserve">https://www.chc.ucsb.edu/data/chirps3</w:t>
        </w:r>
      </w:hyperlink>
    </w:p>
    <w:p>
      <w:pPr>
        <w:spacing w:after="80"/>
      </w:pPr>
      <w:r>
        <w:rPr>
          <w:b/>
          <w:color w:val="1B5E20"/>
          <w:sz w:val="20"/>
        </w:rPr>
        <w:t xml:space="preserve">[14] </w:t>
      </w:r>
      <w:r>
        <w:rPr>
          <w:color w:val="182820"/>
          <w:sz w:val="20"/>
        </w:rPr>
        <w:t xml:space="preserve">CHIRPS — Rainfall Estimates — Climate Hazards Center — </w:t>
      </w:r>
      <w:hyperlink r:id="rId22">
        <w:r>
          <w:rPr>
            <w:color w:val="1A5BA6"/>
            <w:u w:val="single"/>
            <w:sz w:val="20"/>
          </w:rPr>
          <w:t xml:space="preserve">https://chc.ucsb.edu/data/chirps</w:t>
        </w:r>
      </w:hyperlink>
    </w:p>
    <w:p>
      <w:pPr>
        <w:spacing w:after="80"/>
      </w:pPr>
      <w:r>
        <w:rPr>
          <w:b/>
          <w:color w:val="1B5E20"/>
          <w:sz w:val="20"/>
        </w:rPr>
        <w:t xml:space="preserve">[15] </w:t>
      </w:r>
      <w:r>
        <w:rPr>
          <w:color w:val="182820"/>
          <w:sz w:val="20"/>
        </w:rPr>
        <w:t xml:space="preserve">About the API — OpenAQ Docs — </w:t>
      </w:r>
      <w:hyperlink r:id="rId23">
        <w:r>
          <w:rPr>
            <w:color w:val="1A5BA6"/>
            <w:u w:val="single"/>
            <w:sz w:val="20"/>
          </w:rPr>
          <w:t xml:space="preserve">https://docs.openaq.org/about/about</w:t>
        </w:r>
      </w:hyperlink>
    </w:p>
    <w:p>
      <w:pPr>
        <w:spacing w:after="80"/>
      </w:pPr>
      <w:r>
        <w:rPr>
          <w:b/>
          <w:color w:val="1B5E20"/>
          <w:sz w:val="20"/>
        </w:rPr>
        <w:t xml:space="preserve">[16] </w:t>
      </w:r>
      <w:r>
        <w:rPr>
          <w:color w:val="182820"/>
          <w:sz w:val="20"/>
        </w:rPr>
        <w:t xml:space="preserve">Is there a free tier and what are its limits? — Groq Community — </w:t>
      </w:r>
      <w:hyperlink r:id="rId24">
        <w:r>
          <w:rPr>
            <w:color w:val="1A5BA6"/>
            <w:u w:val="single"/>
            <w:sz w:val="20"/>
          </w:rPr>
          <w:t xml:space="preserve">https://community.groq.com/t/is-there-a-free-tier-and-what-are-its-limits/790</w:t>
        </w:r>
      </w:hyperlink>
    </w:p>
    <w:p>
      <w:pPr>
        <w:spacing w:after="80"/>
      </w:pPr>
      <w:r>
        <w:rPr>
          <w:b/>
          <w:color w:val="1B5E20"/>
          <w:sz w:val="20"/>
        </w:rPr>
        <w:t xml:space="preserve">[17] </w:t>
      </w:r>
      <w:r>
        <w:rPr>
          <w:color w:val="182820"/>
          <w:sz w:val="20"/>
        </w:rPr>
        <w:t xml:space="preserve">Quickstart — GroqDocs — </w:t>
      </w:r>
      <w:hyperlink r:id="rId25">
        <w:r>
          <w:rPr>
            <w:color w:val="1A5BA6"/>
            <w:u w:val="single"/>
            <w:sz w:val="20"/>
          </w:rPr>
          <w:t xml:space="preserve">https://console.groq.com/docs/quickstart</w:t>
        </w:r>
      </w:hyperlink>
    </w:p>
    <w:p/>
    <w:p>
      <w:r>
        <w:rPr>
          <w:i/>
          <w:color w:val="606060"/>
          <w:sz w:val="18"/>
        </w:rPr>
        <w:t>Date de consultation des sources : août 2026. Les URLs ont été vérifiées lors de la phase de recherche consolidée.</w:t>
      </w:r>
    </w:p>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r>
      <w:rPr>
        <w:color w:val="606060"/>
        <w:sz w:val="18"/>
      </w:rPr>
      <w:fldChar w:fldCharType="begin"/>
      <w:instrText xml:space="preserve">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06060"/>
        <w:sz w:val="18"/>
      </w:rPr>
      <w:t>ECO-SURVEILLANCE MALI — Cahier de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pPr>
    <w:rPr>
      <w:rFonts w:ascii="Calibri" w:hAnsi="Calibri"/>
      <w:color w:val="1828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A2A1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5E2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5E20"/>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B5E2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earth-engine/datasets/catalog/sentinel-2?hl=fr" TargetMode="External"/><Relationship Id="rId12" Type="http://schemas.openxmlformats.org/officeDocument/2006/relationships/hyperlink" Target="https://documentation.dataspace.copernicus.eu/APIs.html" TargetMode="External"/><Relationship Id="rId13" Type="http://schemas.openxmlformats.org/officeDocument/2006/relationships/hyperlink" Target="https://firms.modaps.eosdis.nasa.gov/active_fire/" TargetMode="External"/><Relationship Id="rId14" Type="http://schemas.openxmlformats.org/officeDocument/2006/relationships/hyperlink" Target="https://developers.google.com/earth-engine/datasets/catalog/sentinel-5p" TargetMode="External"/><Relationship Id="rId15" Type="http://schemas.openxmlformats.org/officeDocument/2006/relationships/hyperlink" Target="https://documentation.dataspace.copernicus.eu/APIs/SentinelHub/Data/S5PL2.html" TargetMode="External"/><Relationship Id="rId16" Type="http://schemas.openxmlformats.org/officeDocument/2006/relationships/hyperlink" Target="https://developers.google.com/earth-engine/guides/noncommercial_tiers?hl=fr" TargetMode="External"/><Relationship Id="rId17" Type="http://schemas.openxmlformats.org/officeDocument/2006/relationships/hyperlink" Target="https://developers.google.com/earth-engine/guides/transition_to_commercial" TargetMode="External"/><Relationship Id="rId18" Type="http://schemas.openxmlformats.org/officeDocument/2006/relationships/hyperlink" Target="https://power.larc.nasa.gov/docs/tutorials/service-data-request/api/" TargetMode="External"/><Relationship Id="rId19" Type="http://schemas.openxmlformats.org/officeDocument/2006/relationships/hyperlink" Target="https://power.larc.nasa.gov/docs/services/api/temporal/" TargetMode="External"/><Relationship Id="rId20" Type="http://schemas.openxmlformats.org/officeDocument/2006/relationships/hyperlink" Target="https://cds.climate.copernicus.eu/datasets/reanalysis-era5-single-levels?tab=overview" TargetMode="External"/><Relationship Id="rId21" Type="http://schemas.openxmlformats.org/officeDocument/2006/relationships/hyperlink" Target="https://www.chc.ucsb.edu/data/chirps3" TargetMode="External"/><Relationship Id="rId22" Type="http://schemas.openxmlformats.org/officeDocument/2006/relationships/hyperlink" Target="https://chc.ucsb.edu/data/chirps" TargetMode="External"/><Relationship Id="rId23" Type="http://schemas.openxmlformats.org/officeDocument/2006/relationships/hyperlink" Target="https://docs.openaq.org/about/about" TargetMode="External"/><Relationship Id="rId24" Type="http://schemas.openxmlformats.org/officeDocument/2006/relationships/hyperlink" Target="https://community.groq.com/t/is-there-a-free-tier-and-what-are-its-limits/790" TargetMode="External"/><Relationship Id="rId25" Type="http://schemas.openxmlformats.org/officeDocument/2006/relationships/hyperlink" Target="https://console.groq.com/doc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