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49D4E">
      <w:pPr>
        <w:spacing w:before="156" w:beforeLines="50" w:line="360" w:lineRule="auto"/>
        <w:ind w:firstLine="0" w:firstLineChars="0"/>
        <w:jc w:val="center"/>
        <w:rPr>
          <w:b/>
          <w:bCs/>
          <w:sz w:val="52"/>
          <w:szCs w:val="52"/>
        </w:rPr>
      </w:pPr>
      <w:r>
        <w:rPr>
          <w:rFonts w:hint="eastAsia"/>
          <w:b/>
          <w:bCs/>
          <w:sz w:val="52"/>
          <w:szCs w:val="52"/>
        </w:rPr>
        <w:t>中煤科工集团重庆研究院有限公司</w:t>
      </w:r>
    </w:p>
    <w:p w14:paraId="6EA67F15">
      <w:pPr>
        <w:spacing w:before="156" w:beforeLines="50" w:line="360" w:lineRule="auto"/>
        <w:ind w:firstLine="0" w:firstLineChars="0"/>
        <w:jc w:val="center"/>
        <w:rPr>
          <w:b/>
          <w:bCs/>
          <w:sz w:val="52"/>
          <w:szCs w:val="52"/>
        </w:rPr>
      </w:pPr>
      <w:r>
        <w:rPr>
          <w:rFonts w:hint="eastAsia"/>
          <w:b/>
          <w:bCs/>
          <w:sz w:val="52"/>
          <w:szCs w:val="52"/>
        </w:rPr>
        <w:t>基于MBD的产品智能配置</w:t>
      </w:r>
    </w:p>
    <w:p w14:paraId="0DF6D24F">
      <w:pPr>
        <w:spacing w:before="156" w:beforeLines="50" w:line="360" w:lineRule="auto"/>
        <w:ind w:firstLine="0" w:firstLineChars="0"/>
        <w:jc w:val="center"/>
        <w:rPr>
          <w:b/>
          <w:bCs/>
          <w:sz w:val="52"/>
          <w:szCs w:val="52"/>
        </w:rPr>
      </w:pPr>
      <w:r>
        <w:rPr>
          <w:rFonts w:hint="eastAsia"/>
          <w:b/>
          <w:bCs/>
          <w:sz w:val="52"/>
          <w:szCs w:val="52"/>
        </w:rPr>
        <w:t>管理系统采购</w:t>
      </w:r>
    </w:p>
    <w:p w14:paraId="2DD3DDDF">
      <w:pPr>
        <w:spacing w:before="156" w:beforeLines="50" w:line="360" w:lineRule="auto"/>
        <w:ind w:firstLine="0" w:firstLineChars="0"/>
        <w:jc w:val="center"/>
        <w:rPr>
          <w:rFonts w:cs="汉仪中等线KW"/>
          <w:b/>
          <w:sz w:val="104"/>
          <w:szCs w:val="104"/>
        </w:rPr>
      </w:pPr>
      <w:r>
        <w:rPr>
          <w:rFonts w:hint="eastAsia" w:ascii="方正公文小标宋" w:hAnsi="方正公文小标宋" w:eastAsia="方正公文小标宋" w:cs="方正公文小标宋"/>
          <w:bCs/>
          <w:sz w:val="104"/>
          <w:szCs w:val="104"/>
        </w:rPr>
        <w:t>招标文件</w:t>
      </w:r>
    </w:p>
    <w:p w14:paraId="6A42D725">
      <w:pPr>
        <w:ind w:firstLine="0" w:firstLineChars="0"/>
        <w:jc w:val="center"/>
        <w:rPr>
          <w:rFonts w:cs="汉仪中等线KW"/>
          <w:sz w:val="72"/>
        </w:rPr>
      </w:pPr>
      <w:r>
        <w:rPr>
          <w:rFonts w:hint="eastAsia" w:cs="汉仪中等线KW"/>
          <w:b/>
          <w:sz w:val="32"/>
          <w:szCs w:val="32"/>
        </w:rPr>
        <w:t>项目编号：GHY-26430</w:t>
      </w:r>
    </w:p>
    <w:p w14:paraId="5C3A0B7F">
      <w:pPr>
        <w:ind w:left="480" w:firstLine="480"/>
      </w:pPr>
    </w:p>
    <w:p w14:paraId="3C2E064E">
      <w:pPr>
        <w:ind w:left="480" w:firstLine="480"/>
      </w:pPr>
    </w:p>
    <w:p w14:paraId="6B6E659E">
      <w:pPr>
        <w:ind w:left="480" w:firstLine="480"/>
      </w:pPr>
    </w:p>
    <w:p w14:paraId="6FACAB08">
      <w:pPr>
        <w:ind w:left="480" w:firstLine="480"/>
      </w:pPr>
    </w:p>
    <w:p w14:paraId="58E08537">
      <w:pPr>
        <w:ind w:left="480" w:firstLine="480"/>
      </w:pPr>
    </w:p>
    <w:p w14:paraId="05FF0466">
      <w:pPr>
        <w:ind w:firstLine="503"/>
        <w:jc w:val="center"/>
        <w:rPr>
          <w:rFonts w:hint="eastAsia" w:ascii="方正公文小标宋" w:hAnsi="方正公文小标宋" w:eastAsia="方正公文小标宋" w:cs="方正公文小标宋"/>
          <w:bCs/>
          <w:w w:val="90"/>
          <w:sz w:val="28"/>
          <w:szCs w:val="28"/>
        </w:rPr>
      </w:pPr>
      <w:r>
        <w:rPr>
          <w:rFonts w:hint="eastAsia" w:ascii="方正公文小标宋" w:hAnsi="方正公文小标宋" w:eastAsia="方正公文小标宋" w:cs="方正公文小标宋"/>
          <w:bCs/>
          <w:w w:val="90"/>
          <w:sz w:val="28"/>
          <w:szCs w:val="28"/>
        </w:rPr>
        <w:t>招标人：中煤科工集团重庆研究院有限公司</w:t>
      </w:r>
    </w:p>
    <w:p w14:paraId="093F2A3D">
      <w:pPr>
        <w:ind w:firstLine="503"/>
        <w:jc w:val="center"/>
        <w:rPr>
          <w:rFonts w:cs="汉仪中等线KW"/>
          <w:sz w:val="21"/>
          <w:szCs w:val="16"/>
        </w:rPr>
      </w:pPr>
      <w:r>
        <w:rPr>
          <w:rFonts w:hint="eastAsia" w:ascii="方正公文小标宋" w:hAnsi="方正公文小标宋" w:eastAsia="方正公文小标宋" w:cs="方正公文小标宋"/>
          <w:bCs/>
          <w:w w:val="90"/>
          <w:sz w:val="28"/>
          <w:szCs w:val="28"/>
        </w:rPr>
        <w:t>代理机构：</w:t>
      </w:r>
      <w:r>
        <w:rPr>
          <w:rFonts w:hint="eastAsia" w:ascii="方正公文小标宋" w:hAnsi="方正公文小标宋" w:eastAsia="方正公文小标宋" w:cs="方正公文小标宋"/>
          <w:bCs/>
          <w:sz w:val="28"/>
          <w:szCs w:val="28"/>
        </w:rPr>
        <w:t>煤炭工业规划设计研究院有限公司</w:t>
      </w:r>
    </w:p>
    <w:p w14:paraId="0C60CC17">
      <w:pPr>
        <w:ind w:left="480" w:firstLine="480"/>
      </w:pPr>
    </w:p>
    <w:p w14:paraId="336C6534">
      <w:pPr>
        <w:ind w:firstLine="560"/>
        <w:jc w:val="center"/>
        <w:rPr>
          <w:rFonts w:hint="eastAsia" w:ascii="方正公文小标宋" w:hAnsi="方正公文小标宋" w:eastAsia="方正公文小标宋" w:cs="方正公文小标宋"/>
          <w:bCs/>
          <w:sz w:val="28"/>
          <w:szCs w:val="28"/>
        </w:rPr>
      </w:pPr>
      <w:r>
        <w:rPr>
          <w:rFonts w:hint="eastAsia" w:ascii="方正公文小标宋" w:hAnsi="方正公文小标宋" w:eastAsia="方正公文小标宋" w:cs="方正公文小标宋"/>
          <w:bCs/>
          <w:sz w:val="28"/>
          <w:szCs w:val="28"/>
        </w:rPr>
        <w:t>2026年</w:t>
      </w:r>
      <w:r>
        <w:rPr>
          <w:rFonts w:hint="eastAsia" w:ascii="方正公文小标宋" w:hAnsi="方正公文小标宋" w:eastAsia="方正公文小标宋" w:cs="方正公文小标宋"/>
          <w:bCs/>
          <w:sz w:val="28"/>
          <w:szCs w:val="28"/>
          <w:lang w:val="en-US" w:eastAsia="zh-CN"/>
        </w:rPr>
        <w:t>9</w:t>
      </w:r>
      <w:r>
        <w:rPr>
          <w:rFonts w:hint="eastAsia" w:ascii="方正公文小标宋" w:hAnsi="方正公文小标宋" w:eastAsia="方正公文小标宋" w:cs="方正公文小标宋"/>
          <w:bCs/>
          <w:sz w:val="28"/>
          <w:szCs w:val="28"/>
        </w:rPr>
        <w:t>月</w:t>
      </w:r>
    </w:p>
    <w:p w14:paraId="54EC6B8A">
      <w:pPr>
        <w:ind w:firstLine="480"/>
      </w:pPr>
    </w:p>
    <w:p w14:paraId="1B8D0E1C">
      <w:pPr>
        <w:ind w:firstLine="480"/>
      </w:pPr>
    </w:p>
    <w:p w14:paraId="6E726B8E">
      <w:pPr>
        <w:keepNext/>
        <w:keepLines/>
        <w:pageBreakBefore/>
        <w:ind w:left="480" w:firstLine="480"/>
        <w:jc w:val="center"/>
        <w:rPr>
          <w:rFonts w:hint="eastAsia" w:ascii="方正公文小标宋" w:hAnsi="方正公文小标宋" w:eastAsia="方正公文小标宋"/>
        </w:rPr>
      </w:pPr>
      <w:bookmarkStart w:id="0" w:name="_Toc1207554267"/>
      <w:bookmarkStart w:id="1" w:name="_Toc153550898"/>
      <w:r>
        <w:rPr>
          <w:rFonts w:hint="eastAsia" w:ascii="方正公文小标宋" w:hAnsi="方正公文小标宋" w:eastAsia="方正公文小标宋"/>
        </w:rPr>
        <w:t>目录</w:t>
      </w:r>
      <w:bookmarkEnd w:id="0"/>
      <w:bookmarkEnd w:id="1"/>
    </w:p>
    <w:p w14:paraId="10795C7B">
      <w:pPr>
        <w:pStyle w:val="14"/>
        <w:tabs>
          <w:tab w:val="right" w:leader="dot" w:pos="9468"/>
        </w:tabs>
      </w:pPr>
      <w:r>
        <w:fldChar w:fldCharType="begin"/>
      </w:r>
      <w:r>
        <w:instrText xml:space="preserve">TOC \o "1-3" \h \u </w:instrText>
      </w:r>
      <w:r>
        <w:fldChar w:fldCharType="separate"/>
      </w:r>
      <w:r>
        <w:fldChar w:fldCharType="begin"/>
      </w:r>
      <w:r>
        <w:instrText xml:space="preserve"> HYPERLINK \l _Toc3671 </w:instrText>
      </w:r>
      <w:r>
        <w:fldChar w:fldCharType="separate"/>
      </w:r>
      <w:r>
        <w:t>第一章</w:t>
      </w:r>
      <w:r>
        <w:rPr>
          <w:rFonts w:hint="eastAsia"/>
        </w:rPr>
        <w:t xml:space="preserve"> </w:t>
      </w:r>
      <w:r>
        <w:t>招标公告</w:t>
      </w:r>
      <w:r>
        <w:tab/>
      </w:r>
      <w:r>
        <w:fldChar w:fldCharType="begin"/>
      </w:r>
      <w:r>
        <w:instrText xml:space="preserve"> PAGEREF _Toc3671 \h </w:instrText>
      </w:r>
      <w:r>
        <w:fldChar w:fldCharType="separate"/>
      </w:r>
      <w:r>
        <w:t>8</w:t>
      </w:r>
      <w:r>
        <w:fldChar w:fldCharType="end"/>
      </w:r>
      <w:r>
        <w:fldChar w:fldCharType="end"/>
      </w:r>
    </w:p>
    <w:p w14:paraId="74ED4DA7">
      <w:pPr>
        <w:pStyle w:val="15"/>
        <w:tabs>
          <w:tab w:val="right" w:leader="dot" w:pos="9468"/>
        </w:tabs>
      </w:pPr>
      <w:r>
        <w:fldChar w:fldCharType="begin"/>
      </w:r>
      <w:r>
        <w:instrText xml:space="preserve"> HYPERLINK \l _Toc4061 </w:instrText>
      </w:r>
      <w:r>
        <w:fldChar w:fldCharType="separate"/>
      </w:r>
      <w:r>
        <w:rPr>
          <w:rFonts w:ascii="Times New Roman" w:hAnsi="Times New Roman" w:cs="Times New Roman Regular"/>
          <w:szCs w:val="24"/>
        </w:rPr>
        <w:t>1</w:t>
      </w:r>
      <w:r>
        <w:rPr>
          <w:rFonts w:ascii="Times New Roman Regular" w:hAnsi="Times New Roman Regular" w:cs="Times New Roman Regular"/>
          <w:szCs w:val="24"/>
        </w:rPr>
        <w:t>.</w:t>
      </w:r>
      <w:r>
        <w:rPr>
          <w:rFonts w:hint="eastAsia"/>
          <w:szCs w:val="24"/>
        </w:rPr>
        <w:t>招标条件</w:t>
      </w:r>
      <w:r>
        <w:tab/>
      </w:r>
      <w:r>
        <w:fldChar w:fldCharType="begin"/>
      </w:r>
      <w:r>
        <w:instrText xml:space="preserve"> PAGEREF _Toc4061 \h </w:instrText>
      </w:r>
      <w:r>
        <w:fldChar w:fldCharType="separate"/>
      </w:r>
      <w:r>
        <w:t>8</w:t>
      </w:r>
      <w:r>
        <w:fldChar w:fldCharType="end"/>
      </w:r>
      <w:r>
        <w:fldChar w:fldCharType="end"/>
      </w:r>
    </w:p>
    <w:p w14:paraId="1D3E0252">
      <w:pPr>
        <w:pStyle w:val="15"/>
        <w:tabs>
          <w:tab w:val="right" w:leader="dot" w:pos="9468"/>
        </w:tabs>
      </w:pPr>
      <w:r>
        <w:fldChar w:fldCharType="begin"/>
      </w:r>
      <w:r>
        <w:instrText xml:space="preserve"> HYPERLINK \l _Toc10010 </w:instrText>
      </w:r>
      <w:r>
        <w:fldChar w:fldCharType="separate"/>
      </w:r>
      <w:r>
        <w:rPr>
          <w:rFonts w:ascii="Times New Roman" w:hAnsi="Times New Roman" w:cs="Times New Roman Regular"/>
          <w:szCs w:val="24"/>
        </w:rPr>
        <w:t>2</w:t>
      </w:r>
      <w:r>
        <w:rPr>
          <w:rFonts w:ascii="Times New Roman Regular" w:hAnsi="Times New Roman Regular" w:cs="Times New Roman Regular"/>
          <w:szCs w:val="24"/>
        </w:rPr>
        <w:t>.</w:t>
      </w:r>
      <w:r>
        <w:rPr>
          <w:rFonts w:hint="eastAsia"/>
        </w:rPr>
        <w:t>项目概况与招标范围</w:t>
      </w:r>
      <w:r>
        <w:tab/>
      </w:r>
      <w:r>
        <w:fldChar w:fldCharType="begin"/>
      </w:r>
      <w:r>
        <w:instrText xml:space="preserve"> PAGEREF _Toc10010 \h </w:instrText>
      </w:r>
      <w:r>
        <w:fldChar w:fldCharType="separate"/>
      </w:r>
      <w:r>
        <w:t>8</w:t>
      </w:r>
      <w:r>
        <w:fldChar w:fldCharType="end"/>
      </w:r>
      <w:r>
        <w:fldChar w:fldCharType="end"/>
      </w:r>
    </w:p>
    <w:p w14:paraId="6C944B92">
      <w:pPr>
        <w:pStyle w:val="15"/>
        <w:tabs>
          <w:tab w:val="right" w:leader="dot" w:pos="9468"/>
        </w:tabs>
      </w:pPr>
      <w:r>
        <w:fldChar w:fldCharType="begin"/>
      </w:r>
      <w:r>
        <w:instrText xml:space="preserve"> HYPERLINK \l _Toc5865 </w:instrText>
      </w:r>
      <w:r>
        <w:fldChar w:fldCharType="separate"/>
      </w:r>
      <w:r>
        <w:t>3.投标人资格</w:t>
      </w:r>
      <w:r>
        <w:rPr>
          <w:rFonts w:hint="eastAsia"/>
        </w:rPr>
        <w:t>要求</w:t>
      </w:r>
      <w:r>
        <w:tab/>
      </w:r>
      <w:r>
        <w:fldChar w:fldCharType="begin"/>
      </w:r>
      <w:r>
        <w:instrText xml:space="preserve"> PAGEREF _Toc5865 \h </w:instrText>
      </w:r>
      <w:r>
        <w:fldChar w:fldCharType="separate"/>
      </w:r>
      <w:r>
        <w:t>9</w:t>
      </w:r>
      <w:r>
        <w:fldChar w:fldCharType="end"/>
      </w:r>
      <w:r>
        <w:fldChar w:fldCharType="end"/>
      </w:r>
    </w:p>
    <w:p w14:paraId="5984282B">
      <w:pPr>
        <w:pStyle w:val="15"/>
        <w:tabs>
          <w:tab w:val="right" w:leader="dot" w:pos="9468"/>
        </w:tabs>
      </w:pPr>
      <w:r>
        <w:fldChar w:fldCharType="begin"/>
      </w:r>
      <w:r>
        <w:instrText xml:space="preserve"> HYPERLINK \l _Toc19479 </w:instrText>
      </w:r>
      <w:r>
        <w:fldChar w:fldCharType="separate"/>
      </w:r>
      <w:r>
        <w:rPr>
          <w:rFonts w:hint="eastAsia"/>
        </w:rPr>
        <w:t>4</w:t>
      </w:r>
      <w:r>
        <w:t>.</w:t>
      </w:r>
      <w:r>
        <w:rPr>
          <w:rFonts w:hint="eastAsia"/>
        </w:rPr>
        <w:t>招标文件的获取</w:t>
      </w:r>
      <w:r>
        <w:tab/>
      </w:r>
      <w:r>
        <w:fldChar w:fldCharType="begin"/>
      </w:r>
      <w:r>
        <w:instrText xml:space="preserve"> PAGEREF _Toc19479 \h </w:instrText>
      </w:r>
      <w:r>
        <w:fldChar w:fldCharType="separate"/>
      </w:r>
      <w:r>
        <w:t>11</w:t>
      </w:r>
      <w:r>
        <w:fldChar w:fldCharType="end"/>
      </w:r>
      <w:r>
        <w:fldChar w:fldCharType="end"/>
      </w:r>
    </w:p>
    <w:p w14:paraId="133232A8">
      <w:pPr>
        <w:pStyle w:val="15"/>
        <w:tabs>
          <w:tab w:val="right" w:leader="dot" w:pos="9468"/>
        </w:tabs>
      </w:pPr>
      <w:r>
        <w:fldChar w:fldCharType="begin"/>
      </w:r>
      <w:r>
        <w:instrText xml:space="preserve"> HYPERLINK \l _Toc3243 </w:instrText>
      </w:r>
      <w:r>
        <w:fldChar w:fldCharType="separate"/>
      </w:r>
      <w:r>
        <w:rPr>
          <w:rFonts w:hint="eastAsia"/>
        </w:rPr>
        <w:t>5</w:t>
      </w:r>
      <w:r>
        <w:t>.</w:t>
      </w:r>
      <w:r>
        <w:rPr>
          <w:rFonts w:hint="eastAsia"/>
        </w:rPr>
        <w:t>投标文件递交</w:t>
      </w:r>
      <w:r>
        <w:tab/>
      </w:r>
      <w:r>
        <w:fldChar w:fldCharType="begin"/>
      </w:r>
      <w:r>
        <w:instrText xml:space="preserve"> PAGEREF _Toc3243 \h </w:instrText>
      </w:r>
      <w:r>
        <w:fldChar w:fldCharType="separate"/>
      </w:r>
      <w:r>
        <w:t>11</w:t>
      </w:r>
      <w:r>
        <w:fldChar w:fldCharType="end"/>
      </w:r>
      <w:r>
        <w:fldChar w:fldCharType="end"/>
      </w:r>
    </w:p>
    <w:p w14:paraId="77D63D15">
      <w:pPr>
        <w:pStyle w:val="15"/>
        <w:tabs>
          <w:tab w:val="right" w:leader="dot" w:pos="9468"/>
        </w:tabs>
      </w:pPr>
      <w:r>
        <w:fldChar w:fldCharType="begin"/>
      </w:r>
      <w:r>
        <w:instrText xml:space="preserve"> HYPERLINK \l _Toc29658 </w:instrText>
      </w:r>
      <w:r>
        <w:fldChar w:fldCharType="separate"/>
      </w:r>
      <w:r>
        <w:rPr>
          <w:rFonts w:hint="eastAsia"/>
        </w:rPr>
        <w:t>6.开标</w:t>
      </w:r>
      <w:r>
        <w:tab/>
      </w:r>
      <w:r>
        <w:fldChar w:fldCharType="begin"/>
      </w:r>
      <w:r>
        <w:instrText xml:space="preserve"> PAGEREF _Toc29658 \h </w:instrText>
      </w:r>
      <w:r>
        <w:fldChar w:fldCharType="separate"/>
      </w:r>
      <w:r>
        <w:t>11</w:t>
      </w:r>
      <w:r>
        <w:fldChar w:fldCharType="end"/>
      </w:r>
      <w:r>
        <w:fldChar w:fldCharType="end"/>
      </w:r>
    </w:p>
    <w:p w14:paraId="30020023">
      <w:pPr>
        <w:pStyle w:val="15"/>
        <w:tabs>
          <w:tab w:val="right" w:leader="dot" w:pos="9468"/>
        </w:tabs>
      </w:pPr>
      <w:r>
        <w:fldChar w:fldCharType="begin"/>
      </w:r>
      <w:r>
        <w:instrText xml:space="preserve"> HYPERLINK \l _Toc17299 </w:instrText>
      </w:r>
      <w:r>
        <w:fldChar w:fldCharType="separate"/>
      </w:r>
      <w:r>
        <w:rPr>
          <w:rFonts w:hint="eastAsia"/>
        </w:rPr>
        <w:t>7.发布公告的媒介</w:t>
      </w:r>
      <w:r>
        <w:tab/>
      </w:r>
      <w:r>
        <w:fldChar w:fldCharType="begin"/>
      </w:r>
      <w:r>
        <w:instrText xml:space="preserve"> PAGEREF _Toc17299 \h </w:instrText>
      </w:r>
      <w:r>
        <w:fldChar w:fldCharType="separate"/>
      </w:r>
      <w:r>
        <w:t>12</w:t>
      </w:r>
      <w:r>
        <w:fldChar w:fldCharType="end"/>
      </w:r>
      <w:r>
        <w:fldChar w:fldCharType="end"/>
      </w:r>
    </w:p>
    <w:p w14:paraId="0179E647">
      <w:pPr>
        <w:pStyle w:val="15"/>
        <w:tabs>
          <w:tab w:val="right" w:leader="dot" w:pos="9468"/>
        </w:tabs>
      </w:pPr>
      <w:r>
        <w:fldChar w:fldCharType="begin"/>
      </w:r>
      <w:r>
        <w:instrText xml:space="preserve"> HYPERLINK \l _Toc14342 </w:instrText>
      </w:r>
      <w:r>
        <w:fldChar w:fldCharType="separate"/>
      </w:r>
      <w:r>
        <w:rPr>
          <w:rFonts w:hint="eastAsia"/>
        </w:rPr>
        <w:t>8.招标人和招标代理机构联系方式</w:t>
      </w:r>
      <w:r>
        <w:tab/>
      </w:r>
      <w:r>
        <w:fldChar w:fldCharType="begin"/>
      </w:r>
      <w:r>
        <w:instrText xml:space="preserve"> PAGEREF _Toc14342 \h </w:instrText>
      </w:r>
      <w:r>
        <w:fldChar w:fldCharType="separate"/>
      </w:r>
      <w:r>
        <w:t>12</w:t>
      </w:r>
      <w:r>
        <w:fldChar w:fldCharType="end"/>
      </w:r>
      <w:r>
        <w:fldChar w:fldCharType="end"/>
      </w:r>
    </w:p>
    <w:p w14:paraId="47F6F097">
      <w:pPr>
        <w:pStyle w:val="15"/>
        <w:tabs>
          <w:tab w:val="right" w:leader="dot" w:pos="9468"/>
        </w:tabs>
      </w:pPr>
      <w:r>
        <w:fldChar w:fldCharType="begin"/>
      </w:r>
      <w:r>
        <w:instrText xml:space="preserve"> HYPERLINK \l _Toc5510 </w:instrText>
      </w:r>
      <w:r>
        <w:fldChar w:fldCharType="separate"/>
      </w:r>
      <w:r>
        <w:rPr>
          <w:rFonts w:hint="eastAsia"/>
        </w:rPr>
        <w:t>9.电子招标投标注意事项</w:t>
      </w:r>
      <w:r>
        <w:tab/>
      </w:r>
      <w:r>
        <w:fldChar w:fldCharType="begin"/>
      </w:r>
      <w:r>
        <w:instrText xml:space="preserve"> PAGEREF _Toc5510 \h </w:instrText>
      </w:r>
      <w:r>
        <w:fldChar w:fldCharType="separate"/>
      </w:r>
      <w:r>
        <w:t>13</w:t>
      </w:r>
      <w:r>
        <w:fldChar w:fldCharType="end"/>
      </w:r>
      <w:r>
        <w:fldChar w:fldCharType="end"/>
      </w:r>
    </w:p>
    <w:p w14:paraId="445360A0">
      <w:pPr>
        <w:pStyle w:val="14"/>
        <w:tabs>
          <w:tab w:val="right" w:leader="dot" w:pos="9468"/>
        </w:tabs>
      </w:pPr>
      <w:r>
        <w:fldChar w:fldCharType="begin"/>
      </w:r>
      <w:r>
        <w:instrText xml:space="preserve"> HYPERLINK \l _Toc23410 </w:instrText>
      </w:r>
      <w:r>
        <w:fldChar w:fldCharType="separate"/>
      </w:r>
      <w:r>
        <w:t>第二章</w:t>
      </w:r>
      <w:r>
        <w:rPr>
          <w:rFonts w:hint="eastAsia"/>
        </w:rPr>
        <w:t xml:space="preserve"> </w:t>
      </w:r>
      <w:r>
        <w:t>投标人须知</w:t>
      </w:r>
      <w:r>
        <w:tab/>
      </w:r>
      <w:r>
        <w:fldChar w:fldCharType="begin"/>
      </w:r>
      <w:r>
        <w:instrText xml:space="preserve"> PAGEREF _Toc23410 \h </w:instrText>
      </w:r>
      <w:r>
        <w:fldChar w:fldCharType="separate"/>
      </w:r>
      <w:r>
        <w:t>15</w:t>
      </w:r>
      <w:r>
        <w:fldChar w:fldCharType="end"/>
      </w:r>
      <w:r>
        <w:fldChar w:fldCharType="end"/>
      </w:r>
    </w:p>
    <w:p w14:paraId="350FD6FC">
      <w:pPr>
        <w:pStyle w:val="15"/>
        <w:tabs>
          <w:tab w:val="right" w:leader="dot" w:pos="9468"/>
        </w:tabs>
      </w:pPr>
      <w:r>
        <w:fldChar w:fldCharType="begin"/>
      </w:r>
      <w:r>
        <w:instrText xml:space="preserve"> HYPERLINK \l _Toc412 </w:instrText>
      </w:r>
      <w:r>
        <w:fldChar w:fldCharType="separate"/>
      </w:r>
      <w:r>
        <w:rPr>
          <w:rFonts w:hint="eastAsia" w:ascii="华文宋体" w:hAnsi="华文宋体"/>
          <w:szCs w:val="32"/>
        </w:rPr>
        <w:t>1.</w:t>
      </w:r>
      <w:r>
        <w:rPr>
          <w:rFonts w:ascii="华文宋体" w:hAnsi="华文宋体"/>
          <w:szCs w:val="32"/>
        </w:rPr>
        <w:t>投标人须知前附表</w:t>
      </w:r>
      <w:r>
        <w:tab/>
      </w:r>
      <w:r>
        <w:fldChar w:fldCharType="begin"/>
      </w:r>
      <w:r>
        <w:instrText xml:space="preserve"> PAGEREF _Toc412 \h </w:instrText>
      </w:r>
      <w:r>
        <w:fldChar w:fldCharType="separate"/>
      </w:r>
      <w:r>
        <w:t>15</w:t>
      </w:r>
      <w:r>
        <w:fldChar w:fldCharType="end"/>
      </w:r>
      <w:r>
        <w:fldChar w:fldCharType="end"/>
      </w:r>
    </w:p>
    <w:p w14:paraId="63F6BCC8">
      <w:pPr>
        <w:pStyle w:val="12"/>
        <w:tabs>
          <w:tab w:val="right" w:leader="dot" w:pos="9468"/>
        </w:tabs>
      </w:pPr>
      <w:r>
        <w:fldChar w:fldCharType="begin"/>
      </w:r>
      <w:r>
        <w:instrText xml:space="preserve"> HYPERLINK \l _Toc11712 </w:instrText>
      </w:r>
      <w:r>
        <w:fldChar w:fldCharType="separate"/>
      </w:r>
      <w:r>
        <w:t>1.1招标项目概况</w:t>
      </w:r>
      <w:r>
        <w:tab/>
      </w:r>
      <w:r>
        <w:fldChar w:fldCharType="begin"/>
      </w:r>
      <w:r>
        <w:instrText xml:space="preserve"> PAGEREF _Toc11712 \h </w:instrText>
      </w:r>
      <w:r>
        <w:fldChar w:fldCharType="separate"/>
      </w:r>
      <w:r>
        <w:t>24</w:t>
      </w:r>
      <w:r>
        <w:fldChar w:fldCharType="end"/>
      </w:r>
      <w:r>
        <w:fldChar w:fldCharType="end"/>
      </w:r>
    </w:p>
    <w:p w14:paraId="515903DE">
      <w:pPr>
        <w:pStyle w:val="12"/>
        <w:tabs>
          <w:tab w:val="right" w:leader="dot" w:pos="9468"/>
        </w:tabs>
      </w:pPr>
      <w:r>
        <w:fldChar w:fldCharType="begin"/>
      </w:r>
      <w:r>
        <w:instrText xml:space="preserve"> HYPERLINK \l _Toc31259 </w:instrText>
      </w:r>
      <w:r>
        <w:fldChar w:fldCharType="separate"/>
      </w:r>
      <w:r>
        <w:t>1.2招标项目的资金来源和落实情况</w:t>
      </w:r>
      <w:r>
        <w:tab/>
      </w:r>
      <w:r>
        <w:fldChar w:fldCharType="begin"/>
      </w:r>
      <w:r>
        <w:instrText xml:space="preserve"> PAGEREF _Toc31259 \h </w:instrText>
      </w:r>
      <w:r>
        <w:fldChar w:fldCharType="separate"/>
      </w:r>
      <w:r>
        <w:t>24</w:t>
      </w:r>
      <w:r>
        <w:fldChar w:fldCharType="end"/>
      </w:r>
      <w:r>
        <w:fldChar w:fldCharType="end"/>
      </w:r>
    </w:p>
    <w:p w14:paraId="685B7D5E">
      <w:pPr>
        <w:pStyle w:val="12"/>
        <w:tabs>
          <w:tab w:val="right" w:leader="dot" w:pos="9468"/>
        </w:tabs>
      </w:pPr>
      <w:r>
        <w:fldChar w:fldCharType="begin"/>
      </w:r>
      <w:r>
        <w:instrText xml:space="preserve"> HYPERLINK \l _Toc23721 </w:instrText>
      </w:r>
      <w:r>
        <w:fldChar w:fldCharType="separate"/>
      </w:r>
      <w:r>
        <w:t>1.3招标范围、</w:t>
      </w:r>
      <w:r>
        <w:rPr>
          <w:rFonts w:hint="eastAsia"/>
        </w:rPr>
        <w:t>服务期</w:t>
      </w:r>
      <w:r>
        <w:t>、</w:t>
      </w:r>
      <w:r>
        <w:rPr>
          <w:rFonts w:hint="eastAsia"/>
        </w:rPr>
        <w:t>服务地点</w:t>
      </w:r>
      <w:r>
        <w:t>和</w:t>
      </w:r>
      <w:r>
        <w:rPr>
          <w:rFonts w:hint="eastAsia"/>
        </w:rPr>
        <w:t>服务质量及标准</w:t>
      </w:r>
      <w:r>
        <w:tab/>
      </w:r>
      <w:r>
        <w:fldChar w:fldCharType="begin"/>
      </w:r>
      <w:r>
        <w:instrText xml:space="preserve"> PAGEREF _Toc23721 \h </w:instrText>
      </w:r>
      <w:r>
        <w:fldChar w:fldCharType="separate"/>
      </w:r>
      <w:r>
        <w:t>24</w:t>
      </w:r>
      <w:r>
        <w:fldChar w:fldCharType="end"/>
      </w:r>
      <w:r>
        <w:fldChar w:fldCharType="end"/>
      </w:r>
    </w:p>
    <w:p w14:paraId="49E7CA24">
      <w:pPr>
        <w:pStyle w:val="12"/>
        <w:tabs>
          <w:tab w:val="right" w:leader="dot" w:pos="9468"/>
        </w:tabs>
      </w:pPr>
      <w:r>
        <w:fldChar w:fldCharType="begin"/>
      </w:r>
      <w:r>
        <w:instrText xml:space="preserve"> HYPERLINK \l _Toc28754 </w:instrText>
      </w:r>
      <w:r>
        <w:fldChar w:fldCharType="separate"/>
      </w:r>
      <w:r>
        <w:t>1.4投标人资格要求</w:t>
      </w:r>
      <w:r>
        <w:tab/>
      </w:r>
      <w:r>
        <w:fldChar w:fldCharType="begin"/>
      </w:r>
      <w:r>
        <w:instrText xml:space="preserve"> PAGEREF _Toc28754 \h </w:instrText>
      </w:r>
      <w:r>
        <w:fldChar w:fldCharType="separate"/>
      </w:r>
      <w:r>
        <w:t>24</w:t>
      </w:r>
      <w:r>
        <w:fldChar w:fldCharType="end"/>
      </w:r>
      <w:r>
        <w:fldChar w:fldCharType="end"/>
      </w:r>
    </w:p>
    <w:p w14:paraId="427807DE">
      <w:pPr>
        <w:pStyle w:val="12"/>
        <w:tabs>
          <w:tab w:val="right" w:leader="dot" w:pos="9468"/>
        </w:tabs>
      </w:pPr>
      <w:r>
        <w:fldChar w:fldCharType="begin"/>
      </w:r>
      <w:r>
        <w:instrText xml:space="preserve"> HYPERLINK \l _Toc3276 </w:instrText>
      </w:r>
      <w:r>
        <w:fldChar w:fldCharType="separate"/>
      </w:r>
      <w:r>
        <w:t>1.5费用承担</w:t>
      </w:r>
      <w:r>
        <w:tab/>
      </w:r>
      <w:r>
        <w:fldChar w:fldCharType="begin"/>
      </w:r>
      <w:r>
        <w:instrText xml:space="preserve"> PAGEREF _Toc3276 \h </w:instrText>
      </w:r>
      <w:r>
        <w:fldChar w:fldCharType="separate"/>
      </w:r>
      <w:r>
        <w:t>26</w:t>
      </w:r>
      <w:r>
        <w:fldChar w:fldCharType="end"/>
      </w:r>
      <w:r>
        <w:fldChar w:fldCharType="end"/>
      </w:r>
    </w:p>
    <w:p w14:paraId="4BF2CA57">
      <w:pPr>
        <w:pStyle w:val="12"/>
        <w:tabs>
          <w:tab w:val="right" w:leader="dot" w:pos="9468"/>
        </w:tabs>
      </w:pPr>
      <w:r>
        <w:fldChar w:fldCharType="begin"/>
      </w:r>
      <w:r>
        <w:instrText xml:space="preserve"> HYPERLINK \l _Toc31236 </w:instrText>
      </w:r>
      <w:r>
        <w:fldChar w:fldCharType="separate"/>
      </w:r>
      <w:r>
        <w:t>1.6保密</w:t>
      </w:r>
      <w:r>
        <w:tab/>
      </w:r>
      <w:r>
        <w:fldChar w:fldCharType="begin"/>
      </w:r>
      <w:r>
        <w:instrText xml:space="preserve"> PAGEREF _Toc31236 \h </w:instrText>
      </w:r>
      <w:r>
        <w:fldChar w:fldCharType="separate"/>
      </w:r>
      <w:r>
        <w:t>27</w:t>
      </w:r>
      <w:r>
        <w:fldChar w:fldCharType="end"/>
      </w:r>
      <w:r>
        <w:fldChar w:fldCharType="end"/>
      </w:r>
    </w:p>
    <w:p w14:paraId="7B1993FE">
      <w:pPr>
        <w:pStyle w:val="12"/>
        <w:tabs>
          <w:tab w:val="right" w:leader="dot" w:pos="9468"/>
        </w:tabs>
      </w:pPr>
      <w:r>
        <w:fldChar w:fldCharType="begin"/>
      </w:r>
      <w:r>
        <w:instrText xml:space="preserve"> HYPERLINK \l _Toc21561 </w:instrText>
      </w:r>
      <w:r>
        <w:fldChar w:fldCharType="separate"/>
      </w:r>
      <w:r>
        <w:t>1.7语言文字</w:t>
      </w:r>
      <w:r>
        <w:tab/>
      </w:r>
      <w:r>
        <w:fldChar w:fldCharType="begin"/>
      </w:r>
      <w:r>
        <w:instrText xml:space="preserve"> PAGEREF _Toc21561 \h </w:instrText>
      </w:r>
      <w:r>
        <w:fldChar w:fldCharType="separate"/>
      </w:r>
      <w:r>
        <w:t>27</w:t>
      </w:r>
      <w:r>
        <w:fldChar w:fldCharType="end"/>
      </w:r>
      <w:r>
        <w:fldChar w:fldCharType="end"/>
      </w:r>
    </w:p>
    <w:p w14:paraId="0FDD2508">
      <w:pPr>
        <w:pStyle w:val="12"/>
        <w:tabs>
          <w:tab w:val="right" w:leader="dot" w:pos="9468"/>
        </w:tabs>
      </w:pPr>
      <w:r>
        <w:fldChar w:fldCharType="begin"/>
      </w:r>
      <w:r>
        <w:instrText xml:space="preserve"> HYPERLINK \l _Toc25452 </w:instrText>
      </w:r>
      <w:r>
        <w:fldChar w:fldCharType="separate"/>
      </w:r>
      <w:r>
        <w:t>1.8计量单位</w:t>
      </w:r>
      <w:r>
        <w:tab/>
      </w:r>
      <w:r>
        <w:fldChar w:fldCharType="begin"/>
      </w:r>
      <w:r>
        <w:instrText xml:space="preserve"> PAGEREF _Toc25452 \h </w:instrText>
      </w:r>
      <w:r>
        <w:fldChar w:fldCharType="separate"/>
      </w:r>
      <w:r>
        <w:t>27</w:t>
      </w:r>
      <w:r>
        <w:fldChar w:fldCharType="end"/>
      </w:r>
      <w:r>
        <w:fldChar w:fldCharType="end"/>
      </w:r>
    </w:p>
    <w:p w14:paraId="4C46463F">
      <w:pPr>
        <w:pStyle w:val="12"/>
        <w:tabs>
          <w:tab w:val="right" w:leader="dot" w:pos="9468"/>
        </w:tabs>
      </w:pPr>
      <w:r>
        <w:fldChar w:fldCharType="begin"/>
      </w:r>
      <w:r>
        <w:instrText xml:space="preserve"> HYPERLINK \l _Toc9997 </w:instrText>
      </w:r>
      <w:r>
        <w:fldChar w:fldCharType="separate"/>
      </w:r>
      <w:r>
        <w:t>1.9投标预备会</w:t>
      </w:r>
      <w:r>
        <w:tab/>
      </w:r>
      <w:r>
        <w:fldChar w:fldCharType="begin"/>
      </w:r>
      <w:r>
        <w:instrText xml:space="preserve"> PAGEREF _Toc9997 \h </w:instrText>
      </w:r>
      <w:r>
        <w:fldChar w:fldCharType="separate"/>
      </w:r>
      <w:r>
        <w:t>27</w:t>
      </w:r>
      <w:r>
        <w:fldChar w:fldCharType="end"/>
      </w:r>
      <w:r>
        <w:fldChar w:fldCharType="end"/>
      </w:r>
    </w:p>
    <w:p w14:paraId="5B5BEBB6">
      <w:pPr>
        <w:pStyle w:val="12"/>
        <w:tabs>
          <w:tab w:val="right" w:leader="dot" w:pos="9468"/>
        </w:tabs>
      </w:pPr>
      <w:r>
        <w:fldChar w:fldCharType="begin"/>
      </w:r>
      <w:r>
        <w:instrText xml:space="preserve"> HYPERLINK \l _Toc26740 </w:instrText>
      </w:r>
      <w:r>
        <w:fldChar w:fldCharType="separate"/>
      </w:r>
      <w:r>
        <w:t>1.10分包</w:t>
      </w:r>
      <w:r>
        <w:tab/>
      </w:r>
      <w:r>
        <w:fldChar w:fldCharType="begin"/>
      </w:r>
      <w:r>
        <w:instrText xml:space="preserve"> PAGEREF _Toc26740 \h </w:instrText>
      </w:r>
      <w:r>
        <w:fldChar w:fldCharType="separate"/>
      </w:r>
      <w:r>
        <w:t>28</w:t>
      </w:r>
      <w:r>
        <w:fldChar w:fldCharType="end"/>
      </w:r>
      <w:r>
        <w:fldChar w:fldCharType="end"/>
      </w:r>
    </w:p>
    <w:p w14:paraId="2C2E31F1">
      <w:pPr>
        <w:pStyle w:val="12"/>
        <w:tabs>
          <w:tab w:val="right" w:leader="dot" w:pos="9468"/>
        </w:tabs>
      </w:pPr>
      <w:r>
        <w:fldChar w:fldCharType="begin"/>
      </w:r>
      <w:r>
        <w:instrText xml:space="preserve"> HYPERLINK \l _Toc8080 </w:instrText>
      </w:r>
      <w:r>
        <w:fldChar w:fldCharType="separate"/>
      </w:r>
      <w:r>
        <w:t>1.11响应和偏差</w:t>
      </w:r>
      <w:r>
        <w:tab/>
      </w:r>
      <w:r>
        <w:fldChar w:fldCharType="begin"/>
      </w:r>
      <w:r>
        <w:instrText xml:space="preserve"> PAGEREF _Toc8080 \h </w:instrText>
      </w:r>
      <w:r>
        <w:fldChar w:fldCharType="separate"/>
      </w:r>
      <w:r>
        <w:t>28</w:t>
      </w:r>
      <w:r>
        <w:fldChar w:fldCharType="end"/>
      </w:r>
      <w:r>
        <w:fldChar w:fldCharType="end"/>
      </w:r>
    </w:p>
    <w:p w14:paraId="7844B98F">
      <w:pPr>
        <w:pStyle w:val="15"/>
        <w:tabs>
          <w:tab w:val="right" w:leader="dot" w:pos="9468"/>
        </w:tabs>
      </w:pPr>
      <w:r>
        <w:fldChar w:fldCharType="begin"/>
      </w:r>
      <w:r>
        <w:instrText xml:space="preserve"> HYPERLINK \l _Toc26552 </w:instrText>
      </w:r>
      <w:r>
        <w:fldChar w:fldCharType="separate"/>
      </w:r>
      <w:r>
        <w:rPr>
          <w:rFonts w:hint="eastAsia" w:ascii="华文宋体" w:hAnsi="华文宋体" w:cs="华文宋体"/>
        </w:rPr>
        <w:t>2.招标文件</w:t>
      </w:r>
      <w:r>
        <w:tab/>
      </w:r>
      <w:r>
        <w:fldChar w:fldCharType="begin"/>
      </w:r>
      <w:r>
        <w:instrText xml:space="preserve"> PAGEREF _Toc26552 \h </w:instrText>
      </w:r>
      <w:r>
        <w:fldChar w:fldCharType="separate"/>
      </w:r>
      <w:r>
        <w:t>28</w:t>
      </w:r>
      <w:r>
        <w:fldChar w:fldCharType="end"/>
      </w:r>
      <w:r>
        <w:fldChar w:fldCharType="end"/>
      </w:r>
    </w:p>
    <w:p w14:paraId="03B2FDA1">
      <w:pPr>
        <w:pStyle w:val="12"/>
        <w:tabs>
          <w:tab w:val="right" w:leader="dot" w:pos="9468"/>
        </w:tabs>
      </w:pPr>
      <w:r>
        <w:fldChar w:fldCharType="begin"/>
      </w:r>
      <w:r>
        <w:instrText xml:space="preserve"> HYPERLINK \l _Toc26744 </w:instrText>
      </w:r>
      <w:r>
        <w:fldChar w:fldCharType="separate"/>
      </w:r>
      <w:r>
        <w:t>2.1招标文件的组成</w:t>
      </w:r>
      <w:r>
        <w:tab/>
      </w:r>
      <w:r>
        <w:fldChar w:fldCharType="begin"/>
      </w:r>
      <w:r>
        <w:instrText xml:space="preserve"> PAGEREF _Toc26744 \h </w:instrText>
      </w:r>
      <w:r>
        <w:fldChar w:fldCharType="separate"/>
      </w:r>
      <w:r>
        <w:t>28</w:t>
      </w:r>
      <w:r>
        <w:fldChar w:fldCharType="end"/>
      </w:r>
      <w:r>
        <w:fldChar w:fldCharType="end"/>
      </w:r>
    </w:p>
    <w:p w14:paraId="3FC5CDA3">
      <w:pPr>
        <w:pStyle w:val="12"/>
        <w:tabs>
          <w:tab w:val="right" w:leader="dot" w:pos="9468"/>
        </w:tabs>
      </w:pPr>
      <w:r>
        <w:fldChar w:fldCharType="begin"/>
      </w:r>
      <w:r>
        <w:instrText xml:space="preserve"> HYPERLINK \l _Toc13691 </w:instrText>
      </w:r>
      <w:r>
        <w:fldChar w:fldCharType="separate"/>
      </w:r>
      <w:r>
        <w:t>2.2招标文件的澄清</w:t>
      </w:r>
      <w:r>
        <w:tab/>
      </w:r>
      <w:r>
        <w:fldChar w:fldCharType="begin"/>
      </w:r>
      <w:r>
        <w:instrText xml:space="preserve"> PAGEREF _Toc13691 \h </w:instrText>
      </w:r>
      <w:r>
        <w:fldChar w:fldCharType="separate"/>
      </w:r>
      <w:r>
        <w:t>29</w:t>
      </w:r>
      <w:r>
        <w:fldChar w:fldCharType="end"/>
      </w:r>
      <w:r>
        <w:fldChar w:fldCharType="end"/>
      </w:r>
    </w:p>
    <w:p w14:paraId="2E102D06">
      <w:pPr>
        <w:pStyle w:val="12"/>
        <w:tabs>
          <w:tab w:val="right" w:leader="dot" w:pos="9468"/>
        </w:tabs>
      </w:pPr>
      <w:r>
        <w:fldChar w:fldCharType="begin"/>
      </w:r>
      <w:r>
        <w:instrText xml:space="preserve"> HYPERLINK \l _Toc4062 </w:instrText>
      </w:r>
      <w:r>
        <w:fldChar w:fldCharType="separate"/>
      </w:r>
      <w:r>
        <w:rPr>
          <w:rFonts w:hint="eastAsia"/>
        </w:rPr>
        <w:t>2.3招标文件的修改</w:t>
      </w:r>
      <w:r>
        <w:tab/>
      </w:r>
      <w:r>
        <w:fldChar w:fldCharType="begin"/>
      </w:r>
      <w:r>
        <w:instrText xml:space="preserve"> PAGEREF _Toc4062 \h </w:instrText>
      </w:r>
      <w:r>
        <w:fldChar w:fldCharType="separate"/>
      </w:r>
      <w:r>
        <w:t>29</w:t>
      </w:r>
      <w:r>
        <w:fldChar w:fldCharType="end"/>
      </w:r>
      <w:r>
        <w:fldChar w:fldCharType="end"/>
      </w:r>
    </w:p>
    <w:p w14:paraId="5DE9291E">
      <w:pPr>
        <w:pStyle w:val="12"/>
        <w:tabs>
          <w:tab w:val="right" w:leader="dot" w:pos="9468"/>
        </w:tabs>
      </w:pPr>
      <w:r>
        <w:fldChar w:fldCharType="begin"/>
      </w:r>
      <w:r>
        <w:instrText xml:space="preserve"> HYPERLINK \l _Toc28391 </w:instrText>
      </w:r>
      <w:r>
        <w:fldChar w:fldCharType="separate"/>
      </w:r>
      <w:r>
        <w:t>2.4招标文件的异议</w:t>
      </w:r>
      <w:r>
        <w:tab/>
      </w:r>
      <w:r>
        <w:fldChar w:fldCharType="begin"/>
      </w:r>
      <w:r>
        <w:instrText xml:space="preserve"> PAGEREF _Toc28391 \h </w:instrText>
      </w:r>
      <w:r>
        <w:fldChar w:fldCharType="separate"/>
      </w:r>
      <w:r>
        <w:t>29</w:t>
      </w:r>
      <w:r>
        <w:fldChar w:fldCharType="end"/>
      </w:r>
      <w:r>
        <w:fldChar w:fldCharType="end"/>
      </w:r>
    </w:p>
    <w:p w14:paraId="5BDEB947">
      <w:pPr>
        <w:pStyle w:val="15"/>
        <w:tabs>
          <w:tab w:val="right" w:leader="dot" w:pos="9468"/>
        </w:tabs>
      </w:pPr>
      <w:r>
        <w:fldChar w:fldCharType="begin"/>
      </w:r>
      <w:r>
        <w:instrText xml:space="preserve"> HYPERLINK \l _Toc12261 </w:instrText>
      </w:r>
      <w:r>
        <w:fldChar w:fldCharType="separate"/>
      </w:r>
      <w:r>
        <w:rPr>
          <w:rFonts w:ascii="Times New Roman" w:hAnsi="Times New Roman"/>
        </w:rPr>
        <w:t>3.投标文件</w:t>
      </w:r>
      <w:r>
        <w:tab/>
      </w:r>
      <w:r>
        <w:fldChar w:fldCharType="begin"/>
      </w:r>
      <w:r>
        <w:instrText xml:space="preserve"> PAGEREF _Toc12261 \h </w:instrText>
      </w:r>
      <w:r>
        <w:fldChar w:fldCharType="separate"/>
      </w:r>
      <w:r>
        <w:t>30</w:t>
      </w:r>
      <w:r>
        <w:fldChar w:fldCharType="end"/>
      </w:r>
      <w:r>
        <w:fldChar w:fldCharType="end"/>
      </w:r>
    </w:p>
    <w:p w14:paraId="59C108A8">
      <w:pPr>
        <w:pStyle w:val="12"/>
        <w:tabs>
          <w:tab w:val="right" w:leader="dot" w:pos="9468"/>
        </w:tabs>
      </w:pPr>
      <w:r>
        <w:fldChar w:fldCharType="begin"/>
      </w:r>
      <w:r>
        <w:instrText xml:space="preserve"> HYPERLINK \l _Toc6288 </w:instrText>
      </w:r>
      <w:r>
        <w:fldChar w:fldCharType="separate"/>
      </w:r>
      <w:r>
        <w:t>3.1投标文件的组成</w:t>
      </w:r>
      <w:r>
        <w:tab/>
      </w:r>
      <w:r>
        <w:fldChar w:fldCharType="begin"/>
      </w:r>
      <w:r>
        <w:instrText xml:space="preserve"> PAGEREF _Toc6288 \h </w:instrText>
      </w:r>
      <w:r>
        <w:fldChar w:fldCharType="separate"/>
      </w:r>
      <w:r>
        <w:t>30</w:t>
      </w:r>
      <w:r>
        <w:fldChar w:fldCharType="end"/>
      </w:r>
      <w:r>
        <w:fldChar w:fldCharType="end"/>
      </w:r>
    </w:p>
    <w:p w14:paraId="01F9039D">
      <w:pPr>
        <w:pStyle w:val="12"/>
        <w:tabs>
          <w:tab w:val="right" w:leader="dot" w:pos="9468"/>
        </w:tabs>
      </w:pPr>
      <w:r>
        <w:fldChar w:fldCharType="begin"/>
      </w:r>
      <w:r>
        <w:instrText xml:space="preserve"> HYPERLINK \l _Toc18893 </w:instrText>
      </w:r>
      <w:r>
        <w:fldChar w:fldCharType="separate"/>
      </w:r>
      <w:r>
        <w:t>3.2投标报价</w:t>
      </w:r>
      <w:r>
        <w:tab/>
      </w:r>
      <w:r>
        <w:fldChar w:fldCharType="begin"/>
      </w:r>
      <w:r>
        <w:instrText xml:space="preserve"> PAGEREF _Toc18893 \h </w:instrText>
      </w:r>
      <w:r>
        <w:fldChar w:fldCharType="separate"/>
      </w:r>
      <w:r>
        <w:t>30</w:t>
      </w:r>
      <w:r>
        <w:fldChar w:fldCharType="end"/>
      </w:r>
      <w:r>
        <w:fldChar w:fldCharType="end"/>
      </w:r>
    </w:p>
    <w:p w14:paraId="201DB764">
      <w:pPr>
        <w:pStyle w:val="12"/>
        <w:tabs>
          <w:tab w:val="right" w:leader="dot" w:pos="9468"/>
        </w:tabs>
      </w:pPr>
      <w:r>
        <w:fldChar w:fldCharType="begin"/>
      </w:r>
      <w:r>
        <w:instrText xml:space="preserve"> HYPERLINK \l _Toc27082 </w:instrText>
      </w:r>
      <w:r>
        <w:fldChar w:fldCharType="separate"/>
      </w:r>
      <w:r>
        <w:t>3.3投标有效期</w:t>
      </w:r>
      <w:r>
        <w:tab/>
      </w:r>
      <w:r>
        <w:fldChar w:fldCharType="begin"/>
      </w:r>
      <w:r>
        <w:instrText xml:space="preserve"> PAGEREF _Toc27082 \h </w:instrText>
      </w:r>
      <w:r>
        <w:fldChar w:fldCharType="separate"/>
      </w:r>
      <w:r>
        <w:t>31</w:t>
      </w:r>
      <w:r>
        <w:fldChar w:fldCharType="end"/>
      </w:r>
      <w:r>
        <w:fldChar w:fldCharType="end"/>
      </w:r>
    </w:p>
    <w:p w14:paraId="77F0489C">
      <w:pPr>
        <w:pStyle w:val="12"/>
        <w:tabs>
          <w:tab w:val="right" w:leader="dot" w:pos="9468"/>
        </w:tabs>
      </w:pPr>
      <w:r>
        <w:fldChar w:fldCharType="begin"/>
      </w:r>
      <w:r>
        <w:instrText xml:space="preserve"> HYPERLINK \l _Toc20071 </w:instrText>
      </w:r>
      <w:r>
        <w:fldChar w:fldCharType="separate"/>
      </w:r>
      <w:r>
        <w:t>3.4投标保证金</w:t>
      </w:r>
      <w:r>
        <w:tab/>
      </w:r>
      <w:r>
        <w:fldChar w:fldCharType="begin"/>
      </w:r>
      <w:r>
        <w:instrText xml:space="preserve"> PAGEREF _Toc20071 \h </w:instrText>
      </w:r>
      <w:r>
        <w:fldChar w:fldCharType="separate"/>
      </w:r>
      <w:r>
        <w:t>31</w:t>
      </w:r>
      <w:r>
        <w:fldChar w:fldCharType="end"/>
      </w:r>
      <w:r>
        <w:fldChar w:fldCharType="end"/>
      </w:r>
    </w:p>
    <w:p w14:paraId="14ACF087">
      <w:pPr>
        <w:pStyle w:val="12"/>
        <w:tabs>
          <w:tab w:val="right" w:leader="dot" w:pos="9468"/>
        </w:tabs>
      </w:pPr>
      <w:r>
        <w:fldChar w:fldCharType="begin"/>
      </w:r>
      <w:r>
        <w:instrText xml:space="preserve"> HYPERLINK \l _Toc29637 </w:instrText>
      </w:r>
      <w:r>
        <w:fldChar w:fldCharType="separate"/>
      </w:r>
      <w:r>
        <w:rPr>
          <w:rFonts w:hint="eastAsia"/>
        </w:rPr>
        <w:t>3.5资格审查资料（适用于资格后审的）</w:t>
      </w:r>
      <w:r>
        <w:tab/>
      </w:r>
      <w:r>
        <w:fldChar w:fldCharType="begin"/>
      </w:r>
      <w:r>
        <w:instrText xml:space="preserve"> PAGEREF _Toc29637 \h </w:instrText>
      </w:r>
      <w:r>
        <w:fldChar w:fldCharType="separate"/>
      </w:r>
      <w:r>
        <w:t>32</w:t>
      </w:r>
      <w:r>
        <w:fldChar w:fldCharType="end"/>
      </w:r>
      <w:r>
        <w:fldChar w:fldCharType="end"/>
      </w:r>
    </w:p>
    <w:p w14:paraId="1A77F2A2">
      <w:pPr>
        <w:pStyle w:val="12"/>
        <w:tabs>
          <w:tab w:val="right" w:leader="dot" w:pos="9468"/>
        </w:tabs>
      </w:pPr>
      <w:r>
        <w:fldChar w:fldCharType="begin"/>
      </w:r>
      <w:r>
        <w:instrText xml:space="preserve"> HYPERLINK \l _Toc26427 </w:instrText>
      </w:r>
      <w:r>
        <w:fldChar w:fldCharType="separate"/>
      </w:r>
      <w:r>
        <w:rPr>
          <w:rFonts w:hint="eastAsia"/>
        </w:rPr>
        <w:t>3.6资格审查资料（适用于未进行资格预审的）</w:t>
      </w:r>
      <w:r>
        <w:tab/>
      </w:r>
      <w:r>
        <w:fldChar w:fldCharType="begin"/>
      </w:r>
      <w:r>
        <w:instrText xml:space="preserve"> PAGEREF _Toc26427 \h </w:instrText>
      </w:r>
      <w:r>
        <w:fldChar w:fldCharType="separate"/>
      </w:r>
      <w:r>
        <w:t>32</w:t>
      </w:r>
      <w:r>
        <w:fldChar w:fldCharType="end"/>
      </w:r>
      <w:r>
        <w:fldChar w:fldCharType="end"/>
      </w:r>
    </w:p>
    <w:p w14:paraId="1DB192E4">
      <w:pPr>
        <w:pStyle w:val="12"/>
        <w:tabs>
          <w:tab w:val="right" w:leader="dot" w:pos="9468"/>
        </w:tabs>
      </w:pPr>
      <w:r>
        <w:fldChar w:fldCharType="begin"/>
      </w:r>
      <w:r>
        <w:instrText xml:space="preserve"> HYPERLINK \l _Toc2713 </w:instrText>
      </w:r>
      <w:r>
        <w:fldChar w:fldCharType="separate"/>
      </w:r>
      <w:r>
        <w:t>3.6备选投标方案</w:t>
      </w:r>
      <w:r>
        <w:tab/>
      </w:r>
      <w:r>
        <w:fldChar w:fldCharType="begin"/>
      </w:r>
      <w:r>
        <w:instrText xml:space="preserve"> PAGEREF _Toc2713 \h </w:instrText>
      </w:r>
      <w:r>
        <w:fldChar w:fldCharType="separate"/>
      </w:r>
      <w:r>
        <w:t>33</w:t>
      </w:r>
      <w:r>
        <w:fldChar w:fldCharType="end"/>
      </w:r>
      <w:r>
        <w:fldChar w:fldCharType="end"/>
      </w:r>
    </w:p>
    <w:p w14:paraId="7C0831F5">
      <w:pPr>
        <w:pStyle w:val="12"/>
        <w:tabs>
          <w:tab w:val="right" w:leader="dot" w:pos="9468"/>
        </w:tabs>
      </w:pPr>
      <w:r>
        <w:fldChar w:fldCharType="begin"/>
      </w:r>
      <w:r>
        <w:instrText xml:space="preserve"> HYPERLINK \l _Toc28139 </w:instrText>
      </w:r>
      <w:r>
        <w:fldChar w:fldCharType="separate"/>
      </w:r>
      <w:r>
        <w:t>3.7投标文件的编制</w:t>
      </w:r>
      <w:r>
        <w:tab/>
      </w:r>
      <w:r>
        <w:fldChar w:fldCharType="begin"/>
      </w:r>
      <w:r>
        <w:instrText xml:space="preserve"> PAGEREF _Toc28139 \h </w:instrText>
      </w:r>
      <w:r>
        <w:fldChar w:fldCharType="separate"/>
      </w:r>
      <w:r>
        <w:t>33</w:t>
      </w:r>
      <w:r>
        <w:fldChar w:fldCharType="end"/>
      </w:r>
      <w:r>
        <w:fldChar w:fldCharType="end"/>
      </w:r>
    </w:p>
    <w:p w14:paraId="55611B11">
      <w:pPr>
        <w:pStyle w:val="15"/>
        <w:tabs>
          <w:tab w:val="right" w:leader="dot" w:pos="9468"/>
        </w:tabs>
      </w:pPr>
      <w:r>
        <w:fldChar w:fldCharType="begin"/>
      </w:r>
      <w:r>
        <w:instrText xml:space="preserve"> HYPERLINK \l _Toc18343 </w:instrText>
      </w:r>
      <w:r>
        <w:fldChar w:fldCharType="separate"/>
      </w:r>
      <w:r>
        <w:rPr>
          <w:rFonts w:ascii="Times New Roman" w:hAnsi="Times New Roman"/>
        </w:rPr>
        <w:t>4.投标</w:t>
      </w:r>
      <w:r>
        <w:tab/>
      </w:r>
      <w:r>
        <w:fldChar w:fldCharType="begin"/>
      </w:r>
      <w:r>
        <w:instrText xml:space="preserve"> PAGEREF _Toc18343 \h </w:instrText>
      </w:r>
      <w:r>
        <w:fldChar w:fldCharType="separate"/>
      </w:r>
      <w:r>
        <w:t>33</w:t>
      </w:r>
      <w:r>
        <w:fldChar w:fldCharType="end"/>
      </w:r>
      <w:r>
        <w:fldChar w:fldCharType="end"/>
      </w:r>
    </w:p>
    <w:p w14:paraId="712A7A4C">
      <w:pPr>
        <w:pStyle w:val="12"/>
        <w:tabs>
          <w:tab w:val="right" w:leader="dot" w:pos="9468"/>
        </w:tabs>
      </w:pPr>
      <w:r>
        <w:fldChar w:fldCharType="begin"/>
      </w:r>
      <w:r>
        <w:instrText xml:space="preserve"> HYPERLINK \l _Toc11151 </w:instrText>
      </w:r>
      <w:r>
        <w:fldChar w:fldCharType="separate"/>
      </w:r>
      <w:r>
        <w:t>4.1投标文件的密封和标记</w:t>
      </w:r>
      <w:r>
        <w:tab/>
      </w:r>
      <w:r>
        <w:fldChar w:fldCharType="begin"/>
      </w:r>
      <w:r>
        <w:instrText xml:space="preserve"> PAGEREF _Toc11151 \h </w:instrText>
      </w:r>
      <w:r>
        <w:fldChar w:fldCharType="separate"/>
      </w:r>
      <w:r>
        <w:t>33</w:t>
      </w:r>
      <w:r>
        <w:fldChar w:fldCharType="end"/>
      </w:r>
      <w:r>
        <w:fldChar w:fldCharType="end"/>
      </w:r>
    </w:p>
    <w:p w14:paraId="7F73B585">
      <w:pPr>
        <w:pStyle w:val="12"/>
        <w:tabs>
          <w:tab w:val="right" w:leader="dot" w:pos="9468"/>
        </w:tabs>
      </w:pPr>
      <w:r>
        <w:fldChar w:fldCharType="begin"/>
      </w:r>
      <w:r>
        <w:instrText xml:space="preserve"> HYPERLINK \l _Toc30706 </w:instrText>
      </w:r>
      <w:r>
        <w:fldChar w:fldCharType="separate"/>
      </w:r>
      <w:r>
        <w:t>4.2投标文件的递交</w:t>
      </w:r>
      <w:r>
        <w:tab/>
      </w:r>
      <w:r>
        <w:fldChar w:fldCharType="begin"/>
      </w:r>
      <w:r>
        <w:instrText xml:space="preserve"> PAGEREF _Toc30706 \h </w:instrText>
      </w:r>
      <w:r>
        <w:fldChar w:fldCharType="separate"/>
      </w:r>
      <w:r>
        <w:t>34</w:t>
      </w:r>
      <w:r>
        <w:fldChar w:fldCharType="end"/>
      </w:r>
      <w:r>
        <w:fldChar w:fldCharType="end"/>
      </w:r>
    </w:p>
    <w:p w14:paraId="3B21C9EE">
      <w:pPr>
        <w:pStyle w:val="12"/>
        <w:tabs>
          <w:tab w:val="right" w:leader="dot" w:pos="9468"/>
        </w:tabs>
      </w:pPr>
      <w:r>
        <w:fldChar w:fldCharType="begin"/>
      </w:r>
      <w:r>
        <w:instrText xml:space="preserve"> HYPERLINK \l _Toc2085 </w:instrText>
      </w:r>
      <w:r>
        <w:fldChar w:fldCharType="separate"/>
      </w:r>
      <w:r>
        <w:t>4.3投标文件的修改与撤回</w:t>
      </w:r>
      <w:r>
        <w:tab/>
      </w:r>
      <w:r>
        <w:fldChar w:fldCharType="begin"/>
      </w:r>
      <w:r>
        <w:instrText xml:space="preserve"> PAGEREF _Toc2085 \h </w:instrText>
      </w:r>
      <w:r>
        <w:fldChar w:fldCharType="separate"/>
      </w:r>
      <w:r>
        <w:t>34</w:t>
      </w:r>
      <w:r>
        <w:fldChar w:fldCharType="end"/>
      </w:r>
      <w:r>
        <w:fldChar w:fldCharType="end"/>
      </w:r>
    </w:p>
    <w:p w14:paraId="3C50DB7D">
      <w:pPr>
        <w:pStyle w:val="15"/>
        <w:tabs>
          <w:tab w:val="right" w:leader="dot" w:pos="9468"/>
        </w:tabs>
      </w:pPr>
      <w:r>
        <w:fldChar w:fldCharType="begin"/>
      </w:r>
      <w:r>
        <w:instrText xml:space="preserve"> HYPERLINK \l _Toc7781 </w:instrText>
      </w:r>
      <w:r>
        <w:fldChar w:fldCharType="separate"/>
      </w:r>
      <w:r>
        <w:rPr>
          <w:rFonts w:ascii="Times New Roman" w:hAnsi="Times New Roman"/>
        </w:rPr>
        <w:t>5.开标</w:t>
      </w:r>
      <w:r>
        <w:tab/>
      </w:r>
      <w:r>
        <w:fldChar w:fldCharType="begin"/>
      </w:r>
      <w:r>
        <w:instrText xml:space="preserve"> PAGEREF _Toc7781 \h </w:instrText>
      </w:r>
      <w:r>
        <w:fldChar w:fldCharType="separate"/>
      </w:r>
      <w:r>
        <w:t>34</w:t>
      </w:r>
      <w:r>
        <w:fldChar w:fldCharType="end"/>
      </w:r>
      <w:r>
        <w:fldChar w:fldCharType="end"/>
      </w:r>
    </w:p>
    <w:p w14:paraId="058A8D88">
      <w:pPr>
        <w:pStyle w:val="12"/>
        <w:tabs>
          <w:tab w:val="right" w:leader="dot" w:pos="9468"/>
        </w:tabs>
      </w:pPr>
      <w:r>
        <w:fldChar w:fldCharType="begin"/>
      </w:r>
      <w:r>
        <w:instrText xml:space="preserve"> HYPERLINK \l _Toc21065 </w:instrText>
      </w:r>
      <w:r>
        <w:fldChar w:fldCharType="separate"/>
      </w:r>
      <w:r>
        <w:t>5.1开标时间和地点</w:t>
      </w:r>
      <w:r>
        <w:tab/>
      </w:r>
      <w:r>
        <w:fldChar w:fldCharType="begin"/>
      </w:r>
      <w:r>
        <w:instrText xml:space="preserve"> PAGEREF _Toc21065 \h </w:instrText>
      </w:r>
      <w:r>
        <w:fldChar w:fldCharType="separate"/>
      </w:r>
      <w:r>
        <w:t>34</w:t>
      </w:r>
      <w:r>
        <w:fldChar w:fldCharType="end"/>
      </w:r>
      <w:r>
        <w:fldChar w:fldCharType="end"/>
      </w:r>
    </w:p>
    <w:p w14:paraId="7869F758">
      <w:pPr>
        <w:pStyle w:val="12"/>
        <w:tabs>
          <w:tab w:val="right" w:leader="dot" w:pos="9468"/>
        </w:tabs>
      </w:pPr>
      <w:r>
        <w:fldChar w:fldCharType="begin"/>
      </w:r>
      <w:r>
        <w:instrText xml:space="preserve"> HYPERLINK \l _Toc12575 </w:instrText>
      </w:r>
      <w:r>
        <w:fldChar w:fldCharType="separate"/>
      </w:r>
      <w:r>
        <w:t>5.2开标程序（适用于公开招标项目）</w:t>
      </w:r>
      <w:r>
        <w:tab/>
      </w:r>
      <w:r>
        <w:fldChar w:fldCharType="begin"/>
      </w:r>
      <w:r>
        <w:instrText xml:space="preserve"> PAGEREF _Toc12575 \h </w:instrText>
      </w:r>
      <w:r>
        <w:fldChar w:fldCharType="separate"/>
      </w:r>
      <w:r>
        <w:t>35</w:t>
      </w:r>
      <w:r>
        <w:fldChar w:fldCharType="end"/>
      </w:r>
      <w:r>
        <w:fldChar w:fldCharType="end"/>
      </w:r>
    </w:p>
    <w:p w14:paraId="187200D9">
      <w:pPr>
        <w:pStyle w:val="12"/>
        <w:tabs>
          <w:tab w:val="right" w:leader="dot" w:pos="9468"/>
        </w:tabs>
      </w:pPr>
      <w:r>
        <w:fldChar w:fldCharType="begin"/>
      </w:r>
      <w:r>
        <w:instrText xml:space="preserve"> HYPERLINK \l _Toc18890 </w:instrText>
      </w:r>
      <w:r>
        <w:fldChar w:fldCharType="separate"/>
      </w:r>
      <w:r>
        <w:t>5.3开标异议</w:t>
      </w:r>
      <w:r>
        <w:tab/>
      </w:r>
      <w:r>
        <w:fldChar w:fldCharType="begin"/>
      </w:r>
      <w:r>
        <w:instrText xml:space="preserve"> PAGEREF _Toc18890 \h </w:instrText>
      </w:r>
      <w:r>
        <w:fldChar w:fldCharType="separate"/>
      </w:r>
      <w:r>
        <w:t>35</w:t>
      </w:r>
      <w:r>
        <w:fldChar w:fldCharType="end"/>
      </w:r>
      <w:r>
        <w:fldChar w:fldCharType="end"/>
      </w:r>
    </w:p>
    <w:p w14:paraId="150583A9">
      <w:pPr>
        <w:pStyle w:val="12"/>
        <w:tabs>
          <w:tab w:val="right" w:leader="dot" w:pos="9468"/>
        </w:tabs>
      </w:pPr>
      <w:r>
        <w:fldChar w:fldCharType="begin"/>
      </w:r>
      <w:r>
        <w:instrText xml:space="preserve"> HYPERLINK \l _Toc12853 </w:instrText>
      </w:r>
      <w:r>
        <w:fldChar w:fldCharType="separate"/>
      </w:r>
      <w:r>
        <w:t>5.</w:t>
      </w:r>
      <w:r>
        <w:rPr>
          <w:rFonts w:hint="eastAsia"/>
        </w:rPr>
        <w:t>4</w:t>
      </w:r>
      <w:r>
        <w:t>述标</w:t>
      </w:r>
      <w:r>
        <w:tab/>
      </w:r>
      <w:r>
        <w:fldChar w:fldCharType="begin"/>
      </w:r>
      <w:r>
        <w:instrText xml:space="preserve"> PAGEREF _Toc12853 \h </w:instrText>
      </w:r>
      <w:r>
        <w:fldChar w:fldCharType="separate"/>
      </w:r>
      <w:r>
        <w:t>36</w:t>
      </w:r>
      <w:r>
        <w:fldChar w:fldCharType="end"/>
      </w:r>
      <w:r>
        <w:fldChar w:fldCharType="end"/>
      </w:r>
    </w:p>
    <w:p w14:paraId="735CC26C">
      <w:pPr>
        <w:pStyle w:val="12"/>
        <w:tabs>
          <w:tab w:val="right" w:leader="dot" w:pos="9468"/>
        </w:tabs>
      </w:pPr>
      <w:r>
        <w:fldChar w:fldCharType="begin"/>
      </w:r>
      <w:r>
        <w:instrText xml:space="preserve"> HYPERLINK \l _Toc11230 </w:instrText>
      </w:r>
      <w:r>
        <w:fldChar w:fldCharType="separate"/>
      </w:r>
      <w:r>
        <w:rPr>
          <w:rFonts w:hint="eastAsia"/>
        </w:rPr>
        <w:t>5.5重新招标</w:t>
      </w:r>
      <w:r>
        <w:tab/>
      </w:r>
      <w:r>
        <w:fldChar w:fldCharType="begin"/>
      </w:r>
      <w:r>
        <w:instrText xml:space="preserve"> PAGEREF _Toc11230 \h </w:instrText>
      </w:r>
      <w:r>
        <w:fldChar w:fldCharType="separate"/>
      </w:r>
      <w:r>
        <w:t>36</w:t>
      </w:r>
      <w:r>
        <w:fldChar w:fldCharType="end"/>
      </w:r>
      <w:r>
        <w:fldChar w:fldCharType="end"/>
      </w:r>
    </w:p>
    <w:p w14:paraId="0EFA5E4A">
      <w:pPr>
        <w:pStyle w:val="15"/>
        <w:tabs>
          <w:tab w:val="right" w:leader="dot" w:pos="9468"/>
        </w:tabs>
      </w:pPr>
      <w:r>
        <w:fldChar w:fldCharType="begin"/>
      </w:r>
      <w:r>
        <w:instrText xml:space="preserve"> HYPERLINK \l _Toc1944 </w:instrText>
      </w:r>
      <w:r>
        <w:fldChar w:fldCharType="separate"/>
      </w:r>
      <w:r>
        <w:rPr>
          <w:rFonts w:ascii="Times New Roman" w:hAnsi="Times New Roman"/>
        </w:rPr>
        <w:t>6.评标</w:t>
      </w:r>
      <w:r>
        <w:tab/>
      </w:r>
      <w:r>
        <w:fldChar w:fldCharType="begin"/>
      </w:r>
      <w:r>
        <w:instrText xml:space="preserve"> PAGEREF _Toc1944 \h </w:instrText>
      </w:r>
      <w:r>
        <w:fldChar w:fldCharType="separate"/>
      </w:r>
      <w:r>
        <w:t>36</w:t>
      </w:r>
      <w:r>
        <w:fldChar w:fldCharType="end"/>
      </w:r>
      <w:r>
        <w:fldChar w:fldCharType="end"/>
      </w:r>
    </w:p>
    <w:p w14:paraId="60DC8CEC">
      <w:pPr>
        <w:pStyle w:val="12"/>
        <w:tabs>
          <w:tab w:val="right" w:leader="dot" w:pos="9468"/>
        </w:tabs>
      </w:pPr>
      <w:r>
        <w:fldChar w:fldCharType="begin"/>
      </w:r>
      <w:r>
        <w:instrText xml:space="preserve"> HYPERLINK \l _Toc13824 </w:instrText>
      </w:r>
      <w:r>
        <w:fldChar w:fldCharType="separate"/>
      </w:r>
      <w:r>
        <w:t>6.1评标委员会</w:t>
      </w:r>
      <w:r>
        <w:tab/>
      </w:r>
      <w:r>
        <w:fldChar w:fldCharType="begin"/>
      </w:r>
      <w:r>
        <w:instrText xml:space="preserve"> PAGEREF _Toc13824 \h </w:instrText>
      </w:r>
      <w:r>
        <w:fldChar w:fldCharType="separate"/>
      </w:r>
      <w:r>
        <w:t>36</w:t>
      </w:r>
      <w:r>
        <w:fldChar w:fldCharType="end"/>
      </w:r>
      <w:r>
        <w:fldChar w:fldCharType="end"/>
      </w:r>
    </w:p>
    <w:p w14:paraId="271434CE">
      <w:pPr>
        <w:pStyle w:val="12"/>
        <w:tabs>
          <w:tab w:val="right" w:leader="dot" w:pos="9468"/>
        </w:tabs>
      </w:pPr>
      <w:r>
        <w:fldChar w:fldCharType="begin"/>
      </w:r>
      <w:r>
        <w:instrText xml:space="preserve"> HYPERLINK \l _Toc21236 </w:instrText>
      </w:r>
      <w:r>
        <w:fldChar w:fldCharType="separate"/>
      </w:r>
      <w:r>
        <w:t>6.2评标原则</w:t>
      </w:r>
      <w:r>
        <w:tab/>
      </w:r>
      <w:r>
        <w:fldChar w:fldCharType="begin"/>
      </w:r>
      <w:r>
        <w:instrText xml:space="preserve"> PAGEREF _Toc21236 \h </w:instrText>
      </w:r>
      <w:r>
        <w:fldChar w:fldCharType="separate"/>
      </w:r>
      <w:r>
        <w:t>37</w:t>
      </w:r>
      <w:r>
        <w:fldChar w:fldCharType="end"/>
      </w:r>
      <w:r>
        <w:fldChar w:fldCharType="end"/>
      </w:r>
    </w:p>
    <w:p w14:paraId="4014F69D">
      <w:pPr>
        <w:pStyle w:val="12"/>
        <w:tabs>
          <w:tab w:val="right" w:leader="dot" w:pos="9468"/>
        </w:tabs>
      </w:pPr>
      <w:r>
        <w:fldChar w:fldCharType="begin"/>
      </w:r>
      <w:r>
        <w:instrText xml:space="preserve"> HYPERLINK \l _Toc31938 </w:instrText>
      </w:r>
      <w:r>
        <w:fldChar w:fldCharType="separate"/>
      </w:r>
      <w:r>
        <w:t>6.3评标</w:t>
      </w:r>
      <w:r>
        <w:tab/>
      </w:r>
      <w:r>
        <w:fldChar w:fldCharType="begin"/>
      </w:r>
      <w:r>
        <w:instrText xml:space="preserve"> PAGEREF _Toc31938 \h </w:instrText>
      </w:r>
      <w:r>
        <w:fldChar w:fldCharType="separate"/>
      </w:r>
      <w:r>
        <w:t>37</w:t>
      </w:r>
      <w:r>
        <w:fldChar w:fldCharType="end"/>
      </w:r>
      <w:r>
        <w:fldChar w:fldCharType="end"/>
      </w:r>
    </w:p>
    <w:p w14:paraId="7D60EDE1">
      <w:pPr>
        <w:pStyle w:val="12"/>
        <w:tabs>
          <w:tab w:val="right" w:leader="dot" w:pos="9468"/>
        </w:tabs>
      </w:pPr>
      <w:r>
        <w:fldChar w:fldCharType="begin"/>
      </w:r>
      <w:r>
        <w:instrText xml:space="preserve"> HYPERLINK \l _Toc20936 </w:instrText>
      </w:r>
      <w:r>
        <w:fldChar w:fldCharType="separate"/>
      </w:r>
      <w:r>
        <w:rPr>
          <w:rFonts w:hint="eastAsia"/>
        </w:rPr>
        <w:t>6.4</w:t>
      </w:r>
      <w:r>
        <w:t>评标纪律</w:t>
      </w:r>
      <w:r>
        <w:tab/>
      </w:r>
      <w:r>
        <w:fldChar w:fldCharType="begin"/>
      </w:r>
      <w:r>
        <w:instrText xml:space="preserve"> PAGEREF _Toc20936 \h </w:instrText>
      </w:r>
      <w:r>
        <w:fldChar w:fldCharType="separate"/>
      </w:r>
      <w:r>
        <w:t>38</w:t>
      </w:r>
      <w:r>
        <w:fldChar w:fldCharType="end"/>
      </w:r>
      <w:r>
        <w:fldChar w:fldCharType="end"/>
      </w:r>
    </w:p>
    <w:p w14:paraId="48C68588">
      <w:pPr>
        <w:pStyle w:val="15"/>
        <w:tabs>
          <w:tab w:val="right" w:leader="dot" w:pos="9468"/>
        </w:tabs>
      </w:pPr>
      <w:r>
        <w:fldChar w:fldCharType="begin"/>
      </w:r>
      <w:r>
        <w:instrText xml:space="preserve"> HYPERLINK \l _Toc7699 </w:instrText>
      </w:r>
      <w:r>
        <w:fldChar w:fldCharType="separate"/>
      </w:r>
      <w:r>
        <w:rPr>
          <w:rFonts w:ascii="Times New Roman" w:hAnsi="Times New Roman"/>
        </w:rPr>
        <w:t>7.合同授予</w:t>
      </w:r>
      <w:r>
        <w:tab/>
      </w:r>
      <w:r>
        <w:fldChar w:fldCharType="begin"/>
      </w:r>
      <w:r>
        <w:instrText xml:space="preserve"> PAGEREF _Toc7699 \h </w:instrText>
      </w:r>
      <w:r>
        <w:fldChar w:fldCharType="separate"/>
      </w:r>
      <w:r>
        <w:t>38</w:t>
      </w:r>
      <w:r>
        <w:fldChar w:fldCharType="end"/>
      </w:r>
      <w:r>
        <w:fldChar w:fldCharType="end"/>
      </w:r>
    </w:p>
    <w:p w14:paraId="3702EECD">
      <w:pPr>
        <w:pStyle w:val="12"/>
        <w:tabs>
          <w:tab w:val="right" w:leader="dot" w:pos="9468"/>
        </w:tabs>
      </w:pPr>
      <w:r>
        <w:fldChar w:fldCharType="begin"/>
      </w:r>
      <w:r>
        <w:instrText xml:space="preserve"> HYPERLINK \l _Toc20236 </w:instrText>
      </w:r>
      <w:r>
        <w:fldChar w:fldCharType="separate"/>
      </w:r>
      <w:r>
        <w:t>7.1中标候选人公示</w:t>
      </w:r>
      <w:r>
        <w:tab/>
      </w:r>
      <w:r>
        <w:fldChar w:fldCharType="begin"/>
      </w:r>
      <w:r>
        <w:instrText xml:space="preserve"> PAGEREF _Toc20236 \h </w:instrText>
      </w:r>
      <w:r>
        <w:fldChar w:fldCharType="separate"/>
      </w:r>
      <w:r>
        <w:t>38</w:t>
      </w:r>
      <w:r>
        <w:fldChar w:fldCharType="end"/>
      </w:r>
      <w:r>
        <w:fldChar w:fldCharType="end"/>
      </w:r>
    </w:p>
    <w:p w14:paraId="1EA9F789">
      <w:pPr>
        <w:pStyle w:val="12"/>
        <w:tabs>
          <w:tab w:val="right" w:leader="dot" w:pos="9468"/>
        </w:tabs>
      </w:pPr>
      <w:r>
        <w:fldChar w:fldCharType="begin"/>
      </w:r>
      <w:r>
        <w:instrText xml:space="preserve"> HYPERLINK \l _Toc21190 </w:instrText>
      </w:r>
      <w:r>
        <w:fldChar w:fldCharType="separate"/>
      </w:r>
      <w:r>
        <w:t>7.2评标结果异议</w:t>
      </w:r>
      <w:r>
        <w:tab/>
      </w:r>
      <w:r>
        <w:fldChar w:fldCharType="begin"/>
      </w:r>
      <w:r>
        <w:instrText xml:space="preserve"> PAGEREF _Toc21190 \h </w:instrText>
      </w:r>
      <w:r>
        <w:fldChar w:fldCharType="separate"/>
      </w:r>
      <w:r>
        <w:t>39</w:t>
      </w:r>
      <w:r>
        <w:fldChar w:fldCharType="end"/>
      </w:r>
      <w:r>
        <w:fldChar w:fldCharType="end"/>
      </w:r>
    </w:p>
    <w:p w14:paraId="17B1835D">
      <w:pPr>
        <w:pStyle w:val="12"/>
        <w:tabs>
          <w:tab w:val="right" w:leader="dot" w:pos="9468"/>
        </w:tabs>
      </w:pPr>
      <w:r>
        <w:fldChar w:fldCharType="begin"/>
      </w:r>
      <w:r>
        <w:instrText xml:space="preserve"> HYPERLINK \l _Toc15124 </w:instrText>
      </w:r>
      <w:r>
        <w:fldChar w:fldCharType="separate"/>
      </w:r>
      <w:r>
        <w:t>7.3中标候选人履约能力审查</w:t>
      </w:r>
      <w:r>
        <w:tab/>
      </w:r>
      <w:r>
        <w:fldChar w:fldCharType="begin"/>
      </w:r>
      <w:r>
        <w:instrText xml:space="preserve"> PAGEREF _Toc15124 \h </w:instrText>
      </w:r>
      <w:r>
        <w:fldChar w:fldCharType="separate"/>
      </w:r>
      <w:r>
        <w:t>39</w:t>
      </w:r>
      <w:r>
        <w:fldChar w:fldCharType="end"/>
      </w:r>
      <w:r>
        <w:fldChar w:fldCharType="end"/>
      </w:r>
    </w:p>
    <w:p w14:paraId="1C2D9243">
      <w:pPr>
        <w:pStyle w:val="12"/>
        <w:tabs>
          <w:tab w:val="right" w:leader="dot" w:pos="9468"/>
        </w:tabs>
      </w:pPr>
      <w:r>
        <w:fldChar w:fldCharType="begin"/>
      </w:r>
      <w:r>
        <w:instrText xml:space="preserve"> HYPERLINK \l _Toc16745 </w:instrText>
      </w:r>
      <w:r>
        <w:fldChar w:fldCharType="separate"/>
      </w:r>
      <w:r>
        <w:t>7.4定标</w:t>
      </w:r>
      <w:r>
        <w:tab/>
      </w:r>
      <w:r>
        <w:fldChar w:fldCharType="begin"/>
      </w:r>
      <w:r>
        <w:instrText xml:space="preserve"> PAGEREF _Toc16745 \h </w:instrText>
      </w:r>
      <w:r>
        <w:fldChar w:fldCharType="separate"/>
      </w:r>
      <w:r>
        <w:t>39</w:t>
      </w:r>
      <w:r>
        <w:fldChar w:fldCharType="end"/>
      </w:r>
      <w:r>
        <w:fldChar w:fldCharType="end"/>
      </w:r>
    </w:p>
    <w:p w14:paraId="5198EF81">
      <w:pPr>
        <w:pStyle w:val="12"/>
        <w:tabs>
          <w:tab w:val="right" w:leader="dot" w:pos="9468"/>
        </w:tabs>
      </w:pPr>
      <w:r>
        <w:fldChar w:fldCharType="begin"/>
      </w:r>
      <w:r>
        <w:instrText xml:space="preserve"> HYPERLINK \l _Toc25499 </w:instrText>
      </w:r>
      <w:r>
        <w:fldChar w:fldCharType="separate"/>
      </w:r>
      <w:r>
        <w:t>7.5中标通知</w:t>
      </w:r>
      <w:r>
        <w:tab/>
      </w:r>
      <w:r>
        <w:fldChar w:fldCharType="begin"/>
      </w:r>
      <w:r>
        <w:instrText xml:space="preserve"> PAGEREF _Toc25499 \h </w:instrText>
      </w:r>
      <w:r>
        <w:fldChar w:fldCharType="separate"/>
      </w:r>
      <w:r>
        <w:t>39</w:t>
      </w:r>
      <w:r>
        <w:fldChar w:fldCharType="end"/>
      </w:r>
      <w:r>
        <w:fldChar w:fldCharType="end"/>
      </w:r>
    </w:p>
    <w:p w14:paraId="47860B7C">
      <w:pPr>
        <w:pStyle w:val="12"/>
        <w:tabs>
          <w:tab w:val="right" w:leader="dot" w:pos="9468"/>
        </w:tabs>
      </w:pPr>
      <w:r>
        <w:fldChar w:fldCharType="begin"/>
      </w:r>
      <w:r>
        <w:instrText xml:space="preserve"> HYPERLINK \l _Toc17572 </w:instrText>
      </w:r>
      <w:r>
        <w:fldChar w:fldCharType="separate"/>
      </w:r>
      <w:r>
        <w:t>7.6履约保证金</w:t>
      </w:r>
      <w:r>
        <w:tab/>
      </w:r>
      <w:r>
        <w:fldChar w:fldCharType="begin"/>
      </w:r>
      <w:r>
        <w:instrText xml:space="preserve"> PAGEREF _Toc17572 \h </w:instrText>
      </w:r>
      <w:r>
        <w:fldChar w:fldCharType="separate"/>
      </w:r>
      <w:r>
        <w:t>39</w:t>
      </w:r>
      <w:r>
        <w:fldChar w:fldCharType="end"/>
      </w:r>
      <w:r>
        <w:fldChar w:fldCharType="end"/>
      </w:r>
    </w:p>
    <w:p w14:paraId="6376B652">
      <w:pPr>
        <w:pStyle w:val="12"/>
        <w:tabs>
          <w:tab w:val="right" w:leader="dot" w:pos="9468"/>
        </w:tabs>
      </w:pPr>
      <w:r>
        <w:fldChar w:fldCharType="begin"/>
      </w:r>
      <w:r>
        <w:instrText xml:space="preserve"> HYPERLINK \l _Toc21786 </w:instrText>
      </w:r>
      <w:r>
        <w:fldChar w:fldCharType="separate"/>
      </w:r>
      <w:r>
        <w:t>7.7签订合同</w:t>
      </w:r>
      <w:r>
        <w:tab/>
      </w:r>
      <w:r>
        <w:fldChar w:fldCharType="begin"/>
      </w:r>
      <w:r>
        <w:instrText xml:space="preserve"> PAGEREF _Toc21786 \h </w:instrText>
      </w:r>
      <w:r>
        <w:fldChar w:fldCharType="separate"/>
      </w:r>
      <w:r>
        <w:t>40</w:t>
      </w:r>
      <w:r>
        <w:fldChar w:fldCharType="end"/>
      </w:r>
      <w:r>
        <w:fldChar w:fldCharType="end"/>
      </w:r>
    </w:p>
    <w:p w14:paraId="6026E2C2">
      <w:pPr>
        <w:pStyle w:val="12"/>
        <w:tabs>
          <w:tab w:val="right" w:leader="dot" w:pos="9468"/>
        </w:tabs>
      </w:pPr>
      <w:r>
        <w:fldChar w:fldCharType="begin"/>
      </w:r>
      <w:r>
        <w:instrText xml:space="preserve"> HYPERLINK \l _Toc10680 </w:instrText>
      </w:r>
      <w:r>
        <w:fldChar w:fldCharType="separate"/>
      </w:r>
      <w:r>
        <w:rPr>
          <w:rFonts w:hint="eastAsia"/>
        </w:rPr>
        <w:t>7.8付款方式</w:t>
      </w:r>
      <w:r>
        <w:tab/>
      </w:r>
      <w:r>
        <w:fldChar w:fldCharType="begin"/>
      </w:r>
      <w:r>
        <w:instrText xml:space="preserve"> PAGEREF _Toc10680 \h </w:instrText>
      </w:r>
      <w:r>
        <w:fldChar w:fldCharType="separate"/>
      </w:r>
      <w:r>
        <w:t>40</w:t>
      </w:r>
      <w:r>
        <w:fldChar w:fldCharType="end"/>
      </w:r>
      <w:r>
        <w:fldChar w:fldCharType="end"/>
      </w:r>
    </w:p>
    <w:p w14:paraId="610A91B1">
      <w:pPr>
        <w:pStyle w:val="15"/>
        <w:tabs>
          <w:tab w:val="right" w:leader="dot" w:pos="9468"/>
        </w:tabs>
      </w:pPr>
      <w:r>
        <w:fldChar w:fldCharType="begin"/>
      </w:r>
      <w:r>
        <w:instrText xml:space="preserve"> HYPERLINK \l _Toc30674 </w:instrText>
      </w:r>
      <w:r>
        <w:fldChar w:fldCharType="separate"/>
      </w:r>
      <w:r>
        <w:rPr>
          <w:rFonts w:ascii="Times New Roman" w:hAnsi="Times New Roman"/>
        </w:rPr>
        <w:t>8.纪律和监督</w:t>
      </w:r>
      <w:r>
        <w:tab/>
      </w:r>
      <w:r>
        <w:fldChar w:fldCharType="begin"/>
      </w:r>
      <w:r>
        <w:instrText xml:space="preserve"> PAGEREF _Toc30674 \h </w:instrText>
      </w:r>
      <w:r>
        <w:fldChar w:fldCharType="separate"/>
      </w:r>
      <w:r>
        <w:t>40</w:t>
      </w:r>
      <w:r>
        <w:fldChar w:fldCharType="end"/>
      </w:r>
      <w:r>
        <w:fldChar w:fldCharType="end"/>
      </w:r>
    </w:p>
    <w:p w14:paraId="6DB7945F">
      <w:pPr>
        <w:pStyle w:val="12"/>
        <w:tabs>
          <w:tab w:val="right" w:leader="dot" w:pos="9468"/>
        </w:tabs>
      </w:pPr>
      <w:r>
        <w:fldChar w:fldCharType="begin"/>
      </w:r>
      <w:r>
        <w:instrText xml:space="preserve"> HYPERLINK \l _Toc20440 </w:instrText>
      </w:r>
      <w:r>
        <w:fldChar w:fldCharType="separate"/>
      </w:r>
      <w:r>
        <w:t>8.1对招标人的纪律要求</w:t>
      </w:r>
      <w:r>
        <w:tab/>
      </w:r>
      <w:r>
        <w:fldChar w:fldCharType="begin"/>
      </w:r>
      <w:r>
        <w:instrText xml:space="preserve"> PAGEREF _Toc20440 \h </w:instrText>
      </w:r>
      <w:r>
        <w:fldChar w:fldCharType="separate"/>
      </w:r>
      <w:r>
        <w:t>40</w:t>
      </w:r>
      <w:r>
        <w:fldChar w:fldCharType="end"/>
      </w:r>
      <w:r>
        <w:fldChar w:fldCharType="end"/>
      </w:r>
    </w:p>
    <w:p w14:paraId="65B2337B">
      <w:pPr>
        <w:pStyle w:val="12"/>
        <w:tabs>
          <w:tab w:val="right" w:leader="dot" w:pos="9468"/>
        </w:tabs>
      </w:pPr>
      <w:r>
        <w:fldChar w:fldCharType="begin"/>
      </w:r>
      <w:r>
        <w:instrText xml:space="preserve"> HYPERLINK \l _Toc20022 </w:instrText>
      </w:r>
      <w:r>
        <w:fldChar w:fldCharType="separate"/>
      </w:r>
      <w:r>
        <w:t>8.2对投标人的纪律要求</w:t>
      </w:r>
      <w:r>
        <w:tab/>
      </w:r>
      <w:r>
        <w:fldChar w:fldCharType="begin"/>
      </w:r>
      <w:r>
        <w:instrText xml:space="preserve"> PAGEREF _Toc20022 \h </w:instrText>
      </w:r>
      <w:r>
        <w:fldChar w:fldCharType="separate"/>
      </w:r>
      <w:r>
        <w:t>40</w:t>
      </w:r>
      <w:r>
        <w:fldChar w:fldCharType="end"/>
      </w:r>
      <w:r>
        <w:fldChar w:fldCharType="end"/>
      </w:r>
    </w:p>
    <w:p w14:paraId="50442512">
      <w:pPr>
        <w:pStyle w:val="12"/>
        <w:tabs>
          <w:tab w:val="right" w:leader="dot" w:pos="9468"/>
        </w:tabs>
      </w:pPr>
      <w:r>
        <w:fldChar w:fldCharType="begin"/>
      </w:r>
      <w:r>
        <w:instrText xml:space="preserve"> HYPERLINK \l _Toc6006 </w:instrText>
      </w:r>
      <w:r>
        <w:fldChar w:fldCharType="separate"/>
      </w:r>
      <w:r>
        <w:t>8.3对评标委员会成员的纪律要求</w:t>
      </w:r>
      <w:r>
        <w:tab/>
      </w:r>
      <w:r>
        <w:fldChar w:fldCharType="begin"/>
      </w:r>
      <w:r>
        <w:instrText xml:space="preserve"> PAGEREF _Toc6006 \h </w:instrText>
      </w:r>
      <w:r>
        <w:fldChar w:fldCharType="separate"/>
      </w:r>
      <w:r>
        <w:t>41</w:t>
      </w:r>
      <w:r>
        <w:fldChar w:fldCharType="end"/>
      </w:r>
      <w:r>
        <w:fldChar w:fldCharType="end"/>
      </w:r>
    </w:p>
    <w:p w14:paraId="3703122C">
      <w:pPr>
        <w:pStyle w:val="12"/>
        <w:tabs>
          <w:tab w:val="right" w:leader="dot" w:pos="9468"/>
        </w:tabs>
      </w:pPr>
      <w:r>
        <w:fldChar w:fldCharType="begin"/>
      </w:r>
      <w:r>
        <w:instrText xml:space="preserve"> HYPERLINK \l _Toc10139 </w:instrText>
      </w:r>
      <w:r>
        <w:fldChar w:fldCharType="separate"/>
      </w:r>
      <w:r>
        <w:t>8.4对与评标活动有关的工作人员的纪律要求</w:t>
      </w:r>
      <w:r>
        <w:tab/>
      </w:r>
      <w:r>
        <w:fldChar w:fldCharType="begin"/>
      </w:r>
      <w:r>
        <w:instrText xml:space="preserve"> PAGEREF _Toc10139 \h </w:instrText>
      </w:r>
      <w:r>
        <w:fldChar w:fldCharType="separate"/>
      </w:r>
      <w:r>
        <w:t>41</w:t>
      </w:r>
      <w:r>
        <w:fldChar w:fldCharType="end"/>
      </w:r>
      <w:r>
        <w:fldChar w:fldCharType="end"/>
      </w:r>
    </w:p>
    <w:p w14:paraId="47B928D7">
      <w:pPr>
        <w:pStyle w:val="12"/>
        <w:tabs>
          <w:tab w:val="right" w:leader="dot" w:pos="9468"/>
        </w:tabs>
      </w:pPr>
      <w:r>
        <w:fldChar w:fldCharType="begin"/>
      </w:r>
      <w:r>
        <w:instrText xml:space="preserve"> HYPERLINK \l _Toc18610 </w:instrText>
      </w:r>
      <w:r>
        <w:fldChar w:fldCharType="separate"/>
      </w:r>
      <w:r>
        <w:t>8.5异议和投诉</w:t>
      </w:r>
      <w:r>
        <w:tab/>
      </w:r>
      <w:r>
        <w:fldChar w:fldCharType="begin"/>
      </w:r>
      <w:r>
        <w:instrText xml:space="preserve"> PAGEREF _Toc18610 \h </w:instrText>
      </w:r>
      <w:r>
        <w:fldChar w:fldCharType="separate"/>
      </w:r>
      <w:r>
        <w:t>41</w:t>
      </w:r>
      <w:r>
        <w:fldChar w:fldCharType="end"/>
      </w:r>
      <w:r>
        <w:fldChar w:fldCharType="end"/>
      </w:r>
    </w:p>
    <w:p w14:paraId="5A572C1F">
      <w:pPr>
        <w:pStyle w:val="15"/>
        <w:tabs>
          <w:tab w:val="right" w:leader="dot" w:pos="9468"/>
        </w:tabs>
      </w:pPr>
      <w:r>
        <w:fldChar w:fldCharType="begin"/>
      </w:r>
      <w:r>
        <w:instrText xml:space="preserve"> HYPERLINK \l _Toc29003 </w:instrText>
      </w:r>
      <w:r>
        <w:fldChar w:fldCharType="separate"/>
      </w:r>
      <w:r>
        <w:rPr>
          <w:rFonts w:ascii="Times New Roman" w:hAnsi="Times New Roman"/>
        </w:rPr>
        <w:t>9.是否采用电子招标投标</w:t>
      </w:r>
      <w:r>
        <w:tab/>
      </w:r>
      <w:r>
        <w:fldChar w:fldCharType="begin"/>
      </w:r>
      <w:r>
        <w:instrText xml:space="preserve"> PAGEREF _Toc29003 \h </w:instrText>
      </w:r>
      <w:r>
        <w:fldChar w:fldCharType="separate"/>
      </w:r>
      <w:r>
        <w:t>42</w:t>
      </w:r>
      <w:r>
        <w:fldChar w:fldCharType="end"/>
      </w:r>
      <w:r>
        <w:fldChar w:fldCharType="end"/>
      </w:r>
    </w:p>
    <w:p w14:paraId="01AC87EF">
      <w:pPr>
        <w:pStyle w:val="15"/>
        <w:tabs>
          <w:tab w:val="right" w:leader="dot" w:pos="9468"/>
        </w:tabs>
      </w:pPr>
      <w:r>
        <w:fldChar w:fldCharType="begin"/>
      </w:r>
      <w:r>
        <w:instrText xml:space="preserve"> HYPERLINK \l _Toc4753 </w:instrText>
      </w:r>
      <w:r>
        <w:fldChar w:fldCharType="separate"/>
      </w:r>
      <w:r>
        <w:t>10.</w:t>
      </w:r>
      <w:r>
        <w:rPr>
          <w:rFonts w:ascii="Times New Roman" w:hAnsi="Times New Roman"/>
        </w:rPr>
        <w:t>需要补充的其他内容</w:t>
      </w:r>
      <w:r>
        <w:tab/>
      </w:r>
      <w:r>
        <w:fldChar w:fldCharType="begin"/>
      </w:r>
      <w:r>
        <w:instrText xml:space="preserve"> PAGEREF _Toc4753 \h </w:instrText>
      </w:r>
      <w:r>
        <w:fldChar w:fldCharType="separate"/>
      </w:r>
      <w:r>
        <w:t>42</w:t>
      </w:r>
      <w:r>
        <w:fldChar w:fldCharType="end"/>
      </w:r>
      <w:r>
        <w:fldChar w:fldCharType="end"/>
      </w:r>
    </w:p>
    <w:p w14:paraId="3922AFD2">
      <w:pPr>
        <w:pStyle w:val="14"/>
        <w:tabs>
          <w:tab w:val="right" w:leader="dot" w:pos="9468"/>
        </w:tabs>
      </w:pPr>
      <w:r>
        <w:fldChar w:fldCharType="begin"/>
      </w:r>
      <w:r>
        <w:instrText xml:space="preserve"> HYPERLINK \l _Toc24958 </w:instrText>
      </w:r>
      <w:r>
        <w:fldChar w:fldCharType="separate"/>
      </w:r>
      <w:r>
        <w:t>第三章</w:t>
      </w:r>
      <w:r>
        <w:rPr>
          <w:rFonts w:hint="eastAsia"/>
        </w:rPr>
        <w:t xml:space="preserve"> </w:t>
      </w:r>
      <w:r>
        <w:t>评标办法</w:t>
      </w:r>
      <w:r>
        <w:rPr>
          <w:rFonts w:hint="eastAsia"/>
        </w:rPr>
        <w:t>（综合评估法）</w:t>
      </w:r>
      <w:r>
        <w:tab/>
      </w:r>
      <w:r>
        <w:fldChar w:fldCharType="begin"/>
      </w:r>
      <w:r>
        <w:instrText xml:space="preserve"> PAGEREF _Toc24958 \h </w:instrText>
      </w:r>
      <w:r>
        <w:fldChar w:fldCharType="separate"/>
      </w:r>
      <w:r>
        <w:t>43</w:t>
      </w:r>
      <w:r>
        <w:fldChar w:fldCharType="end"/>
      </w:r>
      <w:r>
        <w:fldChar w:fldCharType="end"/>
      </w:r>
    </w:p>
    <w:p w14:paraId="10C29D2D">
      <w:pPr>
        <w:pStyle w:val="15"/>
        <w:tabs>
          <w:tab w:val="right" w:leader="dot" w:pos="9468"/>
        </w:tabs>
      </w:pPr>
      <w:r>
        <w:fldChar w:fldCharType="begin"/>
      </w:r>
      <w:r>
        <w:instrText xml:space="preserve"> HYPERLINK \l _Toc4266 </w:instrText>
      </w:r>
      <w:r>
        <w:fldChar w:fldCharType="separate"/>
      </w:r>
      <w:r>
        <w:rPr>
          <w:rFonts w:ascii="Times New Roman" w:hAnsi="Times New Roman"/>
        </w:rPr>
        <w:t>评标办法前附表</w:t>
      </w:r>
      <w:r>
        <w:tab/>
      </w:r>
      <w:r>
        <w:fldChar w:fldCharType="begin"/>
      </w:r>
      <w:r>
        <w:instrText xml:space="preserve"> PAGEREF _Toc4266 \h </w:instrText>
      </w:r>
      <w:r>
        <w:fldChar w:fldCharType="separate"/>
      </w:r>
      <w:r>
        <w:t>43</w:t>
      </w:r>
      <w:r>
        <w:fldChar w:fldCharType="end"/>
      </w:r>
      <w:r>
        <w:fldChar w:fldCharType="end"/>
      </w:r>
    </w:p>
    <w:p w14:paraId="57F3AF2D">
      <w:pPr>
        <w:pStyle w:val="15"/>
        <w:tabs>
          <w:tab w:val="right" w:leader="dot" w:pos="9468"/>
        </w:tabs>
      </w:pPr>
      <w:r>
        <w:fldChar w:fldCharType="begin"/>
      </w:r>
      <w:r>
        <w:instrText xml:space="preserve"> HYPERLINK \l _Toc21184 </w:instrText>
      </w:r>
      <w:r>
        <w:fldChar w:fldCharType="separate"/>
      </w:r>
      <w:r>
        <w:rPr>
          <w:rFonts w:ascii="Times New Roman" w:hAnsi="Times New Roman"/>
        </w:rPr>
        <w:t>1.评标方法</w:t>
      </w:r>
      <w:r>
        <w:tab/>
      </w:r>
      <w:r>
        <w:fldChar w:fldCharType="begin"/>
      </w:r>
      <w:r>
        <w:instrText xml:space="preserve"> PAGEREF _Toc21184 \h </w:instrText>
      </w:r>
      <w:r>
        <w:fldChar w:fldCharType="separate"/>
      </w:r>
      <w:r>
        <w:t>58</w:t>
      </w:r>
      <w:r>
        <w:fldChar w:fldCharType="end"/>
      </w:r>
      <w:r>
        <w:fldChar w:fldCharType="end"/>
      </w:r>
    </w:p>
    <w:p w14:paraId="0BA5BB4E">
      <w:pPr>
        <w:pStyle w:val="15"/>
        <w:tabs>
          <w:tab w:val="right" w:leader="dot" w:pos="9468"/>
        </w:tabs>
      </w:pPr>
      <w:r>
        <w:fldChar w:fldCharType="begin"/>
      </w:r>
      <w:r>
        <w:instrText xml:space="preserve"> HYPERLINK \l _Toc29537 </w:instrText>
      </w:r>
      <w:r>
        <w:fldChar w:fldCharType="separate"/>
      </w:r>
      <w:r>
        <w:rPr>
          <w:rFonts w:ascii="Times New Roman" w:hAnsi="Times New Roman"/>
        </w:rPr>
        <w:t>2.评审标准</w:t>
      </w:r>
      <w:r>
        <w:tab/>
      </w:r>
      <w:r>
        <w:fldChar w:fldCharType="begin"/>
      </w:r>
      <w:r>
        <w:instrText xml:space="preserve"> PAGEREF _Toc29537 \h </w:instrText>
      </w:r>
      <w:r>
        <w:fldChar w:fldCharType="separate"/>
      </w:r>
      <w:r>
        <w:t>58</w:t>
      </w:r>
      <w:r>
        <w:fldChar w:fldCharType="end"/>
      </w:r>
      <w:r>
        <w:fldChar w:fldCharType="end"/>
      </w:r>
    </w:p>
    <w:p w14:paraId="1A9F1AA2">
      <w:pPr>
        <w:pStyle w:val="12"/>
        <w:tabs>
          <w:tab w:val="right" w:leader="dot" w:pos="9468"/>
        </w:tabs>
      </w:pPr>
      <w:r>
        <w:fldChar w:fldCharType="begin"/>
      </w:r>
      <w:r>
        <w:instrText xml:space="preserve"> HYPERLINK \l _Toc7109 </w:instrText>
      </w:r>
      <w:r>
        <w:fldChar w:fldCharType="separate"/>
      </w:r>
      <w:r>
        <w:t>2.1初步评审标准</w:t>
      </w:r>
      <w:r>
        <w:tab/>
      </w:r>
      <w:r>
        <w:fldChar w:fldCharType="begin"/>
      </w:r>
      <w:r>
        <w:instrText xml:space="preserve"> PAGEREF _Toc7109 \h </w:instrText>
      </w:r>
      <w:r>
        <w:fldChar w:fldCharType="separate"/>
      </w:r>
      <w:r>
        <w:t>58</w:t>
      </w:r>
      <w:r>
        <w:fldChar w:fldCharType="end"/>
      </w:r>
      <w:r>
        <w:fldChar w:fldCharType="end"/>
      </w:r>
    </w:p>
    <w:p w14:paraId="5687C66D">
      <w:pPr>
        <w:pStyle w:val="12"/>
        <w:tabs>
          <w:tab w:val="right" w:leader="dot" w:pos="9468"/>
        </w:tabs>
      </w:pPr>
      <w:r>
        <w:fldChar w:fldCharType="begin"/>
      </w:r>
      <w:r>
        <w:instrText xml:space="preserve"> HYPERLINK \l _Toc1779 </w:instrText>
      </w:r>
      <w:r>
        <w:fldChar w:fldCharType="separate"/>
      </w:r>
      <w:r>
        <w:t>2.2分值构成与评分标准</w:t>
      </w:r>
      <w:r>
        <w:tab/>
      </w:r>
      <w:r>
        <w:fldChar w:fldCharType="begin"/>
      </w:r>
      <w:r>
        <w:instrText xml:space="preserve"> PAGEREF _Toc1779 \h </w:instrText>
      </w:r>
      <w:r>
        <w:fldChar w:fldCharType="separate"/>
      </w:r>
      <w:r>
        <w:t>58</w:t>
      </w:r>
      <w:r>
        <w:fldChar w:fldCharType="end"/>
      </w:r>
      <w:r>
        <w:fldChar w:fldCharType="end"/>
      </w:r>
    </w:p>
    <w:p w14:paraId="725B5805">
      <w:pPr>
        <w:pStyle w:val="15"/>
        <w:tabs>
          <w:tab w:val="right" w:leader="dot" w:pos="9468"/>
        </w:tabs>
      </w:pPr>
      <w:r>
        <w:fldChar w:fldCharType="begin"/>
      </w:r>
      <w:r>
        <w:instrText xml:space="preserve"> HYPERLINK \l _Toc20168 </w:instrText>
      </w:r>
      <w:r>
        <w:fldChar w:fldCharType="separate"/>
      </w:r>
      <w:r>
        <w:rPr>
          <w:rFonts w:ascii="Times New Roman" w:hAnsi="Times New Roman"/>
        </w:rPr>
        <w:t>3.评标程序</w:t>
      </w:r>
      <w:r>
        <w:tab/>
      </w:r>
      <w:r>
        <w:fldChar w:fldCharType="begin"/>
      </w:r>
      <w:r>
        <w:instrText xml:space="preserve"> PAGEREF _Toc20168 \h </w:instrText>
      </w:r>
      <w:r>
        <w:fldChar w:fldCharType="separate"/>
      </w:r>
      <w:r>
        <w:t>59</w:t>
      </w:r>
      <w:r>
        <w:fldChar w:fldCharType="end"/>
      </w:r>
      <w:r>
        <w:fldChar w:fldCharType="end"/>
      </w:r>
    </w:p>
    <w:p w14:paraId="7ECECB59">
      <w:pPr>
        <w:pStyle w:val="12"/>
        <w:tabs>
          <w:tab w:val="right" w:leader="dot" w:pos="9468"/>
        </w:tabs>
      </w:pPr>
      <w:r>
        <w:fldChar w:fldCharType="begin"/>
      </w:r>
      <w:r>
        <w:instrText xml:space="preserve"> HYPERLINK \l _Toc30683 </w:instrText>
      </w:r>
      <w:r>
        <w:fldChar w:fldCharType="separate"/>
      </w:r>
      <w:r>
        <w:t>3.1初步评审</w:t>
      </w:r>
      <w:r>
        <w:tab/>
      </w:r>
      <w:r>
        <w:fldChar w:fldCharType="begin"/>
      </w:r>
      <w:r>
        <w:instrText xml:space="preserve"> PAGEREF _Toc30683 \h </w:instrText>
      </w:r>
      <w:r>
        <w:fldChar w:fldCharType="separate"/>
      </w:r>
      <w:r>
        <w:t>59</w:t>
      </w:r>
      <w:r>
        <w:fldChar w:fldCharType="end"/>
      </w:r>
      <w:r>
        <w:fldChar w:fldCharType="end"/>
      </w:r>
    </w:p>
    <w:p w14:paraId="128167B4">
      <w:pPr>
        <w:pStyle w:val="12"/>
        <w:tabs>
          <w:tab w:val="right" w:leader="dot" w:pos="9468"/>
        </w:tabs>
      </w:pPr>
      <w:r>
        <w:fldChar w:fldCharType="begin"/>
      </w:r>
      <w:r>
        <w:instrText xml:space="preserve"> HYPERLINK \l _Toc25822 </w:instrText>
      </w:r>
      <w:r>
        <w:fldChar w:fldCharType="separate"/>
      </w:r>
      <w:r>
        <w:t>3.2详细评审</w:t>
      </w:r>
      <w:r>
        <w:tab/>
      </w:r>
      <w:r>
        <w:fldChar w:fldCharType="begin"/>
      </w:r>
      <w:r>
        <w:instrText xml:space="preserve"> PAGEREF _Toc25822 \h </w:instrText>
      </w:r>
      <w:r>
        <w:fldChar w:fldCharType="separate"/>
      </w:r>
      <w:r>
        <w:t>61</w:t>
      </w:r>
      <w:r>
        <w:fldChar w:fldCharType="end"/>
      </w:r>
      <w:r>
        <w:fldChar w:fldCharType="end"/>
      </w:r>
    </w:p>
    <w:p w14:paraId="5E50A0AB">
      <w:pPr>
        <w:pStyle w:val="12"/>
        <w:tabs>
          <w:tab w:val="right" w:leader="dot" w:pos="9468"/>
        </w:tabs>
      </w:pPr>
      <w:r>
        <w:fldChar w:fldCharType="begin"/>
      </w:r>
      <w:r>
        <w:instrText xml:space="preserve"> HYPERLINK \l _Toc26451 </w:instrText>
      </w:r>
      <w:r>
        <w:fldChar w:fldCharType="separate"/>
      </w:r>
      <w:r>
        <w:t>3.3投标文件的澄清</w:t>
      </w:r>
      <w:r>
        <w:tab/>
      </w:r>
      <w:r>
        <w:fldChar w:fldCharType="begin"/>
      </w:r>
      <w:r>
        <w:instrText xml:space="preserve"> PAGEREF _Toc26451 \h </w:instrText>
      </w:r>
      <w:r>
        <w:fldChar w:fldCharType="separate"/>
      </w:r>
      <w:r>
        <w:t>62</w:t>
      </w:r>
      <w:r>
        <w:fldChar w:fldCharType="end"/>
      </w:r>
      <w:r>
        <w:fldChar w:fldCharType="end"/>
      </w:r>
    </w:p>
    <w:p w14:paraId="666F83CD">
      <w:pPr>
        <w:pStyle w:val="12"/>
        <w:tabs>
          <w:tab w:val="right" w:leader="dot" w:pos="9468"/>
        </w:tabs>
      </w:pPr>
      <w:r>
        <w:fldChar w:fldCharType="begin"/>
      </w:r>
      <w:r>
        <w:instrText xml:space="preserve"> HYPERLINK \l _Toc15591 </w:instrText>
      </w:r>
      <w:r>
        <w:fldChar w:fldCharType="separate"/>
      </w:r>
      <w:r>
        <w:t>3.4评标结果</w:t>
      </w:r>
      <w:r>
        <w:tab/>
      </w:r>
      <w:r>
        <w:fldChar w:fldCharType="begin"/>
      </w:r>
      <w:r>
        <w:instrText xml:space="preserve"> PAGEREF _Toc15591 \h </w:instrText>
      </w:r>
      <w:r>
        <w:fldChar w:fldCharType="separate"/>
      </w:r>
      <w:r>
        <w:t>62</w:t>
      </w:r>
      <w:r>
        <w:fldChar w:fldCharType="end"/>
      </w:r>
      <w:r>
        <w:fldChar w:fldCharType="end"/>
      </w:r>
    </w:p>
    <w:p w14:paraId="68F5E1A2">
      <w:pPr>
        <w:pStyle w:val="12"/>
        <w:tabs>
          <w:tab w:val="right" w:leader="dot" w:pos="9468"/>
        </w:tabs>
      </w:pPr>
      <w:r>
        <w:fldChar w:fldCharType="begin"/>
      </w:r>
      <w:r>
        <w:instrText xml:space="preserve"> HYPERLINK \l _Toc14599 </w:instrText>
      </w:r>
      <w:r>
        <w:fldChar w:fldCharType="separate"/>
      </w:r>
      <w:r>
        <w:t>3.</w:t>
      </w:r>
      <w:r>
        <w:rPr>
          <w:rFonts w:hint="eastAsia"/>
        </w:rPr>
        <w:t>5</w:t>
      </w:r>
      <w:r>
        <w:t>确定中标人</w:t>
      </w:r>
      <w:r>
        <w:tab/>
      </w:r>
      <w:r>
        <w:fldChar w:fldCharType="begin"/>
      </w:r>
      <w:r>
        <w:instrText xml:space="preserve"> PAGEREF _Toc14599 \h </w:instrText>
      </w:r>
      <w:r>
        <w:fldChar w:fldCharType="separate"/>
      </w:r>
      <w:r>
        <w:t>62</w:t>
      </w:r>
      <w:r>
        <w:fldChar w:fldCharType="end"/>
      </w:r>
      <w:r>
        <w:fldChar w:fldCharType="end"/>
      </w:r>
    </w:p>
    <w:p w14:paraId="159E37E4">
      <w:pPr>
        <w:pStyle w:val="14"/>
        <w:tabs>
          <w:tab w:val="right" w:leader="dot" w:pos="9468"/>
        </w:tabs>
      </w:pPr>
      <w:r>
        <w:fldChar w:fldCharType="begin"/>
      </w:r>
      <w:r>
        <w:instrText xml:space="preserve"> HYPERLINK \l _Toc21250 </w:instrText>
      </w:r>
      <w:r>
        <w:fldChar w:fldCharType="separate"/>
      </w:r>
      <w:r>
        <w:rPr>
          <w:rFonts w:hint="eastAsia"/>
          <w:highlight w:val="none"/>
        </w:rPr>
        <w:t>第四章  合同条款及格式</w:t>
      </w:r>
      <w:r>
        <w:tab/>
      </w:r>
      <w:r>
        <w:fldChar w:fldCharType="begin"/>
      </w:r>
      <w:r>
        <w:instrText xml:space="preserve"> PAGEREF _Toc21250 \h </w:instrText>
      </w:r>
      <w:r>
        <w:fldChar w:fldCharType="separate"/>
      </w:r>
      <w:r>
        <w:t>63</w:t>
      </w:r>
      <w:r>
        <w:fldChar w:fldCharType="end"/>
      </w:r>
      <w:r>
        <w:fldChar w:fldCharType="end"/>
      </w:r>
    </w:p>
    <w:p w14:paraId="48D28FE5">
      <w:pPr>
        <w:pStyle w:val="14"/>
        <w:tabs>
          <w:tab w:val="right" w:leader="dot" w:pos="9468"/>
        </w:tabs>
      </w:pPr>
      <w:r>
        <w:fldChar w:fldCharType="begin"/>
      </w:r>
      <w:r>
        <w:instrText xml:space="preserve"> HYPERLINK \l _Toc2865 </w:instrText>
      </w:r>
      <w:r>
        <w:fldChar w:fldCharType="separate"/>
      </w:r>
      <w:r>
        <w:rPr>
          <w:rFonts w:hint="eastAsia"/>
          <w:highlight w:val="none"/>
        </w:rPr>
        <w:t>第五章  用户需求书</w:t>
      </w:r>
      <w:r>
        <w:tab/>
      </w:r>
      <w:r>
        <w:fldChar w:fldCharType="begin"/>
      </w:r>
      <w:r>
        <w:instrText xml:space="preserve"> PAGEREF _Toc2865 \h </w:instrText>
      </w:r>
      <w:r>
        <w:fldChar w:fldCharType="separate"/>
      </w:r>
      <w:r>
        <w:t>68</w:t>
      </w:r>
      <w:r>
        <w:fldChar w:fldCharType="end"/>
      </w:r>
      <w:r>
        <w:fldChar w:fldCharType="end"/>
      </w:r>
    </w:p>
    <w:p w14:paraId="51027EB9">
      <w:pPr>
        <w:pStyle w:val="15"/>
        <w:tabs>
          <w:tab w:val="right" w:leader="dot" w:pos="9468"/>
        </w:tabs>
      </w:pPr>
      <w:r>
        <w:fldChar w:fldCharType="begin"/>
      </w:r>
      <w:r>
        <w:instrText xml:space="preserve"> HYPERLINK \l _Toc31922 </w:instrText>
      </w:r>
      <w:r>
        <w:fldChar w:fldCharType="separate"/>
      </w:r>
      <w:r>
        <w:rPr>
          <w:rFonts w:hint="eastAsia" w:ascii="华文宋体" w:hAnsi="华文宋体" w:cs="华文宋体"/>
          <w:szCs w:val="24"/>
          <w:highlight w:val="none"/>
        </w:rPr>
        <w:t>一、通用要求</w:t>
      </w:r>
      <w:r>
        <w:tab/>
      </w:r>
      <w:r>
        <w:fldChar w:fldCharType="begin"/>
      </w:r>
      <w:r>
        <w:instrText xml:space="preserve"> PAGEREF _Toc31922 \h </w:instrText>
      </w:r>
      <w:r>
        <w:fldChar w:fldCharType="separate"/>
      </w:r>
      <w:r>
        <w:t>68</w:t>
      </w:r>
      <w:r>
        <w:fldChar w:fldCharType="end"/>
      </w:r>
      <w:r>
        <w:fldChar w:fldCharType="end"/>
      </w:r>
    </w:p>
    <w:p w14:paraId="7D10797A">
      <w:pPr>
        <w:pStyle w:val="15"/>
        <w:tabs>
          <w:tab w:val="right" w:leader="dot" w:pos="9468"/>
        </w:tabs>
      </w:pPr>
      <w:r>
        <w:fldChar w:fldCharType="begin"/>
      </w:r>
      <w:r>
        <w:instrText xml:space="preserve"> HYPERLINK \l _Toc5300 </w:instrText>
      </w:r>
      <w:r>
        <w:fldChar w:fldCharType="separate"/>
      </w:r>
      <w:r>
        <w:rPr>
          <w:rFonts w:hint="eastAsia" w:ascii="华文宋体" w:hAnsi="华文宋体" w:cs="华文宋体"/>
          <w:szCs w:val="24"/>
          <w:highlight w:val="none"/>
        </w:rPr>
        <w:t>二、产品智能配置管理系统采购项目建设目标</w:t>
      </w:r>
      <w:r>
        <w:tab/>
      </w:r>
      <w:r>
        <w:fldChar w:fldCharType="begin"/>
      </w:r>
      <w:r>
        <w:instrText xml:space="preserve"> PAGEREF _Toc5300 \h </w:instrText>
      </w:r>
      <w:r>
        <w:fldChar w:fldCharType="separate"/>
      </w:r>
      <w:r>
        <w:t>69</w:t>
      </w:r>
      <w:r>
        <w:fldChar w:fldCharType="end"/>
      </w:r>
      <w:r>
        <w:fldChar w:fldCharType="end"/>
      </w:r>
    </w:p>
    <w:p w14:paraId="48B8F835">
      <w:pPr>
        <w:pStyle w:val="15"/>
        <w:tabs>
          <w:tab w:val="right" w:leader="dot" w:pos="9468"/>
        </w:tabs>
      </w:pPr>
      <w:r>
        <w:fldChar w:fldCharType="begin"/>
      </w:r>
      <w:r>
        <w:instrText xml:space="preserve"> HYPERLINK \l _Toc5908 </w:instrText>
      </w:r>
      <w:r>
        <w:fldChar w:fldCharType="separate"/>
      </w:r>
      <w:r>
        <w:rPr>
          <w:rFonts w:hint="eastAsia" w:ascii="华文宋体" w:hAnsi="华文宋体" w:cs="华文宋体"/>
          <w:szCs w:val="24"/>
          <w:highlight w:val="none"/>
        </w:rPr>
        <w:t>2.1 建设目标</w:t>
      </w:r>
      <w:r>
        <w:tab/>
      </w:r>
      <w:r>
        <w:fldChar w:fldCharType="begin"/>
      </w:r>
      <w:r>
        <w:instrText xml:space="preserve"> PAGEREF _Toc5908 \h </w:instrText>
      </w:r>
      <w:r>
        <w:fldChar w:fldCharType="separate"/>
      </w:r>
      <w:r>
        <w:t>69</w:t>
      </w:r>
      <w:r>
        <w:fldChar w:fldCharType="end"/>
      </w:r>
      <w:r>
        <w:fldChar w:fldCharType="end"/>
      </w:r>
    </w:p>
    <w:p w14:paraId="40CCF7A9">
      <w:pPr>
        <w:pStyle w:val="15"/>
        <w:tabs>
          <w:tab w:val="right" w:leader="dot" w:pos="9468"/>
        </w:tabs>
      </w:pPr>
      <w:r>
        <w:fldChar w:fldCharType="begin"/>
      </w:r>
      <w:r>
        <w:instrText xml:space="preserve"> HYPERLINK \l _Toc16342 </w:instrText>
      </w:r>
      <w:r>
        <w:fldChar w:fldCharType="separate"/>
      </w:r>
      <w:r>
        <w:rPr>
          <w:rFonts w:hint="eastAsia" w:ascii="华文宋体" w:hAnsi="华文宋体" w:cs="华文宋体"/>
          <w:szCs w:val="24"/>
          <w:highlight w:val="none"/>
        </w:rPr>
        <w:t xml:space="preserve">2.2 </w:t>
      </w:r>
      <w:r>
        <w:rPr>
          <w:rFonts w:hint="eastAsia" w:ascii="宋体" w:hAnsi="宋体" w:eastAsia="宋体" w:cs="宋体"/>
          <w:szCs w:val="22"/>
          <w:highlight w:val="none"/>
        </w:rPr>
        <w:t>系统核心配置要求</w:t>
      </w:r>
      <w:r>
        <w:tab/>
      </w:r>
      <w:r>
        <w:fldChar w:fldCharType="begin"/>
      </w:r>
      <w:r>
        <w:instrText xml:space="preserve"> PAGEREF _Toc16342 \h </w:instrText>
      </w:r>
      <w:r>
        <w:fldChar w:fldCharType="separate"/>
      </w:r>
      <w:r>
        <w:t>70</w:t>
      </w:r>
      <w:r>
        <w:fldChar w:fldCharType="end"/>
      </w:r>
      <w:r>
        <w:fldChar w:fldCharType="end"/>
      </w:r>
    </w:p>
    <w:p w14:paraId="0427D55B">
      <w:pPr>
        <w:pStyle w:val="15"/>
        <w:tabs>
          <w:tab w:val="right" w:leader="dot" w:pos="9468"/>
        </w:tabs>
      </w:pPr>
      <w:r>
        <w:fldChar w:fldCharType="begin"/>
      </w:r>
      <w:r>
        <w:instrText xml:space="preserve"> HYPERLINK \l _Toc24426 </w:instrText>
      </w:r>
      <w:r>
        <w:fldChar w:fldCharType="separate"/>
      </w:r>
      <w:r>
        <w:rPr>
          <w:rFonts w:hint="eastAsia" w:ascii="宋体" w:hAnsi="宋体" w:eastAsia="宋体"/>
          <w:szCs w:val="24"/>
          <w:highlight w:val="none"/>
        </w:rPr>
        <w:t>三、</w:t>
      </w:r>
      <w:r>
        <w:rPr>
          <w:rFonts w:hint="eastAsia" w:ascii="华文宋体" w:hAnsi="华文宋体" w:cs="华文宋体"/>
          <w:szCs w:val="24"/>
          <w:highlight w:val="none"/>
        </w:rPr>
        <w:t>产品智能配置管理系统采购</w:t>
      </w:r>
      <w:r>
        <w:rPr>
          <w:rFonts w:hint="eastAsia" w:ascii="宋体" w:hAnsi="宋体" w:eastAsia="宋体" w:cs="宋体"/>
          <w:szCs w:val="22"/>
          <w:highlight w:val="none"/>
        </w:rPr>
        <w:t>项目技术要求及建设内容</w:t>
      </w:r>
      <w:r>
        <w:tab/>
      </w:r>
      <w:r>
        <w:fldChar w:fldCharType="begin"/>
      </w:r>
      <w:r>
        <w:instrText xml:space="preserve"> PAGEREF _Toc24426 \h </w:instrText>
      </w:r>
      <w:r>
        <w:fldChar w:fldCharType="separate"/>
      </w:r>
      <w:r>
        <w:t>70</w:t>
      </w:r>
      <w:r>
        <w:fldChar w:fldCharType="end"/>
      </w:r>
      <w:r>
        <w:fldChar w:fldCharType="end"/>
      </w:r>
    </w:p>
    <w:p w14:paraId="127A654E">
      <w:pPr>
        <w:pStyle w:val="15"/>
        <w:tabs>
          <w:tab w:val="right" w:leader="dot" w:pos="9468"/>
        </w:tabs>
      </w:pPr>
      <w:r>
        <w:fldChar w:fldCharType="begin"/>
      </w:r>
      <w:r>
        <w:instrText xml:space="preserve"> HYPERLINK \l _Toc14028 </w:instrText>
      </w:r>
      <w:r>
        <w:fldChar w:fldCharType="separate"/>
      </w:r>
      <w:r>
        <w:rPr>
          <w:rFonts w:hint="eastAsia" w:ascii="华文宋体" w:hAnsi="华文宋体" w:cs="华文宋体"/>
          <w:szCs w:val="24"/>
          <w:highlight w:val="none"/>
        </w:rPr>
        <w:t>3.1 系统核心功能模块技术能力要求</w:t>
      </w:r>
      <w:r>
        <w:tab/>
      </w:r>
      <w:r>
        <w:fldChar w:fldCharType="begin"/>
      </w:r>
      <w:r>
        <w:instrText xml:space="preserve"> PAGEREF _Toc14028 \h </w:instrText>
      </w:r>
      <w:r>
        <w:fldChar w:fldCharType="separate"/>
      </w:r>
      <w:r>
        <w:t>70</w:t>
      </w:r>
      <w:r>
        <w:fldChar w:fldCharType="end"/>
      </w:r>
      <w:r>
        <w:fldChar w:fldCharType="end"/>
      </w:r>
    </w:p>
    <w:p w14:paraId="5BB6C817">
      <w:pPr>
        <w:pStyle w:val="15"/>
        <w:tabs>
          <w:tab w:val="right" w:leader="dot" w:pos="9468"/>
        </w:tabs>
      </w:pPr>
      <w:r>
        <w:fldChar w:fldCharType="begin"/>
      </w:r>
      <w:r>
        <w:instrText xml:space="preserve"> HYPERLINK \l _Toc11643 </w:instrText>
      </w:r>
      <w:r>
        <w:fldChar w:fldCharType="separate"/>
      </w:r>
      <w:r>
        <w:rPr>
          <w:rFonts w:hint="eastAsia" w:ascii="华文宋体" w:hAnsi="华文宋体" w:cs="华文宋体"/>
          <w:szCs w:val="24"/>
          <w:highlight w:val="none"/>
        </w:rPr>
        <w:t>3.1.1  市场售前快速配置报价能力</w:t>
      </w:r>
      <w:r>
        <w:tab/>
      </w:r>
      <w:r>
        <w:fldChar w:fldCharType="begin"/>
      </w:r>
      <w:r>
        <w:instrText xml:space="preserve"> PAGEREF _Toc11643 \h </w:instrText>
      </w:r>
      <w:r>
        <w:fldChar w:fldCharType="separate"/>
      </w:r>
      <w:r>
        <w:t>70</w:t>
      </w:r>
      <w:r>
        <w:fldChar w:fldCharType="end"/>
      </w:r>
      <w:r>
        <w:fldChar w:fldCharType="end"/>
      </w:r>
    </w:p>
    <w:p w14:paraId="6205BEB1">
      <w:pPr>
        <w:pStyle w:val="15"/>
        <w:tabs>
          <w:tab w:val="right" w:leader="dot" w:pos="9468"/>
        </w:tabs>
      </w:pPr>
      <w:r>
        <w:fldChar w:fldCharType="begin"/>
      </w:r>
      <w:r>
        <w:instrText xml:space="preserve"> HYPERLINK \l _Toc13659 </w:instrText>
      </w:r>
      <w:r>
        <w:fldChar w:fldCharType="separate"/>
      </w:r>
      <w:r>
        <w:rPr>
          <w:rFonts w:hint="eastAsia" w:ascii="华文宋体" w:hAnsi="华文宋体" w:cs="华文宋体"/>
          <w:szCs w:val="24"/>
          <w:highlight w:val="none"/>
        </w:rPr>
        <w:t>3.1.2  结构化产品线谱系管理能力</w:t>
      </w:r>
      <w:r>
        <w:tab/>
      </w:r>
      <w:r>
        <w:fldChar w:fldCharType="begin"/>
      </w:r>
      <w:r>
        <w:instrText xml:space="preserve"> PAGEREF _Toc13659 \h </w:instrText>
      </w:r>
      <w:r>
        <w:fldChar w:fldCharType="separate"/>
      </w:r>
      <w:r>
        <w:t>70</w:t>
      </w:r>
      <w:r>
        <w:fldChar w:fldCharType="end"/>
      </w:r>
      <w:r>
        <w:fldChar w:fldCharType="end"/>
      </w:r>
    </w:p>
    <w:p w14:paraId="7724C3C6">
      <w:pPr>
        <w:pStyle w:val="12"/>
        <w:tabs>
          <w:tab w:val="right" w:leader="dot" w:pos="9468"/>
        </w:tabs>
      </w:pPr>
      <w:r>
        <w:fldChar w:fldCharType="begin"/>
      </w:r>
      <w:r>
        <w:instrText xml:space="preserve"> HYPERLINK \l _Toc29344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ascii="华文宋体" w:hAnsi="华文宋体" w:cs="华文宋体"/>
          <w:szCs w:val="24"/>
          <w:highlight w:val="none"/>
        </w:rPr>
        <w:t>3.</w:t>
      </w:r>
      <w:r>
        <w:rPr>
          <w:rFonts w:hint="eastAsia" w:ascii="华文宋体" w:hAnsi="华文宋体" w:cs="华文宋体"/>
          <w:szCs w:val="24"/>
          <w:highlight w:val="none"/>
        </w:rPr>
        <w:t>1.3</w:t>
      </w:r>
      <w:r>
        <w:rPr>
          <w:rFonts w:ascii="华文宋体" w:hAnsi="华文宋体" w:cs="华文宋体"/>
          <w:szCs w:val="24"/>
          <w:highlight w:val="none"/>
        </w:rPr>
        <w:t xml:space="preserve"> 对现有三维设计数据（CATIA 3DE 数模）的原生管理支持能力</w:t>
      </w:r>
      <w:r>
        <w:tab/>
      </w:r>
      <w:r>
        <w:fldChar w:fldCharType="begin"/>
      </w:r>
      <w:r>
        <w:instrText xml:space="preserve"> PAGEREF _Toc29344 \h </w:instrText>
      </w:r>
      <w:r>
        <w:fldChar w:fldCharType="separate"/>
      </w:r>
      <w:r>
        <w:t>71</w:t>
      </w:r>
      <w:r>
        <w:fldChar w:fldCharType="end"/>
      </w:r>
      <w:r>
        <w:fldChar w:fldCharType="end"/>
      </w:r>
    </w:p>
    <w:p w14:paraId="72AA4714">
      <w:pPr>
        <w:pStyle w:val="12"/>
        <w:tabs>
          <w:tab w:val="right" w:leader="dot" w:pos="9468"/>
        </w:tabs>
      </w:pPr>
      <w:r>
        <w:fldChar w:fldCharType="begin"/>
      </w:r>
      <w:r>
        <w:instrText xml:space="preserve"> HYPERLINK \l _Toc12820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ascii="华文宋体" w:hAnsi="华文宋体" w:cs="华文宋体"/>
          <w:szCs w:val="24"/>
          <w:highlight w:val="none"/>
        </w:rPr>
        <w:t>3.</w:t>
      </w:r>
      <w:r>
        <w:rPr>
          <w:rFonts w:hint="eastAsia" w:ascii="华文宋体" w:hAnsi="华文宋体" w:cs="华文宋体"/>
          <w:szCs w:val="24"/>
          <w:highlight w:val="none"/>
        </w:rPr>
        <w:t>1.4</w:t>
      </w:r>
      <w:r>
        <w:rPr>
          <w:rFonts w:ascii="华文宋体" w:hAnsi="华文宋体" w:cs="华文宋体"/>
          <w:szCs w:val="24"/>
          <w:highlight w:val="none"/>
        </w:rPr>
        <w:t xml:space="preserve"> 面向 MBD 的三维数模管理能力</w:t>
      </w:r>
      <w:r>
        <w:tab/>
      </w:r>
      <w:r>
        <w:fldChar w:fldCharType="begin"/>
      </w:r>
      <w:r>
        <w:instrText xml:space="preserve"> PAGEREF _Toc12820 \h </w:instrText>
      </w:r>
      <w:r>
        <w:fldChar w:fldCharType="separate"/>
      </w:r>
      <w:r>
        <w:t>71</w:t>
      </w:r>
      <w:r>
        <w:fldChar w:fldCharType="end"/>
      </w:r>
      <w:r>
        <w:fldChar w:fldCharType="end"/>
      </w:r>
    </w:p>
    <w:p w14:paraId="632E2967">
      <w:pPr>
        <w:pStyle w:val="15"/>
        <w:tabs>
          <w:tab w:val="right" w:leader="dot" w:pos="9468"/>
        </w:tabs>
      </w:pPr>
      <w:r>
        <w:fldChar w:fldCharType="begin"/>
      </w:r>
      <w:r>
        <w:instrText xml:space="preserve"> HYPERLINK \l _Toc27681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hint="eastAsia" w:ascii="华文宋体" w:hAnsi="华文宋体" w:cs="华文宋体"/>
          <w:szCs w:val="24"/>
          <w:highlight w:val="none"/>
        </w:rPr>
        <w:t>3.1.5  配置特征库全生命周期管理能力</w:t>
      </w:r>
      <w:r>
        <w:tab/>
      </w:r>
      <w:r>
        <w:fldChar w:fldCharType="begin"/>
      </w:r>
      <w:r>
        <w:instrText xml:space="preserve"> PAGEREF _Toc27681 \h </w:instrText>
      </w:r>
      <w:r>
        <w:fldChar w:fldCharType="separate"/>
      </w:r>
      <w:r>
        <w:t>72</w:t>
      </w:r>
      <w:r>
        <w:fldChar w:fldCharType="end"/>
      </w:r>
      <w:r>
        <w:fldChar w:fldCharType="end"/>
      </w:r>
    </w:p>
    <w:p w14:paraId="63F9AC25">
      <w:pPr>
        <w:pStyle w:val="15"/>
        <w:tabs>
          <w:tab w:val="right" w:leader="dot" w:pos="9468"/>
        </w:tabs>
      </w:pPr>
      <w:r>
        <w:fldChar w:fldCharType="begin"/>
      </w:r>
      <w:r>
        <w:instrText xml:space="preserve"> HYPERLINK \l _Toc31274 </w:instrText>
      </w:r>
      <w:r>
        <w:fldChar w:fldCharType="separate"/>
      </w:r>
      <w:r>
        <w:rPr>
          <w:rFonts w:hint="eastAsia" w:ascii="华文宋体" w:hAnsi="华文宋体" w:cs="华文宋体"/>
          <w:szCs w:val="24"/>
          <w:highlight w:val="none"/>
        </w:rPr>
        <w:t>△</w:t>
      </w:r>
      <w:r>
        <w:rPr>
          <w:rFonts w:hint="eastAsia" w:ascii="华文宋体" w:hAnsi="华文宋体" w:cs="华文宋体"/>
          <w:szCs w:val="24"/>
          <w:highlight w:val="none"/>
          <w:lang w:val="en-US" w:eastAsia="zh-CN"/>
        </w:rPr>
        <w:t xml:space="preserve"> </w:t>
      </w:r>
      <w:r>
        <w:rPr>
          <w:rFonts w:hint="eastAsia" w:ascii="华文宋体" w:hAnsi="华文宋体" w:cs="华文宋体"/>
          <w:szCs w:val="24"/>
          <w:highlight w:val="none"/>
        </w:rPr>
        <w:t>3.1.6  超配 BOM（超级配置 BOM）管理能力</w:t>
      </w:r>
      <w:r>
        <w:tab/>
      </w:r>
      <w:r>
        <w:fldChar w:fldCharType="begin"/>
      </w:r>
      <w:r>
        <w:instrText xml:space="preserve"> PAGEREF _Toc31274 \h </w:instrText>
      </w:r>
      <w:r>
        <w:fldChar w:fldCharType="separate"/>
      </w:r>
      <w:r>
        <w:t>72</w:t>
      </w:r>
      <w:r>
        <w:fldChar w:fldCharType="end"/>
      </w:r>
      <w:r>
        <w:fldChar w:fldCharType="end"/>
      </w:r>
    </w:p>
    <w:p w14:paraId="67D47BF4">
      <w:pPr>
        <w:pStyle w:val="15"/>
        <w:tabs>
          <w:tab w:val="right" w:leader="dot" w:pos="9468"/>
        </w:tabs>
      </w:pPr>
      <w:r>
        <w:fldChar w:fldCharType="begin"/>
      </w:r>
      <w:r>
        <w:instrText xml:space="preserve"> HYPERLINK \l _Toc27439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hint="eastAsia" w:ascii="华文宋体" w:hAnsi="华文宋体" w:cs="华文宋体"/>
          <w:szCs w:val="24"/>
          <w:highlight w:val="none"/>
        </w:rPr>
        <w:t xml:space="preserve">3.1.7  </w:t>
      </w:r>
      <w:r>
        <w:rPr>
          <w:rFonts w:ascii="宋体" w:hAnsi="宋体" w:eastAsia="宋体" w:cs="宋体"/>
          <w:szCs w:val="24"/>
          <w:highlight w:val="none"/>
        </w:rPr>
        <w:t>智能配置规则引擎</w:t>
      </w:r>
      <w:r>
        <w:rPr>
          <w:rFonts w:hint="eastAsia" w:ascii="宋体" w:hAnsi="宋体" w:eastAsia="宋体" w:cs="宋体"/>
          <w:szCs w:val="24"/>
          <w:highlight w:val="none"/>
        </w:rPr>
        <w:t>能力</w:t>
      </w:r>
      <w:r>
        <w:tab/>
      </w:r>
      <w:r>
        <w:fldChar w:fldCharType="begin"/>
      </w:r>
      <w:r>
        <w:instrText xml:space="preserve"> PAGEREF _Toc27439 \h </w:instrText>
      </w:r>
      <w:r>
        <w:fldChar w:fldCharType="separate"/>
      </w:r>
      <w:r>
        <w:t>72</w:t>
      </w:r>
      <w:r>
        <w:fldChar w:fldCharType="end"/>
      </w:r>
      <w:r>
        <w:fldChar w:fldCharType="end"/>
      </w:r>
    </w:p>
    <w:p w14:paraId="1AEECF6D">
      <w:pPr>
        <w:pStyle w:val="15"/>
        <w:tabs>
          <w:tab w:val="right" w:leader="dot" w:pos="9468"/>
        </w:tabs>
      </w:pPr>
      <w:r>
        <w:fldChar w:fldCharType="begin"/>
      </w:r>
      <w:r>
        <w:instrText xml:space="preserve"> HYPERLINK \l _Toc6066 </w:instrText>
      </w:r>
      <w:r>
        <w:fldChar w:fldCharType="separate"/>
      </w:r>
      <w:r>
        <w:rPr>
          <w:rFonts w:hint="eastAsia" w:ascii="华文宋体" w:hAnsi="华文宋体" w:cs="华文宋体"/>
          <w:szCs w:val="24"/>
          <w:highlight w:val="none"/>
        </w:rPr>
        <w:t>3.1.8  生成产品配置以及精确BOM输出</w:t>
      </w:r>
      <w:r>
        <w:tab/>
      </w:r>
      <w:r>
        <w:fldChar w:fldCharType="begin"/>
      </w:r>
      <w:r>
        <w:instrText xml:space="preserve"> PAGEREF _Toc6066 \h </w:instrText>
      </w:r>
      <w:r>
        <w:fldChar w:fldCharType="separate"/>
      </w:r>
      <w:r>
        <w:t>73</w:t>
      </w:r>
      <w:r>
        <w:fldChar w:fldCharType="end"/>
      </w:r>
      <w:r>
        <w:fldChar w:fldCharType="end"/>
      </w:r>
    </w:p>
    <w:p w14:paraId="44A57831">
      <w:pPr>
        <w:pStyle w:val="15"/>
        <w:tabs>
          <w:tab w:val="right" w:leader="dot" w:pos="9468"/>
        </w:tabs>
      </w:pPr>
      <w:r>
        <w:fldChar w:fldCharType="begin"/>
      </w:r>
      <w:r>
        <w:instrText xml:space="preserve"> HYPERLINK \l _Toc24740 </w:instrText>
      </w:r>
      <w:r>
        <w:fldChar w:fldCharType="separate"/>
      </w:r>
      <w:r>
        <w:rPr>
          <w:rFonts w:hint="eastAsia" w:ascii="华文宋体" w:hAnsi="华文宋体" w:cs="华文宋体"/>
          <w:szCs w:val="24"/>
          <w:highlight w:val="none"/>
        </w:rPr>
        <w:t>△</w:t>
      </w:r>
      <w:r>
        <w:rPr>
          <w:rFonts w:hint="eastAsia" w:ascii="Segoe UI Symbol" w:hAnsi="Segoe UI Symbol" w:cs="Segoe UI Symbol"/>
          <w:highlight w:val="none"/>
        </w:rPr>
        <w:t xml:space="preserve"> </w:t>
      </w:r>
      <w:r>
        <w:rPr>
          <w:rFonts w:hint="eastAsia" w:ascii="华文宋体" w:hAnsi="华文宋体" w:cs="华文宋体"/>
          <w:szCs w:val="24"/>
          <w:highlight w:val="none"/>
        </w:rPr>
        <w:t>3.1.9 配置/BOM 版本修订与差异比对能力</w:t>
      </w:r>
      <w:r>
        <w:tab/>
      </w:r>
      <w:r>
        <w:fldChar w:fldCharType="begin"/>
      </w:r>
      <w:r>
        <w:instrText xml:space="preserve"> PAGEREF _Toc24740 \h </w:instrText>
      </w:r>
      <w:r>
        <w:fldChar w:fldCharType="separate"/>
      </w:r>
      <w:r>
        <w:t>73</w:t>
      </w:r>
      <w:r>
        <w:fldChar w:fldCharType="end"/>
      </w:r>
      <w:r>
        <w:fldChar w:fldCharType="end"/>
      </w:r>
    </w:p>
    <w:p w14:paraId="49F76ACF">
      <w:pPr>
        <w:pStyle w:val="15"/>
        <w:tabs>
          <w:tab w:val="right" w:leader="dot" w:pos="9468"/>
        </w:tabs>
      </w:pPr>
      <w:r>
        <w:fldChar w:fldCharType="begin"/>
      </w:r>
      <w:r>
        <w:instrText xml:space="preserve"> HYPERLINK \l _Toc29389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hint="eastAsia" w:ascii="华文宋体" w:hAnsi="华文宋体" w:cs="华文宋体"/>
          <w:szCs w:val="24"/>
          <w:highlight w:val="none"/>
        </w:rPr>
        <w:t>3.1.10 配置有效性与变体表达式管理能力</w:t>
      </w:r>
      <w:r>
        <w:tab/>
      </w:r>
      <w:r>
        <w:fldChar w:fldCharType="begin"/>
      </w:r>
      <w:r>
        <w:instrText xml:space="preserve"> PAGEREF _Toc29389 \h </w:instrText>
      </w:r>
      <w:r>
        <w:fldChar w:fldCharType="separate"/>
      </w:r>
      <w:r>
        <w:t>73</w:t>
      </w:r>
      <w:r>
        <w:fldChar w:fldCharType="end"/>
      </w:r>
      <w:r>
        <w:fldChar w:fldCharType="end"/>
      </w:r>
    </w:p>
    <w:p w14:paraId="7FF2737C">
      <w:pPr>
        <w:pStyle w:val="15"/>
        <w:tabs>
          <w:tab w:val="right" w:leader="dot" w:pos="9468"/>
        </w:tabs>
      </w:pPr>
      <w:r>
        <w:fldChar w:fldCharType="begin"/>
      </w:r>
      <w:r>
        <w:instrText xml:space="preserve"> HYPERLINK \l _Toc11271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hint="eastAsia" w:ascii="华文宋体" w:hAnsi="华文宋体" w:cs="华文宋体"/>
          <w:bCs/>
          <w:szCs w:val="24"/>
          <w:highlight w:val="none"/>
        </w:rPr>
        <w:t>3.1.11 工程变更驱动的配置更新与追溯能力</w:t>
      </w:r>
      <w:r>
        <w:tab/>
      </w:r>
      <w:r>
        <w:fldChar w:fldCharType="begin"/>
      </w:r>
      <w:r>
        <w:instrText xml:space="preserve"> PAGEREF _Toc11271 \h </w:instrText>
      </w:r>
      <w:r>
        <w:fldChar w:fldCharType="separate"/>
      </w:r>
      <w:r>
        <w:t>74</w:t>
      </w:r>
      <w:r>
        <w:fldChar w:fldCharType="end"/>
      </w:r>
      <w:r>
        <w:fldChar w:fldCharType="end"/>
      </w:r>
    </w:p>
    <w:p w14:paraId="370ABDE5">
      <w:pPr>
        <w:pStyle w:val="15"/>
        <w:tabs>
          <w:tab w:val="right" w:leader="dot" w:pos="9468"/>
        </w:tabs>
      </w:pPr>
      <w:r>
        <w:fldChar w:fldCharType="begin"/>
      </w:r>
      <w:r>
        <w:instrText xml:space="preserve"> HYPERLINK \l _Toc28556 </w:instrText>
      </w:r>
      <w:r>
        <w:fldChar w:fldCharType="separate"/>
      </w:r>
      <w:r>
        <w:rPr>
          <w:rFonts w:hint="eastAsia" w:ascii="华文宋体" w:hAnsi="华文宋体" w:cs="华文宋体"/>
          <w:bCs/>
          <w:szCs w:val="24"/>
          <w:highlight w:val="none"/>
        </w:rPr>
        <w:t xml:space="preserve">3.1.12  </w:t>
      </w:r>
      <w:r>
        <w:rPr>
          <w:rFonts w:ascii="华文宋体" w:hAnsi="华文宋体" w:cs="华文宋体"/>
          <w:bCs/>
          <w:szCs w:val="24"/>
          <w:highlight w:val="none"/>
        </w:rPr>
        <w:t>CBB 共用基础模块知识库管理</w:t>
      </w:r>
      <w:r>
        <w:rPr>
          <w:rFonts w:hint="eastAsia" w:ascii="华文宋体" w:hAnsi="华文宋体" w:cs="华文宋体"/>
          <w:bCs/>
          <w:szCs w:val="24"/>
          <w:highlight w:val="none"/>
        </w:rPr>
        <w:t>能力</w:t>
      </w:r>
      <w:r>
        <w:tab/>
      </w:r>
      <w:r>
        <w:fldChar w:fldCharType="begin"/>
      </w:r>
      <w:r>
        <w:instrText xml:space="preserve"> PAGEREF _Toc28556 \h </w:instrText>
      </w:r>
      <w:r>
        <w:fldChar w:fldCharType="separate"/>
      </w:r>
      <w:r>
        <w:t>74</w:t>
      </w:r>
      <w:r>
        <w:fldChar w:fldCharType="end"/>
      </w:r>
      <w:r>
        <w:fldChar w:fldCharType="end"/>
      </w:r>
    </w:p>
    <w:p w14:paraId="3BE7532D">
      <w:pPr>
        <w:pStyle w:val="15"/>
        <w:tabs>
          <w:tab w:val="right" w:leader="dot" w:pos="9468"/>
        </w:tabs>
      </w:pPr>
      <w:r>
        <w:fldChar w:fldCharType="begin"/>
      </w:r>
      <w:r>
        <w:instrText xml:space="preserve"> HYPERLINK \l _Toc29303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hint="eastAsia" w:ascii="华文宋体" w:hAnsi="华文宋体" w:cs="华文宋体"/>
          <w:bCs/>
          <w:szCs w:val="24"/>
          <w:highlight w:val="none"/>
        </w:rPr>
        <w:t>3.1.13 三维数模轻量化浏览与结构树联动能力</w:t>
      </w:r>
      <w:r>
        <w:tab/>
      </w:r>
      <w:r>
        <w:fldChar w:fldCharType="begin"/>
      </w:r>
      <w:r>
        <w:instrText xml:space="preserve"> PAGEREF _Toc29303 \h </w:instrText>
      </w:r>
      <w:r>
        <w:fldChar w:fldCharType="separate"/>
      </w:r>
      <w:r>
        <w:t>74</w:t>
      </w:r>
      <w:r>
        <w:fldChar w:fldCharType="end"/>
      </w:r>
      <w:r>
        <w:fldChar w:fldCharType="end"/>
      </w:r>
    </w:p>
    <w:p w14:paraId="164E0005">
      <w:pPr>
        <w:pStyle w:val="15"/>
        <w:tabs>
          <w:tab w:val="right" w:leader="dot" w:pos="9468"/>
        </w:tabs>
      </w:pPr>
      <w:r>
        <w:fldChar w:fldCharType="begin"/>
      </w:r>
      <w:r>
        <w:instrText xml:space="preserve"> HYPERLINK \l _Toc31008 </w:instrText>
      </w:r>
      <w:r>
        <w:fldChar w:fldCharType="separate"/>
      </w:r>
      <w:r>
        <w:rPr>
          <w:rFonts w:hint="eastAsia" w:ascii="华文宋体" w:hAnsi="华文宋体" w:cs="华文宋体"/>
          <w:bCs/>
          <w:szCs w:val="24"/>
          <w:highlight w:val="none"/>
        </w:rPr>
        <w:t>3.1.14 多维度检索、结构派生与复用（复制/复用/排除）能力</w:t>
      </w:r>
      <w:r>
        <w:tab/>
      </w:r>
      <w:r>
        <w:fldChar w:fldCharType="begin"/>
      </w:r>
      <w:r>
        <w:instrText xml:space="preserve"> PAGEREF _Toc31008 \h </w:instrText>
      </w:r>
      <w:r>
        <w:fldChar w:fldCharType="separate"/>
      </w:r>
      <w:r>
        <w:t>75</w:t>
      </w:r>
      <w:r>
        <w:fldChar w:fldCharType="end"/>
      </w:r>
      <w:r>
        <w:fldChar w:fldCharType="end"/>
      </w:r>
    </w:p>
    <w:p w14:paraId="599B5590">
      <w:pPr>
        <w:pStyle w:val="15"/>
        <w:tabs>
          <w:tab w:val="right" w:leader="dot" w:pos="9468"/>
        </w:tabs>
      </w:pPr>
      <w:r>
        <w:fldChar w:fldCharType="begin"/>
      </w:r>
      <w:r>
        <w:instrText xml:space="preserve"> HYPERLINK \l _Toc3544 </w:instrText>
      </w:r>
      <w:r>
        <w:fldChar w:fldCharType="separate"/>
      </w: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hint="eastAsia" w:ascii="华文宋体" w:hAnsi="华文宋体" w:cs="华文宋体"/>
          <w:szCs w:val="24"/>
          <w:highlight w:val="none"/>
        </w:rPr>
        <w:t>3.1.15 配置完整产品与超配缺口的补充工程设计能力</w:t>
      </w:r>
      <w:r>
        <w:tab/>
      </w:r>
      <w:r>
        <w:fldChar w:fldCharType="begin"/>
      </w:r>
      <w:r>
        <w:instrText xml:space="preserve"> PAGEREF _Toc3544 \h </w:instrText>
      </w:r>
      <w:r>
        <w:fldChar w:fldCharType="separate"/>
      </w:r>
      <w:r>
        <w:t>75</w:t>
      </w:r>
      <w:r>
        <w:fldChar w:fldCharType="end"/>
      </w:r>
      <w:r>
        <w:fldChar w:fldCharType="end"/>
      </w:r>
    </w:p>
    <w:p w14:paraId="0FC026A8">
      <w:pPr>
        <w:pStyle w:val="15"/>
        <w:tabs>
          <w:tab w:val="right" w:leader="dot" w:pos="9468"/>
        </w:tabs>
      </w:pPr>
      <w:r>
        <w:fldChar w:fldCharType="begin"/>
      </w:r>
      <w:r>
        <w:instrText xml:space="preserve"> HYPERLINK \l _Toc4289 </w:instrText>
      </w:r>
      <w:r>
        <w:fldChar w:fldCharType="separate"/>
      </w:r>
      <w:r>
        <w:rPr>
          <w:rFonts w:hint="eastAsia" w:ascii="华文宋体" w:hAnsi="华文宋体" w:cs="华文宋体"/>
          <w:szCs w:val="24"/>
          <w:highlight w:val="none"/>
        </w:rPr>
        <w:t>△</w:t>
      </w:r>
      <w:r>
        <w:rPr>
          <w:rFonts w:hint="eastAsia" w:ascii="Segoe UI Symbol" w:hAnsi="Segoe UI Symbol" w:cs="Segoe UI Symbol"/>
          <w:highlight w:val="none"/>
        </w:rPr>
        <w:t xml:space="preserve"> </w:t>
      </w:r>
      <w:r>
        <w:rPr>
          <w:rFonts w:hint="eastAsia" w:ascii="华文宋体" w:hAnsi="华文宋体" w:cs="华文宋体"/>
          <w:bCs/>
          <w:szCs w:val="24"/>
          <w:highlight w:val="none"/>
        </w:rPr>
        <w:t>3.1.16 网页端产品结构在线可视化编辑能力</w:t>
      </w:r>
      <w:r>
        <w:tab/>
      </w:r>
      <w:r>
        <w:fldChar w:fldCharType="begin"/>
      </w:r>
      <w:r>
        <w:instrText xml:space="preserve"> PAGEREF _Toc4289 \h </w:instrText>
      </w:r>
      <w:r>
        <w:fldChar w:fldCharType="separate"/>
      </w:r>
      <w:r>
        <w:t>75</w:t>
      </w:r>
      <w:r>
        <w:fldChar w:fldCharType="end"/>
      </w:r>
      <w:r>
        <w:fldChar w:fldCharType="end"/>
      </w:r>
    </w:p>
    <w:p w14:paraId="6585D485">
      <w:pPr>
        <w:pStyle w:val="15"/>
        <w:tabs>
          <w:tab w:val="right" w:leader="dot" w:pos="9468"/>
        </w:tabs>
      </w:pPr>
      <w:r>
        <w:fldChar w:fldCharType="begin"/>
      </w:r>
      <w:r>
        <w:instrText xml:space="preserve"> HYPERLINK \l _Toc21316 </w:instrText>
      </w:r>
      <w:r>
        <w:fldChar w:fldCharType="separate"/>
      </w:r>
      <w:r>
        <w:rPr>
          <w:rFonts w:hint="eastAsia" w:ascii="华文宋体" w:hAnsi="华文宋体" w:cs="华文宋体"/>
          <w:szCs w:val="24"/>
          <w:highlight w:val="none"/>
        </w:rPr>
        <w:t>3.1.17  集成能力</w:t>
      </w:r>
      <w:r>
        <w:tab/>
      </w:r>
      <w:r>
        <w:fldChar w:fldCharType="begin"/>
      </w:r>
      <w:r>
        <w:instrText xml:space="preserve"> PAGEREF _Toc21316 \h </w:instrText>
      </w:r>
      <w:r>
        <w:fldChar w:fldCharType="separate"/>
      </w:r>
      <w:r>
        <w:t>76</w:t>
      </w:r>
      <w:r>
        <w:fldChar w:fldCharType="end"/>
      </w:r>
      <w:r>
        <w:fldChar w:fldCharType="end"/>
      </w:r>
    </w:p>
    <w:p w14:paraId="648B3312">
      <w:pPr>
        <w:pStyle w:val="15"/>
        <w:tabs>
          <w:tab w:val="right" w:leader="dot" w:pos="9468"/>
        </w:tabs>
      </w:pPr>
      <w:r>
        <w:fldChar w:fldCharType="begin"/>
      </w:r>
      <w:r>
        <w:instrText xml:space="preserve"> HYPERLINK \l _Toc16052 </w:instrText>
      </w:r>
      <w:r>
        <w:fldChar w:fldCharType="separate"/>
      </w:r>
      <w:r>
        <w:rPr>
          <w:rFonts w:hint="eastAsia" w:ascii="华文宋体" w:hAnsi="华文宋体" w:cs="华文宋体"/>
          <w:szCs w:val="24"/>
          <w:highlight w:val="none"/>
        </w:rPr>
        <w:t>（1）与协同开发管理系统集成接口能力</w:t>
      </w:r>
      <w:r>
        <w:tab/>
      </w:r>
      <w:r>
        <w:fldChar w:fldCharType="begin"/>
      </w:r>
      <w:r>
        <w:instrText xml:space="preserve"> PAGEREF _Toc16052 \h </w:instrText>
      </w:r>
      <w:r>
        <w:fldChar w:fldCharType="separate"/>
      </w:r>
      <w:r>
        <w:t>76</w:t>
      </w:r>
      <w:r>
        <w:fldChar w:fldCharType="end"/>
      </w:r>
      <w:r>
        <w:fldChar w:fldCharType="end"/>
      </w:r>
    </w:p>
    <w:p w14:paraId="38FDEF22">
      <w:pPr>
        <w:pStyle w:val="15"/>
        <w:tabs>
          <w:tab w:val="right" w:leader="dot" w:pos="9468"/>
        </w:tabs>
      </w:pPr>
      <w:r>
        <w:fldChar w:fldCharType="begin"/>
      </w:r>
      <w:r>
        <w:instrText xml:space="preserve"> HYPERLINK \l _Toc25964 </w:instrText>
      </w:r>
      <w:r>
        <w:fldChar w:fldCharType="separate"/>
      </w:r>
      <w:r>
        <w:rPr>
          <w:rFonts w:hint="eastAsia" w:ascii="华文宋体" w:hAnsi="华文宋体" w:cs="华文宋体"/>
          <w:szCs w:val="24"/>
          <w:highlight w:val="none"/>
        </w:rPr>
        <w:t>（2）与 CAPP工艺系统集成接口能力</w:t>
      </w:r>
      <w:r>
        <w:tab/>
      </w:r>
      <w:r>
        <w:fldChar w:fldCharType="begin"/>
      </w:r>
      <w:r>
        <w:instrText xml:space="preserve"> PAGEREF _Toc25964 \h </w:instrText>
      </w:r>
      <w:r>
        <w:fldChar w:fldCharType="separate"/>
      </w:r>
      <w:r>
        <w:t>76</w:t>
      </w:r>
      <w:r>
        <w:fldChar w:fldCharType="end"/>
      </w:r>
      <w:r>
        <w:fldChar w:fldCharType="end"/>
      </w:r>
    </w:p>
    <w:p w14:paraId="61657F01">
      <w:pPr>
        <w:pStyle w:val="15"/>
        <w:tabs>
          <w:tab w:val="right" w:leader="dot" w:pos="9468"/>
        </w:tabs>
      </w:pPr>
      <w:r>
        <w:fldChar w:fldCharType="begin"/>
      </w:r>
      <w:r>
        <w:instrText xml:space="preserve"> HYPERLINK \l _Toc28761 </w:instrText>
      </w:r>
      <w:r>
        <w:fldChar w:fldCharType="separate"/>
      </w:r>
      <w:r>
        <w:rPr>
          <w:rFonts w:hint="eastAsia" w:ascii="华文宋体" w:hAnsi="华文宋体" w:cs="华文宋体"/>
          <w:szCs w:val="24"/>
          <w:highlight w:val="none"/>
        </w:rPr>
        <w:t>（3）与ERP生产资源系统集成接口能力</w:t>
      </w:r>
      <w:r>
        <w:tab/>
      </w:r>
      <w:r>
        <w:fldChar w:fldCharType="begin"/>
      </w:r>
      <w:r>
        <w:instrText xml:space="preserve"> PAGEREF _Toc28761 \h </w:instrText>
      </w:r>
      <w:r>
        <w:fldChar w:fldCharType="separate"/>
      </w:r>
      <w:r>
        <w:t>77</w:t>
      </w:r>
      <w:r>
        <w:fldChar w:fldCharType="end"/>
      </w:r>
      <w:r>
        <w:fldChar w:fldCharType="end"/>
      </w:r>
    </w:p>
    <w:p w14:paraId="5A9A1A0E">
      <w:pPr>
        <w:pStyle w:val="15"/>
        <w:tabs>
          <w:tab w:val="right" w:leader="dot" w:pos="9468"/>
        </w:tabs>
      </w:pPr>
      <w:r>
        <w:fldChar w:fldCharType="begin"/>
      </w:r>
      <w:r>
        <w:instrText xml:space="preserve"> HYPERLINK \l _Toc25537 </w:instrText>
      </w:r>
      <w:r>
        <w:fldChar w:fldCharType="separate"/>
      </w:r>
      <w:r>
        <w:rPr>
          <w:rFonts w:hint="eastAsia" w:ascii="华文宋体" w:hAnsi="华文宋体" w:cs="华文宋体"/>
          <w:szCs w:val="24"/>
          <w:highlight w:val="none"/>
        </w:rPr>
        <w:t>3.2 建设内容</w:t>
      </w:r>
      <w:r>
        <w:tab/>
      </w:r>
      <w:r>
        <w:fldChar w:fldCharType="begin"/>
      </w:r>
      <w:r>
        <w:instrText xml:space="preserve"> PAGEREF _Toc25537 \h </w:instrText>
      </w:r>
      <w:r>
        <w:fldChar w:fldCharType="separate"/>
      </w:r>
      <w:r>
        <w:t>77</w:t>
      </w:r>
      <w:r>
        <w:fldChar w:fldCharType="end"/>
      </w:r>
      <w:r>
        <w:fldChar w:fldCharType="end"/>
      </w:r>
    </w:p>
    <w:p w14:paraId="45C4A924">
      <w:pPr>
        <w:pStyle w:val="15"/>
        <w:tabs>
          <w:tab w:val="right" w:leader="dot" w:pos="9468"/>
        </w:tabs>
      </w:pPr>
      <w:r>
        <w:fldChar w:fldCharType="begin"/>
      </w:r>
      <w:r>
        <w:instrText xml:space="preserve"> HYPERLINK \l _Toc22700 </w:instrText>
      </w:r>
      <w:r>
        <w:fldChar w:fldCharType="separate"/>
      </w:r>
      <w:r>
        <w:rPr>
          <w:rFonts w:hint="eastAsia" w:ascii="华文宋体" w:hAnsi="华文宋体" w:cs="宋体"/>
          <w:szCs w:val="22"/>
        </w:rPr>
        <w:t>四、平台架构能力需求</w:t>
      </w:r>
      <w:r>
        <w:tab/>
      </w:r>
      <w:r>
        <w:fldChar w:fldCharType="begin"/>
      </w:r>
      <w:r>
        <w:instrText xml:space="preserve"> PAGEREF _Toc22700 \h </w:instrText>
      </w:r>
      <w:r>
        <w:fldChar w:fldCharType="separate"/>
      </w:r>
      <w:r>
        <w:t>79</w:t>
      </w:r>
      <w:r>
        <w:fldChar w:fldCharType="end"/>
      </w:r>
      <w:r>
        <w:fldChar w:fldCharType="end"/>
      </w:r>
    </w:p>
    <w:p w14:paraId="275E1E30">
      <w:pPr>
        <w:pStyle w:val="15"/>
        <w:tabs>
          <w:tab w:val="right" w:leader="dot" w:pos="9468"/>
        </w:tabs>
      </w:pPr>
      <w:r>
        <w:fldChar w:fldCharType="begin"/>
      </w:r>
      <w:r>
        <w:instrText xml:space="preserve"> HYPERLINK \l _Toc10613 </w:instrText>
      </w:r>
      <w:r>
        <w:fldChar w:fldCharType="separate"/>
      </w:r>
      <w:r>
        <w:rPr>
          <w:rFonts w:hint="eastAsia" w:ascii="华文宋体" w:hAnsi="华文宋体" w:cs="华文宋体"/>
          <w:szCs w:val="24"/>
        </w:rPr>
        <w:t>4.1部署环境要求</w:t>
      </w:r>
      <w:r>
        <w:tab/>
      </w:r>
      <w:r>
        <w:fldChar w:fldCharType="begin"/>
      </w:r>
      <w:r>
        <w:instrText xml:space="preserve"> PAGEREF _Toc10613 \h </w:instrText>
      </w:r>
      <w:r>
        <w:fldChar w:fldCharType="separate"/>
      </w:r>
      <w:r>
        <w:t>79</w:t>
      </w:r>
      <w:r>
        <w:fldChar w:fldCharType="end"/>
      </w:r>
      <w:r>
        <w:fldChar w:fldCharType="end"/>
      </w:r>
    </w:p>
    <w:p w14:paraId="3C2F960F">
      <w:pPr>
        <w:pStyle w:val="15"/>
        <w:tabs>
          <w:tab w:val="right" w:leader="dot" w:pos="9468"/>
        </w:tabs>
      </w:pPr>
      <w:r>
        <w:fldChar w:fldCharType="begin"/>
      </w:r>
      <w:r>
        <w:instrText xml:space="preserve"> HYPERLINK \l _Toc4527 </w:instrText>
      </w:r>
      <w:r>
        <w:fldChar w:fldCharType="separate"/>
      </w:r>
      <w:r>
        <w:rPr>
          <w:rFonts w:hint="eastAsia" w:ascii="华文宋体" w:hAnsi="华文宋体" w:cs="华文宋体"/>
          <w:szCs w:val="24"/>
        </w:rPr>
        <w:t>4.2 容错性和可靠性要求</w:t>
      </w:r>
      <w:r>
        <w:tab/>
      </w:r>
      <w:r>
        <w:fldChar w:fldCharType="begin"/>
      </w:r>
      <w:r>
        <w:instrText xml:space="preserve"> PAGEREF _Toc4527 \h </w:instrText>
      </w:r>
      <w:r>
        <w:fldChar w:fldCharType="separate"/>
      </w:r>
      <w:r>
        <w:t>80</w:t>
      </w:r>
      <w:r>
        <w:fldChar w:fldCharType="end"/>
      </w:r>
      <w:r>
        <w:fldChar w:fldCharType="end"/>
      </w:r>
    </w:p>
    <w:p w14:paraId="252046B2">
      <w:pPr>
        <w:pStyle w:val="15"/>
        <w:tabs>
          <w:tab w:val="right" w:leader="dot" w:pos="9468"/>
        </w:tabs>
      </w:pPr>
      <w:r>
        <w:fldChar w:fldCharType="begin"/>
      </w:r>
      <w:r>
        <w:instrText xml:space="preserve"> HYPERLINK \l _Toc19887 </w:instrText>
      </w:r>
      <w:r>
        <w:fldChar w:fldCharType="separate"/>
      </w:r>
      <w:r>
        <w:rPr>
          <w:rFonts w:hint="eastAsia" w:ascii="华文宋体" w:hAnsi="华文宋体" w:cs="华文宋体"/>
          <w:szCs w:val="24"/>
        </w:rPr>
        <w:t>4.3 可扩展性要求</w:t>
      </w:r>
      <w:r>
        <w:tab/>
      </w:r>
      <w:r>
        <w:fldChar w:fldCharType="begin"/>
      </w:r>
      <w:r>
        <w:instrText xml:space="preserve"> PAGEREF _Toc19887 \h </w:instrText>
      </w:r>
      <w:r>
        <w:fldChar w:fldCharType="separate"/>
      </w:r>
      <w:r>
        <w:t>80</w:t>
      </w:r>
      <w:r>
        <w:fldChar w:fldCharType="end"/>
      </w:r>
      <w:r>
        <w:fldChar w:fldCharType="end"/>
      </w:r>
    </w:p>
    <w:p w14:paraId="605AA417">
      <w:pPr>
        <w:pStyle w:val="15"/>
        <w:tabs>
          <w:tab w:val="right" w:leader="dot" w:pos="9468"/>
        </w:tabs>
      </w:pPr>
      <w:r>
        <w:fldChar w:fldCharType="begin"/>
      </w:r>
      <w:r>
        <w:instrText xml:space="preserve"> HYPERLINK \l _Toc28248 </w:instrText>
      </w:r>
      <w:r>
        <w:fldChar w:fldCharType="separate"/>
      </w:r>
      <w:r>
        <w:rPr>
          <w:rFonts w:hint="eastAsia" w:ascii="华文宋体" w:hAnsi="华文宋体" w:cs="华文宋体"/>
          <w:szCs w:val="24"/>
        </w:rPr>
        <w:t>4.4 易用性要求</w:t>
      </w:r>
      <w:r>
        <w:tab/>
      </w:r>
      <w:r>
        <w:fldChar w:fldCharType="begin"/>
      </w:r>
      <w:r>
        <w:instrText xml:space="preserve"> PAGEREF _Toc28248 \h </w:instrText>
      </w:r>
      <w:r>
        <w:fldChar w:fldCharType="separate"/>
      </w:r>
      <w:r>
        <w:t>81</w:t>
      </w:r>
      <w:r>
        <w:fldChar w:fldCharType="end"/>
      </w:r>
      <w:r>
        <w:fldChar w:fldCharType="end"/>
      </w:r>
    </w:p>
    <w:p w14:paraId="62D6F860">
      <w:pPr>
        <w:pStyle w:val="15"/>
        <w:tabs>
          <w:tab w:val="right" w:leader="dot" w:pos="9468"/>
        </w:tabs>
      </w:pPr>
      <w:r>
        <w:fldChar w:fldCharType="begin"/>
      </w:r>
      <w:r>
        <w:instrText xml:space="preserve"> HYPERLINK \l _Toc13906 </w:instrText>
      </w:r>
      <w:r>
        <w:fldChar w:fldCharType="separate"/>
      </w:r>
      <w:r>
        <w:rPr>
          <w:rFonts w:hint="eastAsia" w:ascii="华文宋体" w:hAnsi="华文宋体" w:cs="华文宋体"/>
          <w:szCs w:val="24"/>
        </w:rPr>
        <w:t>4.5 安全性要求</w:t>
      </w:r>
      <w:r>
        <w:tab/>
      </w:r>
      <w:r>
        <w:fldChar w:fldCharType="begin"/>
      </w:r>
      <w:r>
        <w:instrText xml:space="preserve"> PAGEREF _Toc13906 \h </w:instrText>
      </w:r>
      <w:r>
        <w:fldChar w:fldCharType="separate"/>
      </w:r>
      <w:r>
        <w:t>82</w:t>
      </w:r>
      <w:r>
        <w:fldChar w:fldCharType="end"/>
      </w:r>
      <w:r>
        <w:fldChar w:fldCharType="end"/>
      </w:r>
    </w:p>
    <w:p w14:paraId="3DE02B82">
      <w:pPr>
        <w:pStyle w:val="15"/>
        <w:tabs>
          <w:tab w:val="right" w:leader="dot" w:pos="9468"/>
        </w:tabs>
      </w:pPr>
      <w:r>
        <w:fldChar w:fldCharType="begin"/>
      </w:r>
      <w:r>
        <w:instrText xml:space="preserve"> HYPERLINK \l _Toc10421 </w:instrText>
      </w:r>
      <w:r>
        <w:fldChar w:fldCharType="separate"/>
      </w:r>
      <w:r>
        <w:rPr>
          <w:rFonts w:hint="eastAsia" w:ascii="华文宋体" w:hAnsi="华文宋体" w:cs="宋体"/>
          <w:szCs w:val="22"/>
        </w:rPr>
        <w:t>五</w:t>
      </w:r>
      <w:r>
        <w:rPr>
          <w:rFonts w:hint="eastAsia" w:ascii="华文宋体" w:hAnsi="华文宋体" w:cs="宋体"/>
          <w:szCs w:val="22"/>
          <w:lang w:val="en-GB"/>
        </w:rPr>
        <w:t>、项目实施要求</w:t>
      </w:r>
      <w:r>
        <w:tab/>
      </w:r>
      <w:r>
        <w:fldChar w:fldCharType="begin"/>
      </w:r>
      <w:r>
        <w:instrText xml:space="preserve"> PAGEREF _Toc10421 \h </w:instrText>
      </w:r>
      <w:r>
        <w:fldChar w:fldCharType="separate"/>
      </w:r>
      <w:r>
        <w:t>82</w:t>
      </w:r>
      <w:r>
        <w:fldChar w:fldCharType="end"/>
      </w:r>
      <w:r>
        <w:fldChar w:fldCharType="end"/>
      </w:r>
    </w:p>
    <w:p w14:paraId="3D84552B">
      <w:pPr>
        <w:pStyle w:val="15"/>
        <w:tabs>
          <w:tab w:val="right" w:leader="dot" w:pos="9468"/>
        </w:tabs>
      </w:pPr>
      <w:r>
        <w:fldChar w:fldCharType="begin"/>
      </w:r>
      <w:r>
        <w:instrText xml:space="preserve"> HYPERLINK \l _Toc23044 </w:instrText>
      </w:r>
      <w:r>
        <w:fldChar w:fldCharType="separate"/>
      </w:r>
      <w:r>
        <w:rPr>
          <w:rFonts w:hint="eastAsia" w:ascii="华文宋体" w:hAnsi="华文宋体" w:cs="华文宋体"/>
          <w:szCs w:val="24"/>
        </w:rPr>
        <w:t>5.1 实施要求</w:t>
      </w:r>
      <w:r>
        <w:tab/>
      </w:r>
      <w:r>
        <w:fldChar w:fldCharType="begin"/>
      </w:r>
      <w:r>
        <w:instrText xml:space="preserve"> PAGEREF _Toc23044 \h </w:instrText>
      </w:r>
      <w:r>
        <w:fldChar w:fldCharType="separate"/>
      </w:r>
      <w:r>
        <w:t>82</w:t>
      </w:r>
      <w:r>
        <w:fldChar w:fldCharType="end"/>
      </w:r>
      <w:r>
        <w:fldChar w:fldCharType="end"/>
      </w:r>
    </w:p>
    <w:p w14:paraId="6AF5EB81">
      <w:pPr>
        <w:pStyle w:val="15"/>
        <w:tabs>
          <w:tab w:val="right" w:leader="dot" w:pos="9468"/>
        </w:tabs>
      </w:pPr>
      <w:r>
        <w:fldChar w:fldCharType="begin"/>
      </w:r>
      <w:r>
        <w:instrText xml:space="preserve"> HYPERLINK \l _Toc13922 </w:instrText>
      </w:r>
      <w:r>
        <w:fldChar w:fldCharType="separate"/>
      </w:r>
      <w:r>
        <w:rPr>
          <w:rFonts w:hint="eastAsia" w:ascii="华文宋体" w:hAnsi="华文宋体" w:cs="华文宋体"/>
          <w:szCs w:val="24"/>
        </w:rPr>
        <w:t>5.2 实施周期要求</w:t>
      </w:r>
      <w:r>
        <w:tab/>
      </w:r>
      <w:r>
        <w:fldChar w:fldCharType="begin"/>
      </w:r>
      <w:r>
        <w:instrText xml:space="preserve"> PAGEREF _Toc13922 \h </w:instrText>
      </w:r>
      <w:r>
        <w:fldChar w:fldCharType="separate"/>
      </w:r>
      <w:r>
        <w:t>83</w:t>
      </w:r>
      <w:r>
        <w:fldChar w:fldCharType="end"/>
      </w:r>
      <w:r>
        <w:fldChar w:fldCharType="end"/>
      </w:r>
    </w:p>
    <w:p w14:paraId="301885B7">
      <w:pPr>
        <w:pStyle w:val="15"/>
        <w:tabs>
          <w:tab w:val="right" w:leader="dot" w:pos="9468"/>
        </w:tabs>
      </w:pPr>
      <w:r>
        <w:fldChar w:fldCharType="begin"/>
      </w:r>
      <w:r>
        <w:instrText xml:space="preserve"> HYPERLINK \l _Toc29524 </w:instrText>
      </w:r>
      <w:r>
        <w:fldChar w:fldCharType="separate"/>
      </w:r>
      <w:r>
        <w:rPr>
          <w:rFonts w:hint="eastAsia" w:ascii="华文宋体" w:hAnsi="华文宋体" w:cs="华文宋体"/>
          <w:szCs w:val="24"/>
        </w:rPr>
        <w:t>5.3 实施方法要求</w:t>
      </w:r>
      <w:r>
        <w:tab/>
      </w:r>
      <w:r>
        <w:fldChar w:fldCharType="begin"/>
      </w:r>
      <w:r>
        <w:instrText xml:space="preserve"> PAGEREF _Toc29524 \h </w:instrText>
      </w:r>
      <w:r>
        <w:fldChar w:fldCharType="separate"/>
      </w:r>
      <w:r>
        <w:t>84</w:t>
      </w:r>
      <w:r>
        <w:fldChar w:fldCharType="end"/>
      </w:r>
      <w:r>
        <w:fldChar w:fldCharType="end"/>
      </w:r>
    </w:p>
    <w:p w14:paraId="5ED0E3E3">
      <w:pPr>
        <w:pStyle w:val="15"/>
        <w:tabs>
          <w:tab w:val="right" w:leader="dot" w:pos="9468"/>
        </w:tabs>
      </w:pPr>
      <w:r>
        <w:fldChar w:fldCharType="begin"/>
      </w:r>
      <w:r>
        <w:instrText xml:space="preserve"> HYPERLINK \l _Toc7563 </w:instrText>
      </w:r>
      <w:r>
        <w:fldChar w:fldCharType="separate"/>
      </w:r>
      <w:r>
        <w:rPr>
          <w:rFonts w:hint="eastAsia" w:ascii="华文宋体" w:hAnsi="华文宋体" w:cs="华文宋体"/>
          <w:szCs w:val="24"/>
        </w:rPr>
        <w:t>5.4 实施过程要求</w:t>
      </w:r>
      <w:r>
        <w:tab/>
      </w:r>
      <w:r>
        <w:fldChar w:fldCharType="begin"/>
      </w:r>
      <w:r>
        <w:instrText xml:space="preserve"> PAGEREF _Toc7563 \h </w:instrText>
      </w:r>
      <w:r>
        <w:fldChar w:fldCharType="separate"/>
      </w:r>
      <w:r>
        <w:t>84</w:t>
      </w:r>
      <w:r>
        <w:fldChar w:fldCharType="end"/>
      </w:r>
      <w:r>
        <w:fldChar w:fldCharType="end"/>
      </w:r>
    </w:p>
    <w:p w14:paraId="742ABC21">
      <w:pPr>
        <w:pStyle w:val="15"/>
        <w:tabs>
          <w:tab w:val="right" w:leader="dot" w:pos="9468"/>
        </w:tabs>
      </w:pPr>
      <w:r>
        <w:fldChar w:fldCharType="begin"/>
      </w:r>
      <w:r>
        <w:instrText xml:space="preserve"> HYPERLINK \l _Toc14085 </w:instrText>
      </w:r>
      <w:r>
        <w:fldChar w:fldCharType="separate"/>
      </w:r>
      <w:r>
        <w:rPr>
          <w:rFonts w:hint="eastAsia" w:ascii="华文宋体" w:hAnsi="华文宋体" w:cs="华文宋体"/>
          <w:szCs w:val="24"/>
        </w:rPr>
        <w:t>5.5 实施供应商要求</w:t>
      </w:r>
      <w:r>
        <w:tab/>
      </w:r>
      <w:r>
        <w:fldChar w:fldCharType="begin"/>
      </w:r>
      <w:r>
        <w:instrText xml:space="preserve"> PAGEREF _Toc14085 \h </w:instrText>
      </w:r>
      <w:r>
        <w:fldChar w:fldCharType="separate"/>
      </w:r>
      <w:r>
        <w:t>84</w:t>
      </w:r>
      <w:r>
        <w:fldChar w:fldCharType="end"/>
      </w:r>
      <w:r>
        <w:fldChar w:fldCharType="end"/>
      </w:r>
    </w:p>
    <w:p w14:paraId="68B8DB35">
      <w:pPr>
        <w:pStyle w:val="15"/>
        <w:tabs>
          <w:tab w:val="right" w:leader="dot" w:pos="9468"/>
        </w:tabs>
      </w:pPr>
      <w:r>
        <w:fldChar w:fldCharType="begin"/>
      </w:r>
      <w:r>
        <w:instrText xml:space="preserve"> HYPERLINK \l _Toc25120 </w:instrText>
      </w:r>
      <w:r>
        <w:fldChar w:fldCharType="separate"/>
      </w:r>
      <w:r>
        <w:rPr>
          <w:rFonts w:hint="eastAsia" w:ascii="华文宋体" w:hAnsi="华文宋体" w:cs="华文宋体"/>
          <w:szCs w:val="24"/>
        </w:rPr>
        <w:t>5.6 全面培训要求</w:t>
      </w:r>
      <w:r>
        <w:tab/>
      </w:r>
      <w:r>
        <w:fldChar w:fldCharType="begin"/>
      </w:r>
      <w:r>
        <w:instrText xml:space="preserve"> PAGEREF _Toc25120 \h </w:instrText>
      </w:r>
      <w:r>
        <w:fldChar w:fldCharType="separate"/>
      </w:r>
      <w:r>
        <w:t>85</w:t>
      </w:r>
      <w:r>
        <w:fldChar w:fldCharType="end"/>
      </w:r>
      <w:r>
        <w:fldChar w:fldCharType="end"/>
      </w:r>
    </w:p>
    <w:p w14:paraId="126D67C2">
      <w:pPr>
        <w:pStyle w:val="15"/>
        <w:tabs>
          <w:tab w:val="right" w:leader="dot" w:pos="9468"/>
        </w:tabs>
      </w:pPr>
      <w:r>
        <w:fldChar w:fldCharType="begin"/>
      </w:r>
      <w:r>
        <w:instrText xml:space="preserve"> HYPERLINK \l _Toc28240 </w:instrText>
      </w:r>
      <w:r>
        <w:fldChar w:fldCharType="separate"/>
      </w:r>
      <w:r>
        <w:rPr>
          <w:rFonts w:hint="eastAsia" w:ascii="华文宋体" w:hAnsi="华文宋体" w:cs="华文宋体"/>
          <w:szCs w:val="24"/>
        </w:rPr>
        <w:t>5.7 保密管理要求</w:t>
      </w:r>
      <w:r>
        <w:tab/>
      </w:r>
      <w:r>
        <w:fldChar w:fldCharType="begin"/>
      </w:r>
      <w:r>
        <w:instrText xml:space="preserve"> PAGEREF _Toc28240 \h </w:instrText>
      </w:r>
      <w:r>
        <w:fldChar w:fldCharType="separate"/>
      </w:r>
      <w:r>
        <w:t>87</w:t>
      </w:r>
      <w:r>
        <w:fldChar w:fldCharType="end"/>
      </w:r>
      <w:r>
        <w:fldChar w:fldCharType="end"/>
      </w:r>
    </w:p>
    <w:p w14:paraId="21ADA932">
      <w:pPr>
        <w:pStyle w:val="15"/>
        <w:tabs>
          <w:tab w:val="right" w:leader="dot" w:pos="9468"/>
        </w:tabs>
      </w:pPr>
      <w:r>
        <w:fldChar w:fldCharType="begin"/>
      </w:r>
      <w:r>
        <w:instrText xml:space="preserve"> HYPERLINK \l _Toc7853 </w:instrText>
      </w:r>
      <w:r>
        <w:fldChar w:fldCharType="separate"/>
      </w:r>
      <w:r>
        <w:rPr>
          <w:rFonts w:hint="eastAsia" w:ascii="华文宋体" w:hAnsi="华文宋体" w:cs="华文宋体"/>
          <w:szCs w:val="24"/>
        </w:rPr>
        <w:t>5.8 验收要求</w:t>
      </w:r>
      <w:r>
        <w:tab/>
      </w:r>
      <w:r>
        <w:fldChar w:fldCharType="begin"/>
      </w:r>
      <w:r>
        <w:instrText xml:space="preserve"> PAGEREF _Toc7853 \h </w:instrText>
      </w:r>
      <w:r>
        <w:fldChar w:fldCharType="separate"/>
      </w:r>
      <w:r>
        <w:t>89</w:t>
      </w:r>
      <w:r>
        <w:fldChar w:fldCharType="end"/>
      </w:r>
      <w:r>
        <w:fldChar w:fldCharType="end"/>
      </w:r>
    </w:p>
    <w:p w14:paraId="52468392">
      <w:pPr>
        <w:pStyle w:val="15"/>
        <w:tabs>
          <w:tab w:val="right" w:leader="dot" w:pos="9468"/>
        </w:tabs>
      </w:pPr>
      <w:r>
        <w:fldChar w:fldCharType="begin"/>
      </w:r>
      <w:r>
        <w:instrText xml:space="preserve"> HYPERLINK \l _Toc22138 </w:instrText>
      </w:r>
      <w:r>
        <w:fldChar w:fldCharType="separate"/>
      </w:r>
      <w:r>
        <w:rPr>
          <w:rFonts w:hint="eastAsia" w:ascii="华文宋体" w:hAnsi="华文宋体" w:cs="华文宋体"/>
          <w:szCs w:val="24"/>
        </w:rPr>
        <w:t>5.9 服务保障要求</w:t>
      </w:r>
      <w:r>
        <w:tab/>
      </w:r>
      <w:r>
        <w:fldChar w:fldCharType="begin"/>
      </w:r>
      <w:r>
        <w:instrText xml:space="preserve"> PAGEREF _Toc22138 \h </w:instrText>
      </w:r>
      <w:r>
        <w:fldChar w:fldCharType="separate"/>
      </w:r>
      <w:r>
        <w:t>89</w:t>
      </w:r>
      <w:r>
        <w:fldChar w:fldCharType="end"/>
      </w:r>
      <w:r>
        <w:fldChar w:fldCharType="end"/>
      </w:r>
    </w:p>
    <w:p w14:paraId="20DA4D34">
      <w:pPr>
        <w:pStyle w:val="15"/>
        <w:tabs>
          <w:tab w:val="right" w:leader="dot" w:pos="9468"/>
        </w:tabs>
      </w:pPr>
      <w:r>
        <w:fldChar w:fldCharType="begin"/>
      </w:r>
      <w:r>
        <w:instrText xml:space="preserve"> HYPERLINK \l _Toc15700 </w:instrText>
      </w:r>
      <w:r>
        <w:fldChar w:fldCharType="separate"/>
      </w:r>
      <w:r>
        <w:rPr>
          <w:rFonts w:hint="eastAsia" w:ascii="华文宋体" w:hAnsi="华文宋体" w:cs="华文宋体"/>
          <w:szCs w:val="24"/>
        </w:rPr>
        <w:t>5.11 产品售后服务要求</w:t>
      </w:r>
      <w:r>
        <w:tab/>
      </w:r>
      <w:r>
        <w:fldChar w:fldCharType="begin"/>
      </w:r>
      <w:r>
        <w:instrText xml:space="preserve"> PAGEREF _Toc15700 \h </w:instrText>
      </w:r>
      <w:r>
        <w:fldChar w:fldCharType="separate"/>
      </w:r>
      <w:r>
        <w:t>90</w:t>
      </w:r>
      <w:r>
        <w:fldChar w:fldCharType="end"/>
      </w:r>
      <w:r>
        <w:fldChar w:fldCharType="end"/>
      </w:r>
    </w:p>
    <w:p w14:paraId="7966D779">
      <w:pPr>
        <w:pStyle w:val="15"/>
        <w:tabs>
          <w:tab w:val="right" w:leader="dot" w:pos="9468"/>
        </w:tabs>
      </w:pPr>
      <w:r>
        <w:fldChar w:fldCharType="begin"/>
      </w:r>
      <w:r>
        <w:instrText xml:space="preserve"> HYPERLINK \l _Toc4776 </w:instrText>
      </w:r>
      <w:r>
        <w:fldChar w:fldCharType="separate"/>
      </w:r>
      <w:r>
        <w:rPr>
          <w:rFonts w:hint="eastAsia" w:ascii="华文宋体" w:hAnsi="华文宋体" w:cs="华文宋体"/>
          <w:szCs w:val="24"/>
        </w:rPr>
        <w:t>5.12 知识产权要求</w:t>
      </w:r>
      <w:r>
        <w:tab/>
      </w:r>
      <w:r>
        <w:fldChar w:fldCharType="begin"/>
      </w:r>
      <w:r>
        <w:instrText xml:space="preserve"> PAGEREF _Toc4776 \h </w:instrText>
      </w:r>
      <w:r>
        <w:fldChar w:fldCharType="separate"/>
      </w:r>
      <w:r>
        <w:t>91</w:t>
      </w:r>
      <w:r>
        <w:fldChar w:fldCharType="end"/>
      </w:r>
      <w:r>
        <w:fldChar w:fldCharType="end"/>
      </w:r>
    </w:p>
    <w:p w14:paraId="57B7E1A5">
      <w:pPr>
        <w:pStyle w:val="15"/>
        <w:tabs>
          <w:tab w:val="right" w:leader="dot" w:pos="9468"/>
        </w:tabs>
      </w:pPr>
      <w:r>
        <w:fldChar w:fldCharType="begin"/>
      </w:r>
      <w:r>
        <w:instrText xml:space="preserve"> HYPERLINK \l _Toc20403 </w:instrText>
      </w:r>
      <w:r>
        <w:fldChar w:fldCharType="separate"/>
      </w:r>
      <w:r>
        <w:rPr>
          <w:rFonts w:hint="eastAsia" w:ascii="华文宋体" w:hAnsi="华文宋体" w:cs="华文宋体"/>
          <w:szCs w:val="24"/>
        </w:rPr>
        <w:t>5.13 分包要求</w:t>
      </w:r>
      <w:r>
        <w:tab/>
      </w:r>
      <w:r>
        <w:fldChar w:fldCharType="begin"/>
      </w:r>
      <w:r>
        <w:instrText xml:space="preserve"> PAGEREF _Toc20403 \h </w:instrText>
      </w:r>
      <w:r>
        <w:fldChar w:fldCharType="separate"/>
      </w:r>
      <w:r>
        <w:t>91</w:t>
      </w:r>
      <w:r>
        <w:fldChar w:fldCharType="end"/>
      </w:r>
      <w:r>
        <w:fldChar w:fldCharType="end"/>
      </w:r>
    </w:p>
    <w:p w14:paraId="46F4249A">
      <w:pPr>
        <w:pStyle w:val="14"/>
        <w:tabs>
          <w:tab w:val="right" w:leader="dot" w:pos="9468"/>
        </w:tabs>
      </w:pPr>
      <w:r>
        <w:fldChar w:fldCharType="begin"/>
      </w:r>
      <w:r>
        <w:instrText xml:space="preserve"> HYPERLINK \l _Toc27245 </w:instrText>
      </w:r>
      <w:r>
        <w:fldChar w:fldCharType="separate"/>
      </w:r>
      <w:r>
        <w:rPr>
          <w:rFonts w:hint="eastAsia"/>
          <w:szCs w:val="36"/>
        </w:rPr>
        <w:t>第六章  投标文件格式</w:t>
      </w:r>
      <w:r>
        <w:tab/>
      </w:r>
      <w:r>
        <w:fldChar w:fldCharType="begin"/>
      </w:r>
      <w:r>
        <w:instrText xml:space="preserve"> PAGEREF _Toc27245 \h </w:instrText>
      </w:r>
      <w:r>
        <w:fldChar w:fldCharType="separate"/>
      </w:r>
      <w:r>
        <w:t>93</w:t>
      </w:r>
      <w:r>
        <w:fldChar w:fldCharType="end"/>
      </w:r>
      <w:r>
        <w:fldChar w:fldCharType="end"/>
      </w:r>
    </w:p>
    <w:p w14:paraId="5B00C7D6">
      <w:pPr>
        <w:pStyle w:val="15"/>
        <w:tabs>
          <w:tab w:val="right" w:leader="dot" w:pos="9468"/>
        </w:tabs>
      </w:pPr>
      <w:r>
        <w:fldChar w:fldCharType="begin"/>
      </w:r>
      <w:r>
        <w:instrText xml:space="preserve"> HYPERLINK \l _Toc18654 </w:instrText>
      </w:r>
      <w:r>
        <w:fldChar w:fldCharType="separate"/>
      </w:r>
      <w:r>
        <w:rPr>
          <w:rFonts w:hint="eastAsia" w:ascii="宋体" w:hAnsi="宋体"/>
          <w:kern w:val="0"/>
          <w:szCs w:val="44"/>
        </w:rPr>
        <w:t>一、投标文件封面（格式）</w:t>
      </w:r>
      <w:r>
        <w:tab/>
      </w:r>
      <w:r>
        <w:fldChar w:fldCharType="begin"/>
      </w:r>
      <w:r>
        <w:instrText xml:space="preserve"> PAGEREF _Toc18654 \h </w:instrText>
      </w:r>
      <w:r>
        <w:fldChar w:fldCharType="separate"/>
      </w:r>
      <w:r>
        <w:t>93</w:t>
      </w:r>
      <w:r>
        <w:fldChar w:fldCharType="end"/>
      </w:r>
      <w:r>
        <w:fldChar w:fldCharType="end"/>
      </w:r>
    </w:p>
    <w:p w14:paraId="64D37402">
      <w:pPr>
        <w:pStyle w:val="12"/>
        <w:tabs>
          <w:tab w:val="right" w:leader="dot" w:pos="9468"/>
        </w:tabs>
      </w:pPr>
      <w:r>
        <w:fldChar w:fldCharType="begin"/>
      </w:r>
      <w:r>
        <w:instrText xml:space="preserve"> HYPERLINK \l _Toc29983 </w:instrText>
      </w:r>
      <w:r>
        <w:fldChar w:fldCharType="separate"/>
      </w:r>
      <w:r>
        <w:rPr>
          <w:rFonts w:hint="eastAsia" w:ascii="方正公文小标宋" w:hAnsi="方正公文小标宋" w:eastAsia="方正公文小标宋"/>
          <w:szCs w:val="36"/>
        </w:rPr>
        <w:t xml:space="preserve">目 </w:t>
      </w:r>
      <w:r>
        <w:rPr>
          <w:rFonts w:ascii="方正公文小标宋" w:hAnsi="方正公文小标宋" w:eastAsia="方正公文小标宋"/>
          <w:szCs w:val="36"/>
        </w:rPr>
        <w:t xml:space="preserve"> </w:t>
      </w:r>
      <w:r>
        <w:rPr>
          <w:rFonts w:hint="eastAsia" w:ascii="方正公文小标宋" w:hAnsi="方正公文小标宋" w:eastAsia="方正公文小标宋"/>
          <w:szCs w:val="36"/>
        </w:rPr>
        <w:t>录</w:t>
      </w:r>
      <w:r>
        <w:tab/>
      </w:r>
      <w:r>
        <w:fldChar w:fldCharType="begin"/>
      </w:r>
      <w:r>
        <w:instrText xml:space="preserve"> PAGEREF _Toc29983 \h </w:instrText>
      </w:r>
      <w:r>
        <w:fldChar w:fldCharType="separate"/>
      </w:r>
      <w:r>
        <w:t>95</w:t>
      </w:r>
      <w:r>
        <w:fldChar w:fldCharType="end"/>
      </w:r>
      <w:r>
        <w:fldChar w:fldCharType="end"/>
      </w:r>
    </w:p>
    <w:p w14:paraId="72CF694A">
      <w:pPr>
        <w:pStyle w:val="12"/>
        <w:tabs>
          <w:tab w:val="right" w:leader="dot" w:pos="9468"/>
        </w:tabs>
      </w:pPr>
      <w:r>
        <w:fldChar w:fldCharType="begin"/>
      </w:r>
      <w:r>
        <w:instrText xml:space="preserve"> HYPERLINK \l _Toc24396 </w:instrText>
      </w:r>
      <w:r>
        <w:fldChar w:fldCharType="separate"/>
      </w:r>
      <w:r>
        <w:rPr>
          <w:szCs w:val="28"/>
        </w:rPr>
        <w:t>索引表</w:t>
      </w:r>
      <w:r>
        <w:tab/>
      </w:r>
      <w:r>
        <w:fldChar w:fldCharType="begin"/>
      </w:r>
      <w:r>
        <w:instrText xml:space="preserve"> PAGEREF _Toc24396 \h </w:instrText>
      </w:r>
      <w:r>
        <w:fldChar w:fldCharType="separate"/>
      </w:r>
      <w:r>
        <w:t>96</w:t>
      </w:r>
      <w:r>
        <w:fldChar w:fldCharType="end"/>
      </w:r>
      <w:r>
        <w:fldChar w:fldCharType="end"/>
      </w:r>
    </w:p>
    <w:p w14:paraId="68A6CEC5">
      <w:pPr>
        <w:pStyle w:val="12"/>
        <w:tabs>
          <w:tab w:val="right" w:leader="dot" w:pos="9468"/>
        </w:tabs>
      </w:pPr>
      <w:r>
        <w:fldChar w:fldCharType="begin"/>
      </w:r>
      <w:r>
        <w:instrText xml:space="preserve"> HYPERLINK \l _Toc17128 </w:instrText>
      </w:r>
      <w:r>
        <w:fldChar w:fldCharType="separate"/>
      </w:r>
      <w:r>
        <w:rPr>
          <w:szCs w:val="28"/>
        </w:rPr>
        <w:t>索引表1-投标人资格要求内容</w:t>
      </w:r>
      <w:r>
        <w:tab/>
      </w:r>
      <w:r>
        <w:fldChar w:fldCharType="begin"/>
      </w:r>
      <w:r>
        <w:instrText xml:space="preserve"> PAGEREF _Toc17128 \h </w:instrText>
      </w:r>
      <w:r>
        <w:fldChar w:fldCharType="separate"/>
      </w:r>
      <w:r>
        <w:t>96</w:t>
      </w:r>
      <w:r>
        <w:fldChar w:fldCharType="end"/>
      </w:r>
      <w:r>
        <w:fldChar w:fldCharType="end"/>
      </w:r>
    </w:p>
    <w:p w14:paraId="75BC6EC9">
      <w:pPr>
        <w:pStyle w:val="12"/>
        <w:tabs>
          <w:tab w:val="right" w:leader="dot" w:pos="9468"/>
        </w:tabs>
      </w:pPr>
      <w:r>
        <w:fldChar w:fldCharType="begin"/>
      </w:r>
      <w:r>
        <w:instrText xml:space="preserve"> HYPERLINK \l _Toc9436 </w:instrText>
      </w:r>
      <w:r>
        <w:fldChar w:fldCharType="separate"/>
      </w:r>
      <w:r>
        <w:rPr>
          <w:rFonts w:hint="eastAsia"/>
          <w:szCs w:val="28"/>
        </w:rPr>
        <w:t>索引表2-综合评审内容</w:t>
      </w:r>
      <w:r>
        <w:tab/>
      </w:r>
      <w:r>
        <w:fldChar w:fldCharType="begin"/>
      </w:r>
      <w:r>
        <w:instrText xml:space="preserve"> PAGEREF _Toc9436 \h </w:instrText>
      </w:r>
      <w:r>
        <w:fldChar w:fldCharType="separate"/>
      </w:r>
      <w:r>
        <w:t>98</w:t>
      </w:r>
      <w:r>
        <w:fldChar w:fldCharType="end"/>
      </w:r>
      <w:r>
        <w:fldChar w:fldCharType="end"/>
      </w:r>
    </w:p>
    <w:p w14:paraId="50C2196E">
      <w:pPr>
        <w:pStyle w:val="15"/>
        <w:tabs>
          <w:tab w:val="right" w:leader="dot" w:pos="9468"/>
        </w:tabs>
      </w:pPr>
      <w:r>
        <w:fldChar w:fldCharType="begin"/>
      </w:r>
      <w:r>
        <w:instrText xml:space="preserve"> HYPERLINK \l _Toc16154 </w:instrText>
      </w:r>
      <w:r>
        <w:fldChar w:fldCharType="separate"/>
      </w:r>
      <w:r>
        <w:rPr>
          <w:rFonts w:ascii="华文宋体" w:hAnsi="华文宋体"/>
          <w:bCs w:val="0"/>
          <w:szCs w:val="36"/>
        </w:rPr>
        <w:t>二、</w:t>
      </w:r>
      <w:r>
        <w:rPr>
          <w:rFonts w:hint="eastAsia" w:ascii="华文宋体" w:hAnsi="华文宋体"/>
          <w:bCs w:val="0"/>
          <w:szCs w:val="36"/>
        </w:rPr>
        <w:t>投标</w:t>
      </w:r>
      <w:r>
        <w:rPr>
          <w:rFonts w:ascii="华文宋体" w:hAnsi="华文宋体"/>
          <w:bCs w:val="0"/>
          <w:szCs w:val="36"/>
        </w:rPr>
        <w:t>文件（格式）</w:t>
      </w:r>
      <w:r>
        <w:tab/>
      </w:r>
      <w:r>
        <w:fldChar w:fldCharType="begin"/>
      </w:r>
      <w:r>
        <w:instrText xml:space="preserve"> PAGEREF _Toc16154 \h </w:instrText>
      </w:r>
      <w:r>
        <w:fldChar w:fldCharType="separate"/>
      </w:r>
      <w:r>
        <w:t>107</w:t>
      </w:r>
      <w:r>
        <w:fldChar w:fldCharType="end"/>
      </w:r>
      <w:r>
        <w:fldChar w:fldCharType="end"/>
      </w:r>
    </w:p>
    <w:p w14:paraId="043922DC">
      <w:pPr>
        <w:pStyle w:val="12"/>
        <w:tabs>
          <w:tab w:val="right" w:leader="dot" w:pos="9468"/>
        </w:tabs>
      </w:pPr>
      <w:r>
        <w:fldChar w:fldCharType="begin"/>
      </w:r>
      <w:r>
        <w:instrText xml:space="preserve"> HYPERLINK \l _Toc15551 </w:instrText>
      </w:r>
      <w:r>
        <w:fldChar w:fldCharType="separate"/>
      </w:r>
      <w:r>
        <w:rPr>
          <w:rFonts w:hint="eastAsia"/>
          <w:szCs w:val="32"/>
        </w:rPr>
        <w:t>1. 投 标 函</w:t>
      </w:r>
      <w:r>
        <w:tab/>
      </w:r>
      <w:r>
        <w:fldChar w:fldCharType="begin"/>
      </w:r>
      <w:r>
        <w:instrText xml:space="preserve"> PAGEREF _Toc15551 \h </w:instrText>
      </w:r>
      <w:r>
        <w:fldChar w:fldCharType="separate"/>
      </w:r>
      <w:r>
        <w:t>107</w:t>
      </w:r>
      <w:r>
        <w:fldChar w:fldCharType="end"/>
      </w:r>
      <w:r>
        <w:fldChar w:fldCharType="end"/>
      </w:r>
    </w:p>
    <w:p w14:paraId="491143F3">
      <w:pPr>
        <w:pStyle w:val="12"/>
        <w:tabs>
          <w:tab w:val="right" w:leader="dot" w:pos="9468"/>
        </w:tabs>
      </w:pPr>
      <w:r>
        <w:fldChar w:fldCharType="begin"/>
      </w:r>
      <w:r>
        <w:instrText xml:space="preserve"> HYPERLINK \l _Toc30887 </w:instrText>
      </w:r>
      <w:r>
        <w:fldChar w:fldCharType="separate"/>
      </w:r>
      <w:r>
        <w:rPr>
          <w:rFonts w:hint="eastAsia"/>
          <w:szCs w:val="32"/>
          <w:lang w:val="en-US" w:eastAsia="zh-CN"/>
        </w:rPr>
        <w:t>2</w:t>
      </w:r>
      <w:r>
        <w:rPr>
          <w:rFonts w:hint="eastAsia"/>
          <w:szCs w:val="32"/>
        </w:rPr>
        <w:t>.投标人法定代表人授权委托书</w:t>
      </w:r>
      <w:r>
        <w:tab/>
      </w:r>
      <w:r>
        <w:fldChar w:fldCharType="begin"/>
      </w:r>
      <w:r>
        <w:instrText xml:space="preserve"> PAGEREF _Toc30887 \h </w:instrText>
      </w:r>
      <w:r>
        <w:fldChar w:fldCharType="separate"/>
      </w:r>
      <w:r>
        <w:t>111</w:t>
      </w:r>
      <w:r>
        <w:fldChar w:fldCharType="end"/>
      </w:r>
      <w:r>
        <w:fldChar w:fldCharType="end"/>
      </w:r>
    </w:p>
    <w:p w14:paraId="6063BB43">
      <w:pPr>
        <w:pStyle w:val="12"/>
        <w:tabs>
          <w:tab w:val="right" w:leader="dot" w:pos="9468"/>
        </w:tabs>
      </w:pPr>
      <w:r>
        <w:fldChar w:fldCharType="begin"/>
      </w:r>
      <w:r>
        <w:instrText xml:space="preserve"> HYPERLINK \l _Toc6298 </w:instrText>
      </w:r>
      <w:r>
        <w:fldChar w:fldCharType="separate"/>
      </w:r>
      <w:r>
        <w:rPr>
          <w:rFonts w:hint="eastAsia" w:ascii="Times New Roman" w:hAnsi="Times New Roman" w:eastAsia="华文宋体" w:cs="Times New Roman"/>
          <w:kern w:val="2"/>
          <w:lang w:val="en-US" w:eastAsia="zh-CN" w:bidi="ar-SA"/>
        </w:rPr>
        <w:t>3.投标保证金承诺函及凭证</w:t>
      </w:r>
      <w:r>
        <w:tab/>
      </w:r>
      <w:r>
        <w:fldChar w:fldCharType="begin"/>
      </w:r>
      <w:r>
        <w:instrText xml:space="preserve"> PAGEREF _Toc6298 \h </w:instrText>
      </w:r>
      <w:r>
        <w:fldChar w:fldCharType="separate"/>
      </w:r>
      <w:r>
        <w:t>112</w:t>
      </w:r>
      <w:r>
        <w:fldChar w:fldCharType="end"/>
      </w:r>
      <w:r>
        <w:fldChar w:fldCharType="end"/>
      </w:r>
    </w:p>
    <w:p w14:paraId="329E3E72">
      <w:pPr>
        <w:pStyle w:val="12"/>
        <w:tabs>
          <w:tab w:val="right" w:leader="dot" w:pos="9468"/>
        </w:tabs>
      </w:pPr>
      <w:r>
        <w:fldChar w:fldCharType="begin"/>
      </w:r>
      <w:r>
        <w:instrText xml:space="preserve"> HYPERLINK \l _Toc10031 </w:instrText>
      </w:r>
      <w:r>
        <w:fldChar w:fldCharType="separate"/>
      </w:r>
      <w:r>
        <w:rPr>
          <w:rFonts w:ascii="Times New Roman" w:hAnsi="Times New Roman" w:eastAsia="华文宋体" w:cs="Times New Roman"/>
          <w:kern w:val="2"/>
          <w:szCs w:val="32"/>
          <w:lang w:val="en-US" w:eastAsia="zh-CN" w:bidi="ar-SA"/>
        </w:rPr>
        <w:t xml:space="preserve">4. </w:t>
      </w:r>
      <w:r>
        <w:rPr>
          <w:rFonts w:hint="eastAsia" w:ascii="Times New Roman" w:hAnsi="Times New Roman" w:eastAsia="华文宋体" w:cs="Times New Roman"/>
          <w:kern w:val="2"/>
          <w:szCs w:val="32"/>
          <w:lang w:val="en-US" w:eastAsia="zh-CN" w:bidi="ar-SA"/>
        </w:rPr>
        <w:t>投标报价书</w:t>
      </w:r>
      <w:r>
        <w:tab/>
      </w:r>
      <w:r>
        <w:fldChar w:fldCharType="begin"/>
      </w:r>
      <w:r>
        <w:instrText xml:space="preserve"> PAGEREF _Toc10031 \h </w:instrText>
      </w:r>
      <w:r>
        <w:fldChar w:fldCharType="separate"/>
      </w:r>
      <w:r>
        <w:t>114</w:t>
      </w:r>
      <w:r>
        <w:fldChar w:fldCharType="end"/>
      </w:r>
      <w:r>
        <w:fldChar w:fldCharType="end"/>
      </w:r>
    </w:p>
    <w:p w14:paraId="5647F593">
      <w:pPr>
        <w:pStyle w:val="12"/>
        <w:tabs>
          <w:tab w:val="right" w:leader="dot" w:pos="9468"/>
        </w:tabs>
      </w:pPr>
      <w:r>
        <w:fldChar w:fldCharType="begin"/>
      </w:r>
      <w:r>
        <w:instrText xml:space="preserve"> HYPERLINK \l _Toc13271 </w:instrText>
      </w:r>
      <w:r>
        <w:fldChar w:fldCharType="separate"/>
      </w:r>
      <w:r>
        <w:rPr>
          <w:rFonts w:hint="eastAsia" w:ascii="Times New Roman" w:hAnsi="Times New Roman" w:eastAsia="华文宋体" w:cs="Times New Roman"/>
          <w:kern w:val="2"/>
          <w:lang w:val="en-US" w:eastAsia="zh-CN" w:bidi="ar-SA"/>
        </w:rPr>
        <w:t>5.</w:t>
      </w:r>
      <w:r>
        <w:rPr>
          <w:rFonts w:ascii="Times New Roman" w:hAnsi="Times New Roman" w:eastAsia="华文宋体" w:cs="Times New Roman"/>
          <w:kern w:val="2"/>
          <w:lang w:val="en-US" w:eastAsia="zh-CN" w:bidi="ar-SA"/>
        </w:rPr>
        <w:t>资格审查资料</w:t>
      </w:r>
      <w:r>
        <w:tab/>
      </w:r>
      <w:r>
        <w:fldChar w:fldCharType="begin"/>
      </w:r>
      <w:r>
        <w:instrText xml:space="preserve"> PAGEREF _Toc13271 \h </w:instrText>
      </w:r>
      <w:r>
        <w:fldChar w:fldCharType="separate"/>
      </w:r>
      <w:r>
        <w:t>117</w:t>
      </w:r>
      <w:r>
        <w:fldChar w:fldCharType="end"/>
      </w:r>
      <w:r>
        <w:fldChar w:fldCharType="end"/>
      </w:r>
    </w:p>
    <w:p w14:paraId="12B4C572">
      <w:pPr>
        <w:pStyle w:val="12"/>
        <w:tabs>
          <w:tab w:val="right" w:leader="dot" w:pos="9468"/>
        </w:tabs>
      </w:pPr>
      <w:r>
        <w:fldChar w:fldCharType="begin"/>
      </w:r>
      <w:r>
        <w:instrText xml:space="preserve"> HYPERLINK \l _Toc6551 </w:instrText>
      </w:r>
      <w:r>
        <w:fldChar w:fldCharType="separate"/>
      </w:r>
      <w:r>
        <w:rPr>
          <w:rFonts w:hint="eastAsia" w:ascii="Times New Roman" w:hAnsi="Times New Roman" w:eastAsia="华文宋体" w:cs="Times New Roman"/>
          <w:kern w:val="2"/>
          <w:lang w:val="en-US" w:eastAsia="zh-CN" w:bidi="ar-SA"/>
        </w:rPr>
        <w:t>6.资质要求</w:t>
      </w:r>
      <w:r>
        <w:tab/>
      </w:r>
      <w:r>
        <w:fldChar w:fldCharType="begin"/>
      </w:r>
      <w:r>
        <w:instrText xml:space="preserve"> PAGEREF _Toc6551 \h </w:instrText>
      </w:r>
      <w:r>
        <w:fldChar w:fldCharType="separate"/>
      </w:r>
      <w:r>
        <w:t>120</w:t>
      </w:r>
      <w:r>
        <w:fldChar w:fldCharType="end"/>
      </w:r>
      <w:r>
        <w:fldChar w:fldCharType="end"/>
      </w:r>
    </w:p>
    <w:p w14:paraId="2C08E833">
      <w:pPr>
        <w:pStyle w:val="12"/>
        <w:tabs>
          <w:tab w:val="right" w:leader="dot" w:pos="9468"/>
        </w:tabs>
      </w:pPr>
      <w:r>
        <w:fldChar w:fldCharType="begin"/>
      </w:r>
      <w:r>
        <w:instrText xml:space="preserve"> HYPERLINK \l _Toc26211 </w:instrText>
      </w:r>
      <w:r>
        <w:fldChar w:fldCharType="separate"/>
      </w:r>
      <w:r>
        <w:rPr>
          <w:rFonts w:hint="eastAsia" w:ascii="Times New Roman" w:hAnsi="Times New Roman" w:eastAsia="华文宋体" w:cs="Times New Roman"/>
          <w:kern w:val="2"/>
          <w:lang w:val="en-US" w:eastAsia="zh-CN" w:bidi="ar-SA"/>
        </w:rPr>
        <w:t>7.信誉要求</w:t>
      </w:r>
      <w:r>
        <w:tab/>
      </w:r>
      <w:r>
        <w:fldChar w:fldCharType="begin"/>
      </w:r>
      <w:r>
        <w:instrText xml:space="preserve"> PAGEREF _Toc26211 \h </w:instrText>
      </w:r>
      <w:r>
        <w:fldChar w:fldCharType="separate"/>
      </w:r>
      <w:r>
        <w:t>121</w:t>
      </w:r>
      <w:r>
        <w:fldChar w:fldCharType="end"/>
      </w:r>
      <w:r>
        <w:fldChar w:fldCharType="end"/>
      </w:r>
    </w:p>
    <w:p w14:paraId="36A3A8E7">
      <w:pPr>
        <w:pStyle w:val="12"/>
        <w:tabs>
          <w:tab w:val="right" w:leader="dot" w:pos="9468"/>
        </w:tabs>
      </w:pPr>
      <w:r>
        <w:fldChar w:fldCharType="begin"/>
      </w:r>
      <w:r>
        <w:instrText xml:space="preserve"> HYPERLINK \l _Toc25161 </w:instrText>
      </w:r>
      <w:r>
        <w:fldChar w:fldCharType="separate"/>
      </w:r>
      <w:r>
        <w:rPr>
          <w:rFonts w:hint="eastAsia" w:ascii="Times New Roman" w:hAnsi="Times New Roman" w:eastAsia="华文宋体" w:cs="Times New Roman"/>
          <w:kern w:val="2"/>
          <w:lang w:val="en-US" w:eastAsia="zh-CN" w:bidi="ar-SA"/>
        </w:rPr>
        <w:t>8.2023年至今业绩</w:t>
      </w:r>
      <w:r>
        <w:tab/>
      </w:r>
      <w:r>
        <w:fldChar w:fldCharType="begin"/>
      </w:r>
      <w:r>
        <w:instrText xml:space="preserve"> PAGEREF _Toc25161 \h </w:instrText>
      </w:r>
      <w:r>
        <w:fldChar w:fldCharType="separate"/>
      </w:r>
      <w:r>
        <w:t>122</w:t>
      </w:r>
      <w:r>
        <w:fldChar w:fldCharType="end"/>
      </w:r>
      <w:r>
        <w:fldChar w:fldCharType="end"/>
      </w:r>
    </w:p>
    <w:p w14:paraId="2FD1CC6F">
      <w:pPr>
        <w:pStyle w:val="12"/>
        <w:tabs>
          <w:tab w:val="right" w:leader="dot" w:pos="9468"/>
        </w:tabs>
      </w:pPr>
      <w:r>
        <w:fldChar w:fldCharType="begin"/>
      </w:r>
      <w:r>
        <w:instrText xml:space="preserve"> HYPERLINK \l _Toc29287 </w:instrText>
      </w:r>
      <w:r>
        <w:fldChar w:fldCharType="separate"/>
      </w:r>
      <w:r>
        <w:rPr>
          <w:rFonts w:hint="eastAsia" w:cs="Times New Roman"/>
          <w:kern w:val="2"/>
          <w:lang w:val="en-US" w:eastAsia="zh-CN" w:bidi="ar-SA"/>
        </w:rPr>
        <w:t>9.其他要求</w:t>
      </w:r>
      <w:r>
        <w:tab/>
      </w:r>
      <w:r>
        <w:fldChar w:fldCharType="begin"/>
      </w:r>
      <w:r>
        <w:instrText xml:space="preserve"> PAGEREF _Toc29287 \h </w:instrText>
      </w:r>
      <w:r>
        <w:fldChar w:fldCharType="separate"/>
      </w:r>
      <w:r>
        <w:t>124</w:t>
      </w:r>
      <w:r>
        <w:fldChar w:fldCharType="end"/>
      </w:r>
      <w:r>
        <w:fldChar w:fldCharType="end"/>
      </w:r>
    </w:p>
    <w:p w14:paraId="693B8859">
      <w:pPr>
        <w:pStyle w:val="12"/>
        <w:tabs>
          <w:tab w:val="right" w:leader="dot" w:pos="9468"/>
        </w:tabs>
      </w:pPr>
      <w:r>
        <w:fldChar w:fldCharType="begin"/>
      </w:r>
      <w:r>
        <w:instrText xml:space="preserve"> HYPERLINK \l _Toc30352 </w:instrText>
      </w:r>
      <w:r>
        <w:fldChar w:fldCharType="separate"/>
      </w:r>
      <w:r>
        <w:rPr>
          <w:rFonts w:hint="eastAsia"/>
          <w:szCs w:val="21"/>
        </w:rPr>
        <w:t>1</w:t>
      </w:r>
      <w:r>
        <w:rPr>
          <w:rFonts w:hint="eastAsia"/>
          <w:szCs w:val="21"/>
          <w:lang w:val="en-US" w:eastAsia="zh-CN"/>
        </w:rPr>
        <w:t>0</w:t>
      </w:r>
      <w:r>
        <w:rPr>
          <w:rFonts w:hint="eastAsia"/>
          <w:szCs w:val="21"/>
        </w:rPr>
        <w:t>. 技术/服务方案</w:t>
      </w:r>
      <w:r>
        <w:tab/>
      </w:r>
      <w:r>
        <w:fldChar w:fldCharType="begin"/>
      </w:r>
      <w:r>
        <w:instrText xml:space="preserve"> PAGEREF _Toc30352 \h </w:instrText>
      </w:r>
      <w:r>
        <w:fldChar w:fldCharType="separate"/>
      </w:r>
      <w:r>
        <w:t>125</w:t>
      </w:r>
      <w:r>
        <w:fldChar w:fldCharType="end"/>
      </w:r>
      <w:r>
        <w:fldChar w:fldCharType="end"/>
      </w:r>
    </w:p>
    <w:p w14:paraId="27CFB85E">
      <w:pPr>
        <w:pStyle w:val="12"/>
        <w:tabs>
          <w:tab w:val="right" w:leader="dot" w:pos="9468"/>
        </w:tabs>
      </w:pPr>
      <w:r>
        <w:fldChar w:fldCharType="begin"/>
      </w:r>
      <w:r>
        <w:instrText xml:space="preserve"> HYPERLINK \l _Toc19646 </w:instrText>
      </w:r>
      <w:r>
        <w:fldChar w:fldCharType="separate"/>
      </w:r>
      <w:r>
        <w:rPr>
          <w:rFonts w:hint="eastAsia"/>
          <w:szCs w:val="32"/>
        </w:rPr>
        <w:t>1</w:t>
      </w:r>
      <w:r>
        <w:rPr>
          <w:rFonts w:hint="eastAsia"/>
          <w:szCs w:val="32"/>
          <w:lang w:val="en-US" w:eastAsia="zh-CN"/>
        </w:rPr>
        <w:t>1</w:t>
      </w:r>
      <w:r>
        <w:rPr>
          <w:rFonts w:hint="eastAsia"/>
          <w:szCs w:val="32"/>
        </w:rPr>
        <w:t>. 投标人拟提供的其他资料</w:t>
      </w:r>
      <w:r>
        <w:tab/>
      </w:r>
      <w:r>
        <w:fldChar w:fldCharType="begin"/>
      </w:r>
      <w:r>
        <w:instrText xml:space="preserve"> PAGEREF _Toc19646 \h </w:instrText>
      </w:r>
      <w:r>
        <w:fldChar w:fldCharType="separate"/>
      </w:r>
      <w:r>
        <w:t>126</w:t>
      </w:r>
      <w:r>
        <w:fldChar w:fldCharType="end"/>
      </w:r>
      <w:r>
        <w:fldChar w:fldCharType="end"/>
      </w:r>
    </w:p>
    <w:p w14:paraId="7501D160">
      <w:pPr>
        <w:pStyle w:val="12"/>
        <w:tabs>
          <w:tab w:val="right" w:leader="dot" w:pos="9468"/>
        </w:tabs>
      </w:pPr>
      <w:r>
        <w:fldChar w:fldCharType="begin"/>
      </w:r>
      <w:r>
        <w:instrText xml:space="preserve"> HYPERLINK \l _Toc25000 </w:instrText>
      </w:r>
      <w:r>
        <w:fldChar w:fldCharType="separate"/>
      </w:r>
      <w:r>
        <w:rPr>
          <w:rFonts w:hint="eastAsia"/>
        </w:rPr>
        <w:t>1</w:t>
      </w:r>
      <w:r>
        <w:rPr>
          <w:rFonts w:hint="eastAsia"/>
          <w:lang w:val="en-US" w:eastAsia="zh-CN"/>
        </w:rPr>
        <w:t>2</w:t>
      </w:r>
      <w:r>
        <w:rPr>
          <w:rFonts w:hint="eastAsia"/>
        </w:rPr>
        <w:t>. 商务和技术差异表</w:t>
      </w:r>
      <w:r>
        <w:tab/>
      </w:r>
      <w:r>
        <w:fldChar w:fldCharType="begin"/>
      </w:r>
      <w:r>
        <w:instrText xml:space="preserve"> PAGEREF _Toc25000 \h </w:instrText>
      </w:r>
      <w:r>
        <w:fldChar w:fldCharType="separate"/>
      </w:r>
      <w:r>
        <w:t>127</w:t>
      </w:r>
      <w:r>
        <w:fldChar w:fldCharType="end"/>
      </w:r>
      <w:r>
        <w:fldChar w:fldCharType="end"/>
      </w:r>
    </w:p>
    <w:p w14:paraId="6A2E4354">
      <w:pPr>
        <w:ind w:firstLine="480"/>
      </w:pPr>
      <w:r>
        <w:fldChar w:fldCharType="end"/>
      </w:r>
      <w:r>
        <w:br w:type="page"/>
      </w:r>
    </w:p>
    <w:p w14:paraId="2824736D">
      <w:pPr>
        <w:keepNext/>
        <w:keepLines/>
        <w:pageBreakBefore/>
        <w:ind w:left="482" w:firstLine="0" w:firstLineChars="0"/>
        <w:jc w:val="center"/>
        <w:outlineLvl w:val="0"/>
        <w:rPr>
          <w:rStyle w:val="27"/>
          <w:rFonts w:hint="eastAsia"/>
        </w:rPr>
      </w:pPr>
      <w:bookmarkStart w:id="2" w:name="_Toc25294"/>
      <w:bookmarkStart w:id="3" w:name="_Toc1195310857"/>
      <w:bookmarkStart w:id="4" w:name="_Toc4997"/>
      <w:bookmarkStart w:id="5" w:name="_Toc782823504"/>
      <w:bookmarkStart w:id="6" w:name="_Toc1388235647"/>
      <w:bookmarkStart w:id="7" w:name="_Toc94727974"/>
      <w:bookmarkStart w:id="8" w:name="_Toc670256587"/>
      <w:bookmarkStart w:id="9" w:name="_Toc177821812"/>
      <w:bookmarkStart w:id="10" w:name="_Toc941608569"/>
      <w:bookmarkStart w:id="11" w:name="_Toc1145008504"/>
      <w:bookmarkStart w:id="12" w:name="_Toc3671"/>
      <w:r>
        <w:rPr>
          <w:rStyle w:val="27"/>
        </w:rPr>
        <w:t>第一章</w:t>
      </w:r>
      <w:r>
        <w:rPr>
          <w:rStyle w:val="27"/>
          <w:rFonts w:hint="eastAsia"/>
        </w:rPr>
        <w:t xml:space="preserve"> </w:t>
      </w:r>
      <w:r>
        <w:rPr>
          <w:rStyle w:val="27"/>
        </w:rPr>
        <w:t>招标公告</w:t>
      </w:r>
      <w:bookmarkEnd w:id="2"/>
      <w:bookmarkEnd w:id="3"/>
      <w:bookmarkEnd w:id="4"/>
      <w:bookmarkEnd w:id="5"/>
      <w:bookmarkEnd w:id="6"/>
      <w:bookmarkEnd w:id="7"/>
      <w:bookmarkEnd w:id="8"/>
      <w:bookmarkEnd w:id="9"/>
      <w:bookmarkEnd w:id="10"/>
      <w:bookmarkEnd w:id="11"/>
      <w:bookmarkEnd w:id="12"/>
    </w:p>
    <w:p w14:paraId="56DCA5E3">
      <w:pPr>
        <w:pStyle w:val="4"/>
        <w:spacing w:before="312" w:after="312"/>
        <w:ind w:firstLine="641"/>
        <w:rPr>
          <w:szCs w:val="24"/>
        </w:rPr>
      </w:pPr>
      <w:bookmarkStart w:id="13" w:name="_Toc1644101319"/>
      <w:bookmarkStart w:id="14" w:name="_Toc2027539561"/>
      <w:bookmarkStart w:id="15" w:name="_Toc1814178121"/>
      <w:bookmarkStart w:id="16" w:name="_Toc1450729194"/>
      <w:bookmarkStart w:id="17" w:name="_Toc1429810206"/>
      <w:bookmarkStart w:id="18" w:name="_Toc807676591"/>
      <w:bookmarkStart w:id="19" w:name="_Toc13613"/>
      <w:bookmarkStart w:id="20" w:name="_Toc23520"/>
      <w:bookmarkStart w:id="21" w:name="_Toc556965961"/>
      <w:bookmarkStart w:id="22" w:name="_Toc1501441307"/>
      <w:bookmarkStart w:id="23" w:name="_Toc808224440"/>
      <w:bookmarkStart w:id="24" w:name="_Toc4061"/>
      <w:r>
        <w:rPr>
          <w:rFonts w:ascii="Times New Roman" w:hAnsi="Times New Roman" w:cs="Times New Roman Regular"/>
          <w:szCs w:val="24"/>
        </w:rPr>
        <w:t>1</w:t>
      </w:r>
      <w:r>
        <w:rPr>
          <w:rFonts w:ascii="Times New Roman Regular" w:hAnsi="Times New Roman Regular" w:cs="Times New Roman Regular"/>
          <w:szCs w:val="24"/>
        </w:rPr>
        <w:t>.</w:t>
      </w:r>
      <w:r>
        <w:rPr>
          <w:rFonts w:hint="eastAsia"/>
          <w:szCs w:val="24"/>
        </w:rPr>
        <w:t>招标条件</w:t>
      </w:r>
      <w:bookmarkEnd w:id="13"/>
      <w:bookmarkEnd w:id="14"/>
      <w:bookmarkEnd w:id="15"/>
      <w:bookmarkEnd w:id="16"/>
      <w:bookmarkEnd w:id="17"/>
      <w:bookmarkEnd w:id="18"/>
      <w:bookmarkEnd w:id="19"/>
      <w:bookmarkEnd w:id="20"/>
      <w:bookmarkEnd w:id="21"/>
      <w:bookmarkEnd w:id="22"/>
      <w:bookmarkEnd w:id="23"/>
      <w:bookmarkEnd w:id="24"/>
    </w:p>
    <w:p w14:paraId="1875E482">
      <w:pPr>
        <w:ind w:firstLine="480"/>
      </w:pPr>
      <w:r>
        <w:t>本招标</w:t>
      </w:r>
      <w:r>
        <w:rPr>
          <w:color w:val="000000" w:themeColor="text1"/>
          <w14:textFill>
            <w14:solidFill>
              <w14:schemeClr w14:val="tx1"/>
            </w14:solidFill>
          </w14:textFill>
        </w:rPr>
        <w:t>项目为</w:t>
      </w:r>
      <w:r>
        <w:rPr>
          <w:rFonts w:hint="eastAsia"/>
          <w:color w:val="000000" w:themeColor="text1"/>
          <w:u w:val="single"/>
          <w14:textFill>
            <w14:solidFill>
              <w14:schemeClr w14:val="tx1"/>
            </w14:solidFill>
          </w14:textFill>
        </w:rPr>
        <w:t>基于MBD的产品智能配置管理系统采购</w:t>
      </w:r>
      <w:r>
        <w:rPr>
          <w:rFonts w:hint="eastAsia"/>
          <w:color w:val="000000" w:themeColor="text1"/>
          <w14:textFill>
            <w14:solidFill>
              <w14:schemeClr w14:val="tx1"/>
            </w14:solidFill>
          </w14:textFill>
        </w:rPr>
        <w:t>，项目编号为：</w:t>
      </w:r>
      <w:r>
        <w:rPr>
          <w:rFonts w:hint="eastAsia"/>
          <w:color w:val="000000" w:themeColor="text1"/>
          <w:u w:val="single"/>
          <w14:textFill>
            <w14:solidFill>
              <w14:schemeClr w14:val="tx1"/>
            </w14:solidFill>
          </w14:textFill>
        </w:rPr>
        <w:t>GHY-26430</w:t>
      </w:r>
      <w:r>
        <w:rPr>
          <w:rFonts w:hint="eastAsia"/>
          <w:color w:val="000000" w:themeColor="text1"/>
          <w14:textFill>
            <w14:solidFill>
              <w14:schemeClr w14:val="tx1"/>
            </w14:solidFill>
          </w14:textFill>
        </w:rPr>
        <w:t>，招标人为</w:t>
      </w:r>
      <w:r>
        <w:rPr>
          <w:rFonts w:hint="eastAsia"/>
          <w:color w:val="000000" w:themeColor="text1"/>
          <w:u w:val="single"/>
          <w14:textFill>
            <w14:solidFill>
              <w14:schemeClr w14:val="tx1"/>
            </w14:solidFill>
          </w14:textFill>
        </w:rPr>
        <w:t>中煤科工集团重庆研究院有限公司</w:t>
      </w:r>
      <w:r>
        <w:rPr>
          <w:rFonts w:hint="eastAsia"/>
          <w:color w:val="000000" w:themeColor="text1"/>
          <w14:textFill>
            <w14:solidFill>
              <w14:schemeClr w14:val="tx1"/>
            </w14:solidFill>
          </w14:textFill>
        </w:rPr>
        <w:t>，招标代理机构为</w:t>
      </w:r>
      <w:r>
        <w:rPr>
          <w:rFonts w:hint="eastAsia"/>
          <w:color w:val="000000" w:themeColor="text1"/>
          <w:u w:val="single"/>
          <w14:textFill>
            <w14:solidFill>
              <w14:schemeClr w14:val="tx1"/>
            </w14:solidFill>
          </w14:textFill>
        </w:rPr>
        <w:t>煤炭工业规划设计研究院有限公司</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本项目进行国内</w:t>
      </w:r>
      <w:r>
        <w:rPr>
          <w:rFonts w:hint="eastAsia"/>
          <w:color w:val="000000" w:themeColor="text1"/>
          <w:u w:val="single"/>
          <w14:textFill>
            <w14:solidFill>
              <w14:schemeClr w14:val="tx1"/>
            </w14:solidFill>
          </w14:textFill>
        </w:rPr>
        <w:t>公开招标</w:t>
      </w:r>
      <w:r>
        <w:rPr>
          <w:rFonts w:hint="eastAsia"/>
          <w:color w:val="000000" w:themeColor="text1"/>
          <w14:textFill>
            <w14:solidFill>
              <w14:schemeClr w14:val="tx1"/>
            </w14:solidFill>
          </w14:textFill>
        </w:rPr>
        <w:t>，请合格的</w:t>
      </w:r>
      <w:r>
        <w:rPr>
          <w:rFonts w:hint="eastAsia"/>
        </w:rPr>
        <w:t>潜在投标人参加投标。</w:t>
      </w:r>
    </w:p>
    <w:p w14:paraId="75CE4FC8">
      <w:pPr>
        <w:pStyle w:val="4"/>
        <w:spacing w:before="312" w:after="312"/>
        <w:ind w:firstLine="641"/>
      </w:pPr>
      <w:bookmarkStart w:id="25" w:name="_Toc586891131"/>
      <w:bookmarkStart w:id="26" w:name="_Toc994095805"/>
      <w:bookmarkStart w:id="27" w:name="_Toc2023719167"/>
      <w:bookmarkStart w:id="28" w:name="_Toc45689254"/>
      <w:bookmarkStart w:id="29" w:name="_Toc918859541"/>
      <w:bookmarkStart w:id="30" w:name="_Toc478122312"/>
      <w:bookmarkStart w:id="31" w:name="_Toc32043"/>
      <w:bookmarkStart w:id="32" w:name="_Toc9266"/>
      <w:bookmarkStart w:id="33" w:name="_Toc1791194499"/>
      <w:bookmarkStart w:id="34" w:name="_Toc10010"/>
      <w:bookmarkStart w:id="35" w:name="_Toc738782484"/>
      <w:bookmarkStart w:id="36" w:name="_Toc376332250"/>
      <w:r>
        <w:rPr>
          <w:rFonts w:ascii="Times New Roman" w:hAnsi="Times New Roman" w:cs="Times New Roman Regular"/>
          <w:szCs w:val="24"/>
        </w:rPr>
        <w:t>2</w:t>
      </w:r>
      <w:r>
        <w:rPr>
          <w:rFonts w:ascii="Times New Roman Regular" w:hAnsi="Times New Roman Regular" w:cs="Times New Roman Regular"/>
          <w:szCs w:val="24"/>
        </w:rPr>
        <w:t>.</w:t>
      </w:r>
      <w:r>
        <w:rPr>
          <w:rFonts w:hint="eastAsia"/>
        </w:rPr>
        <w:t>项目概况与招标范围</w:t>
      </w:r>
      <w:bookmarkEnd w:id="25"/>
      <w:bookmarkEnd w:id="26"/>
      <w:bookmarkEnd w:id="27"/>
      <w:bookmarkEnd w:id="28"/>
      <w:bookmarkEnd w:id="29"/>
      <w:bookmarkEnd w:id="30"/>
      <w:bookmarkEnd w:id="31"/>
      <w:bookmarkEnd w:id="32"/>
      <w:bookmarkEnd w:id="33"/>
      <w:bookmarkEnd w:id="34"/>
      <w:bookmarkEnd w:id="35"/>
      <w:bookmarkEnd w:id="36"/>
    </w:p>
    <w:p w14:paraId="06495F52">
      <w:pPr>
        <w:spacing w:line="360" w:lineRule="auto"/>
        <w:ind w:firstLine="480"/>
        <w:jc w:val="left"/>
      </w:pPr>
      <w:r>
        <w:rPr>
          <w:rFonts w:hint="eastAsia"/>
        </w:rPr>
        <w:t>2.1项目概况与招标范围：</w:t>
      </w:r>
    </w:p>
    <w:p w14:paraId="089F9E58">
      <w:pPr>
        <w:widowControl/>
        <w:wordWrap/>
        <w:adjustRightInd/>
        <w:spacing w:line="360" w:lineRule="auto"/>
        <w:ind w:firstLine="480"/>
        <w:jc w:val="left"/>
        <w:rPr>
          <w:rFonts w:cs="华文宋体"/>
        </w:rPr>
      </w:pPr>
      <w:r>
        <w:rPr>
          <w:rFonts w:hint="eastAsia" w:cs="华文宋体"/>
        </w:rPr>
        <w:t>本项目于2025年6月</w:t>
      </w:r>
      <w:r>
        <w:rPr>
          <w:rFonts w:hint="eastAsia" w:cs="华文宋体"/>
          <w:szCs w:val="24"/>
          <w:lang w:bidi="ar"/>
        </w:rPr>
        <w:t>获批</w:t>
      </w:r>
      <w:r>
        <w:rPr>
          <w:rFonts w:hint="eastAsia" w:cs="华文宋体"/>
        </w:rPr>
        <w:t>国家“煤矿安全技术国家工程研究中心原始创新能力提升项目”立项。</w:t>
      </w:r>
      <w:bookmarkStart w:id="37" w:name="OLE_LINK17"/>
      <w:r>
        <w:rPr>
          <w:rFonts w:hint="eastAsia" w:cs="华文宋体"/>
        </w:rPr>
        <w:t>项目聚焦打造高效协同、智能配置的产品研发管理中枢，依托需求智能解析、设计参数化配置、跨系统数据协同核心能力，打通市场需求、研发设计、工艺规划、生产制造、采购交付全业务链路，破解多品种定制化产品研发中配置混乱、数据割裂、改型周期长、BOM不一致、跨部门协同低效等核心痛点，构建统一、可信、可复用的产品数字化底座，支撑企业复杂装备系列化、模块化、定制化高质量研发转型</w:t>
      </w:r>
      <w:bookmarkEnd w:id="37"/>
      <w:r>
        <w:rPr>
          <w:rFonts w:hint="eastAsia" w:cs="华文宋体"/>
        </w:rPr>
        <w:t>（详见第五章用户需求书）。</w:t>
      </w:r>
    </w:p>
    <w:p w14:paraId="34BA3158">
      <w:pPr>
        <w:spacing w:line="360" w:lineRule="auto"/>
        <w:ind w:firstLine="480"/>
        <w:jc w:val="left"/>
        <w:rPr>
          <w:rFonts w:cs="华文宋体"/>
        </w:rPr>
      </w:pPr>
      <w:r>
        <w:rPr>
          <w:rFonts w:hint="eastAsia" w:cs="华文宋体"/>
        </w:rPr>
        <w:t>本项目建设内容包含系统软件授权及配套全周期技术服务，</w:t>
      </w:r>
      <w:bookmarkStart w:id="38" w:name="OLE_LINK14"/>
      <w:r>
        <w:rPr>
          <w:rFonts w:hint="eastAsia" w:cs="华文宋体"/>
        </w:rPr>
        <w:t>主要依托现有平台开展国产化适配二次开发与系统升级改造，同步完成订单驱动配置管理、配置规则约束管控、研发设计配置协同、前端界面定制开发等专项开发工作</w:t>
      </w:r>
      <w:bookmarkEnd w:id="38"/>
      <w:r>
        <w:rPr>
          <w:rFonts w:hint="eastAsia" w:cs="华文宋体"/>
        </w:rPr>
        <w:t>。</w:t>
      </w:r>
    </w:p>
    <w:p w14:paraId="361EA58F">
      <w:pPr>
        <w:ind w:firstLine="480"/>
      </w:pPr>
      <w:r>
        <w:rPr>
          <w:rFonts w:hint="eastAsia"/>
        </w:rPr>
        <w:t>2.2招标方式：公开招标</w:t>
      </w:r>
    </w:p>
    <w:p w14:paraId="7814F25C">
      <w:pPr>
        <w:ind w:firstLine="480"/>
      </w:pPr>
      <w:r>
        <w:rPr>
          <w:rFonts w:hint="eastAsia"/>
        </w:rPr>
        <w:t>2.3资金落实情况：100%企业自筹，已落实。</w:t>
      </w:r>
    </w:p>
    <w:p w14:paraId="41E4E537">
      <w:pPr>
        <w:ind w:firstLine="480"/>
      </w:pPr>
      <w:r>
        <w:rPr>
          <w:rFonts w:hint="eastAsia"/>
        </w:rPr>
        <w:t>2.4交货期：合同签订后3个日历日内实施人员进驻现场，进场后6个日历月内完成系统建设、安装、配置、调试、内部测试及与现有信息系统的集成对接。具体进度与验收需与对应信息系统改造计划同步协调，并以双方确认的对接方案为准。</w:t>
      </w:r>
    </w:p>
    <w:p w14:paraId="5A3DEC48">
      <w:pPr>
        <w:ind w:firstLine="480"/>
      </w:pPr>
      <w:r>
        <w:rPr>
          <w:rFonts w:hint="eastAsia"/>
        </w:rPr>
        <w:t>2.5交货地点：重庆市九龙坡区二郎科城路6号。</w:t>
      </w:r>
    </w:p>
    <w:p w14:paraId="7EFFD6A8">
      <w:pPr>
        <w:ind w:firstLine="480"/>
      </w:pPr>
      <w:r>
        <w:rPr>
          <w:rFonts w:hint="eastAsia"/>
        </w:rPr>
        <w:t>2.6质保期：安装调试合格后，质保期不低于一年，包含系统运行维护、功能优化、故障修复及技术支持等服务。包括但不限于以下内容：</w:t>
      </w:r>
    </w:p>
    <w:p w14:paraId="20E269C9">
      <w:pPr>
        <w:ind w:firstLine="480"/>
      </w:pPr>
      <w:r>
        <w:rPr>
          <w:rFonts w:hint="eastAsia"/>
        </w:rPr>
        <w:t>2.6.1提供首次产品实施安装和使用培训服务；</w:t>
      </w:r>
    </w:p>
    <w:p w14:paraId="4A7833E7">
      <w:pPr>
        <w:ind w:firstLine="480"/>
      </w:pPr>
      <w:r>
        <w:rPr>
          <w:rFonts w:hint="eastAsia"/>
        </w:rPr>
        <w:t>2.6.2提供不低于1年的电话咨询及远程调试服务，在服务期内，由经过技术认证的工程师提供电话咨询及远程技术协助服务；</w:t>
      </w:r>
    </w:p>
    <w:p w14:paraId="4455E6A6">
      <w:pPr>
        <w:ind w:firstLine="480"/>
      </w:pPr>
      <w:r>
        <w:rPr>
          <w:rFonts w:hint="eastAsia"/>
        </w:rPr>
        <w:t>2.6.3提供不低于1年的系统升级服务，服务期内免费提供功能性升级、安全补丁修复及国产化环境兼容适配升级，升级实施不得影响正常业务运行。</w:t>
      </w:r>
    </w:p>
    <w:p w14:paraId="5D65B548">
      <w:pPr>
        <w:ind w:firstLine="480"/>
      </w:pPr>
      <w:r>
        <w:rPr>
          <w:rFonts w:hint="eastAsia"/>
        </w:rPr>
        <w:t>2.6.4提供不低于1年的上门现场支持服务，在服务期内，对于用户使用过程中遇到的问题，如用户咨询及远程调试不能解决，将派遣经过技术认证的工程师赶赴现场解决技术问题，为用户进行现场技术支持。</w:t>
      </w:r>
    </w:p>
    <w:p w14:paraId="7F1E9D9B">
      <w:pPr>
        <w:pStyle w:val="4"/>
        <w:spacing w:before="312" w:after="312"/>
        <w:ind w:firstLine="641"/>
      </w:pPr>
      <w:bookmarkStart w:id="39" w:name="_Toc35"/>
      <w:bookmarkStart w:id="40" w:name="_Toc22827"/>
      <w:bookmarkStart w:id="41" w:name="_Toc345420975"/>
      <w:bookmarkStart w:id="42" w:name="_Toc1247629999"/>
      <w:bookmarkStart w:id="43" w:name="_Toc5865"/>
      <w:bookmarkStart w:id="44" w:name="_Toc486848046"/>
      <w:bookmarkStart w:id="45" w:name="_Toc2114245281"/>
      <w:bookmarkStart w:id="46" w:name="_Toc1180181047"/>
      <w:bookmarkStart w:id="47" w:name="_Toc802038583"/>
      <w:bookmarkStart w:id="48" w:name="_Toc2065374357"/>
      <w:bookmarkStart w:id="49" w:name="_Toc676785335"/>
      <w:bookmarkStart w:id="50" w:name="_Toc717400010"/>
      <w:r>
        <w:t>3.投标人资格</w:t>
      </w:r>
      <w:r>
        <w:rPr>
          <w:rFonts w:hint="eastAsia"/>
        </w:rPr>
        <w:t>要求</w:t>
      </w:r>
      <w:bookmarkEnd w:id="39"/>
      <w:bookmarkEnd w:id="40"/>
      <w:bookmarkEnd w:id="41"/>
      <w:bookmarkEnd w:id="42"/>
      <w:bookmarkEnd w:id="43"/>
      <w:bookmarkEnd w:id="44"/>
      <w:bookmarkEnd w:id="45"/>
      <w:bookmarkEnd w:id="46"/>
      <w:bookmarkEnd w:id="47"/>
      <w:bookmarkEnd w:id="48"/>
      <w:bookmarkEnd w:id="49"/>
      <w:bookmarkEnd w:id="50"/>
    </w:p>
    <w:p w14:paraId="2AB02300">
      <w:pPr>
        <w:wordWrap/>
        <w:snapToGrid/>
        <w:ind w:firstLine="480"/>
        <w:rPr>
          <w:b/>
          <w:bCs/>
        </w:rPr>
      </w:pPr>
      <w:r>
        <w:rPr>
          <w:b/>
          <w:bCs/>
        </w:rPr>
        <w:t>3.1资质要求：</w:t>
      </w:r>
    </w:p>
    <w:p w14:paraId="7D71272B">
      <w:pPr>
        <w:keepNext w:val="0"/>
        <w:keepLines w:val="0"/>
        <w:pageBreakBefore w:val="0"/>
        <w:widowControl w:val="0"/>
        <w:kinsoku/>
        <w:wordWrap/>
        <w:overflowPunct/>
        <w:topLinePunct w:val="0"/>
        <w:autoSpaceDE/>
        <w:autoSpaceDN/>
        <w:bidi w:val="0"/>
        <w:adjustRightInd w:val="0"/>
        <w:snapToGrid/>
        <w:spacing w:line="360" w:lineRule="auto"/>
        <w:ind w:firstLine="480"/>
        <w:textAlignment w:val="auto"/>
      </w:pPr>
      <w:r>
        <w:rPr>
          <w:rFonts w:hint="eastAsia"/>
        </w:rPr>
        <w:t>投标人必须是在中华人民共和国境内注册，具有合法经营资格的国内独立法人的企业，投标人应提供营业执照副本，营业期限应在有效期范围内；</w:t>
      </w:r>
    </w:p>
    <w:p w14:paraId="3D4A0A79">
      <w:pPr>
        <w:keepNext w:val="0"/>
        <w:keepLines w:val="0"/>
        <w:pageBreakBefore w:val="0"/>
        <w:widowControl w:val="0"/>
        <w:kinsoku/>
        <w:wordWrap/>
        <w:overflowPunct/>
        <w:topLinePunct w:val="0"/>
        <w:autoSpaceDE/>
        <w:autoSpaceDN/>
        <w:bidi w:val="0"/>
        <w:adjustRightInd w:val="0"/>
        <w:snapToGrid/>
        <w:spacing w:line="360" w:lineRule="auto"/>
        <w:ind w:firstLine="480"/>
        <w:textAlignment w:val="auto"/>
        <w:rPr>
          <w:b/>
          <w:bCs/>
        </w:rPr>
      </w:pPr>
      <w:r>
        <w:rPr>
          <w:b/>
          <w:bCs/>
        </w:rPr>
        <w:t>3.2信誉要求：</w:t>
      </w:r>
    </w:p>
    <w:p w14:paraId="27128880">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pPr>
      <w:r>
        <w:t>投标人未列入发改委和人行“信用中国”网</w:t>
      </w:r>
      <w:r>
        <w:rPr>
          <w:rFonts w:hint="eastAsia"/>
        </w:rPr>
        <w:t>（</w:t>
      </w:r>
      <w:r>
        <w:t>www.creditchina.gov.cn</w:t>
      </w:r>
      <w:r>
        <w:rPr>
          <w:rFonts w:hint="eastAsia"/>
        </w:rPr>
        <w:t>）</w:t>
      </w:r>
      <w:r>
        <w:t>严重失信名单，提供</w:t>
      </w:r>
      <w:r>
        <w:rPr>
          <w:rFonts w:hint="eastAsia"/>
        </w:rPr>
        <w:t>信用报告（下载路径：登录网站-右上角信用信息输入公司名称-点击搜索-下载信用信息报告）；</w:t>
      </w:r>
    </w:p>
    <w:p w14:paraId="3A184F0B">
      <w:pPr>
        <w:keepNext w:val="0"/>
        <w:keepLines w:val="0"/>
        <w:pageBreakBefore w:val="0"/>
        <w:widowControl w:val="0"/>
        <w:kinsoku/>
        <w:overflowPunct/>
        <w:topLinePunct w:val="0"/>
        <w:autoSpaceDE/>
        <w:autoSpaceDN/>
        <w:bidi w:val="0"/>
        <w:snapToGrid w:val="0"/>
        <w:spacing w:line="360" w:lineRule="auto"/>
        <w:ind w:firstLine="480"/>
        <w:textAlignment w:val="auto"/>
        <w:rPr>
          <w:b/>
          <w:bCs/>
          <w:kern w:val="0"/>
        </w:rPr>
      </w:pPr>
      <w:r>
        <w:rPr>
          <w:b/>
          <w:bCs/>
          <w:kern w:val="0"/>
        </w:rPr>
        <w:t>3.3业绩要求：</w:t>
      </w:r>
    </w:p>
    <w:p w14:paraId="2308188F">
      <w:pPr>
        <w:pStyle w:val="26"/>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Times New Roman" w:hAnsi="Times New Roman" w:eastAsia="华文宋体" w:cs="Times New Roman"/>
          <w:kern w:val="0"/>
          <w:sz w:val="24"/>
          <w:szCs w:val="20"/>
          <w:lang w:val="en-US" w:eastAsia="zh-CN" w:bidi="ar-SA"/>
        </w:rPr>
      </w:pPr>
      <w:bookmarkStart w:id="51" w:name="OLE_LINK18"/>
      <w:r>
        <w:rPr>
          <w:rFonts w:hint="eastAsia" w:ascii="Times New Roman" w:hAnsi="Times New Roman" w:eastAsia="华文宋体" w:cs="Times New Roman"/>
          <w:kern w:val="0"/>
          <w:sz w:val="24"/>
          <w:szCs w:val="20"/>
          <w:lang w:val="en-US" w:eastAsia="zh-CN" w:bidi="ar-SA"/>
        </w:rPr>
        <w:t>投标人须具有信息系统二次开发能力，须提供自2023年1月1日至投标截止之日（以合同签订时间为准）已完工的至少1份“三维研发类产品配置管理系统有效业绩”；该有效业绩是指合同内容包含三维研发类产品配置管理系统的实施、二次开发、系统集成或运维服务，且能体现与三维研发设计平台（如三维CAD/PLM等）进行数据集成或二次开发内容的项目业绩。证明材料须提供合同关键页扫描件（含甲乙双方签章、签约日期、采购标的及服务内容）及发票、项目竣工验收单或甲方使用证明任选其一作为配套佐证材料；业绩主体须为投标人本身，材料须加盖投标人公章，否则不予认可。</w:t>
      </w:r>
    </w:p>
    <w:bookmarkEnd w:id="51"/>
    <w:p w14:paraId="655765E5">
      <w:pPr>
        <w:ind w:firstLine="480"/>
        <w:rPr>
          <w:b/>
          <w:bCs/>
        </w:rPr>
      </w:pPr>
      <w:r>
        <w:rPr>
          <w:b/>
          <w:bCs/>
        </w:rPr>
        <w:t>3.4财务要求：</w:t>
      </w:r>
      <w:r>
        <w:rPr>
          <w:rFonts w:hint="eastAsia"/>
        </w:rPr>
        <w:t>/。</w:t>
      </w:r>
    </w:p>
    <w:p w14:paraId="2714DE8A">
      <w:pPr>
        <w:pStyle w:val="7"/>
        <w:ind w:firstLine="480"/>
        <w:rPr>
          <w:b/>
          <w:bCs/>
        </w:rPr>
      </w:pPr>
      <w:r>
        <w:rPr>
          <w:b/>
          <w:bCs/>
        </w:rPr>
        <w:t>3.5人员要求</w:t>
      </w:r>
      <w:r>
        <w:rPr>
          <w:rFonts w:hint="eastAsia"/>
          <w:b/>
          <w:bCs/>
        </w:rPr>
        <w:t>：</w:t>
      </w:r>
      <w:r>
        <w:rPr>
          <w:rFonts w:hint="eastAsia"/>
        </w:rPr>
        <w:t>/。</w:t>
      </w:r>
    </w:p>
    <w:p w14:paraId="2B088800">
      <w:pPr>
        <w:numPr>
          <w:ilvl w:val="255"/>
          <w:numId w:val="0"/>
        </w:numPr>
        <w:ind w:firstLine="480" w:firstLineChars="200"/>
        <w:rPr>
          <w:b/>
          <w:bCs/>
        </w:rPr>
      </w:pPr>
      <w:r>
        <w:rPr>
          <w:b/>
          <w:bCs/>
        </w:rPr>
        <w:t>3.6设备要求</w:t>
      </w:r>
      <w:r>
        <w:rPr>
          <w:rFonts w:hint="eastAsia"/>
          <w:b/>
          <w:bCs/>
        </w:rPr>
        <w:t>：</w:t>
      </w:r>
      <w:r>
        <w:rPr>
          <w:rFonts w:hint="eastAsia"/>
        </w:rPr>
        <w:t>/。</w:t>
      </w:r>
    </w:p>
    <w:p w14:paraId="76AC474C">
      <w:pPr>
        <w:ind w:firstLine="480"/>
      </w:pPr>
      <w:r>
        <w:rPr>
          <w:b/>
          <w:bCs/>
        </w:rPr>
        <w:t>3.7其他要求：</w:t>
      </w:r>
      <w:r>
        <w:t>提供以下内容的承诺函</w:t>
      </w:r>
      <w:r>
        <w:rPr>
          <w:rFonts w:hint="eastAsia"/>
        </w:rPr>
        <w:t>：</w:t>
      </w:r>
    </w:p>
    <w:p w14:paraId="4BEF85C9">
      <w:pPr>
        <w:ind w:firstLine="480"/>
      </w:pPr>
      <w:r>
        <w:rPr>
          <w:rFonts w:hint="eastAsia"/>
        </w:rPr>
        <w:t>无不良违规记录承诺函：</w:t>
      </w:r>
      <w:r>
        <w:t>投标人在参与本次投标前三年内（2023年至今），不得出现下列任一情形（</w:t>
      </w:r>
      <w:r>
        <w:rPr>
          <w:rFonts w:hint="eastAsia"/>
        </w:rPr>
        <w:t>按照下列要求</w:t>
      </w:r>
      <w:r>
        <w:t>提供投标人无不良违规记录承诺</w:t>
      </w:r>
      <w:r>
        <w:rPr>
          <w:rFonts w:hint="eastAsia"/>
        </w:rPr>
        <w:t>）。</w:t>
      </w:r>
    </w:p>
    <w:p w14:paraId="79B9222E">
      <w:pPr>
        <w:ind w:firstLine="480"/>
      </w:pPr>
      <w:r>
        <w:t>（1）被依法暂停或者取消投标资格；</w:t>
      </w:r>
    </w:p>
    <w:p w14:paraId="0E446010">
      <w:pPr>
        <w:ind w:firstLine="480"/>
      </w:pPr>
      <w:r>
        <w:t>（2）被责令停产停业、暂扣或者吊销许可证、暂扣或者吊销执照；</w:t>
      </w:r>
    </w:p>
    <w:p w14:paraId="6492129E">
      <w:pPr>
        <w:ind w:firstLine="480"/>
      </w:pPr>
      <w:r>
        <w:t>（3）进入清算程序，或被宣告破产，或其他丧失履约能力的情形；</w:t>
      </w:r>
    </w:p>
    <w:p w14:paraId="087BCC29">
      <w:pPr>
        <w:ind w:firstLine="480"/>
      </w:pPr>
      <w:r>
        <w:t>（4）投标人或其法定代表人有行贿犯罪行为；</w:t>
      </w:r>
    </w:p>
    <w:p w14:paraId="2C59CF51">
      <w:pPr>
        <w:ind w:firstLine="480"/>
      </w:pPr>
      <w:r>
        <w:t>（5）发生骗取中标、严重违约的情况及重大质量问题。</w:t>
      </w:r>
    </w:p>
    <w:p w14:paraId="567B1D47">
      <w:pPr>
        <w:ind w:firstLine="480"/>
        <w:rPr>
          <w:b/>
          <w:bCs/>
        </w:rPr>
      </w:pPr>
      <w:r>
        <w:rPr>
          <w:b/>
          <w:bCs/>
        </w:rPr>
        <w:t>3.8</w:t>
      </w:r>
      <w:r>
        <w:rPr>
          <w:rFonts w:hint="eastAsia"/>
          <w:b/>
          <w:bCs/>
        </w:rPr>
        <w:t>本项目是否接受联合体投标：</w:t>
      </w:r>
      <w:r>
        <w:rPr>
          <w:rFonts w:hint="eastAsia"/>
          <w:b/>
          <w:bCs/>
          <w:sz w:val="32"/>
          <w:szCs w:val="22"/>
        </w:rPr>
        <w:t>否</w:t>
      </w:r>
    </w:p>
    <w:p w14:paraId="399BCA69">
      <w:pPr>
        <w:ind w:firstLine="480"/>
      </w:pPr>
      <w:r>
        <w:rPr>
          <w:rFonts w:hint="eastAsia"/>
        </w:rPr>
        <w:t>3.9备注：</w:t>
      </w:r>
    </w:p>
    <w:p w14:paraId="760016AB">
      <w:pPr>
        <w:ind w:firstLine="480"/>
      </w:pPr>
      <w:r>
        <w:rPr>
          <w:rFonts w:hint="eastAsia"/>
        </w:rPr>
        <w:t>（1）</w:t>
      </w:r>
      <w:r>
        <w:t>投标人资格要求中需要提供的资格证明材料，在投标文件中务必提供齐全，否则将可能导致不合格的投标；</w:t>
      </w:r>
    </w:p>
    <w:p w14:paraId="504719F2">
      <w:pPr>
        <w:ind w:firstLine="480"/>
      </w:pPr>
      <w:r>
        <w:rPr>
          <w:rFonts w:hint="eastAsia"/>
        </w:rPr>
        <w:t>（2）</w:t>
      </w:r>
      <w:r>
        <w:t>本次招标的投标人资质审查方式采用资格后审（即投标人资格是否符合招标要求由评标委员</w:t>
      </w:r>
      <w:r>
        <w:rPr>
          <w:rFonts w:hint="eastAsia"/>
        </w:rPr>
        <w:t>会在</w:t>
      </w:r>
      <w:r>
        <w:t>评标时确定），报名通过并成功购买到招标文件的投标人，不代表已经通过资格审查</w:t>
      </w:r>
      <w:r>
        <w:rPr>
          <w:rFonts w:hint="eastAsia"/>
        </w:rPr>
        <w:t>；</w:t>
      </w:r>
    </w:p>
    <w:p w14:paraId="397C72F3">
      <w:pPr>
        <w:ind w:firstLine="480"/>
      </w:pPr>
      <w:r>
        <w:rPr>
          <w:rFonts w:hint="eastAsia"/>
        </w:rPr>
        <w:t>（3）</w:t>
      </w:r>
      <w:r>
        <w:t>有违反</w:t>
      </w:r>
      <w:r>
        <w:rPr>
          <w:rFonts w:hint="eastAsia"/>
        </w:rPr>
        <w:t>法律法规</w:t>
      </w:r>
      <w:r>
        <w:t>行为，依法被取消竞标资格且期限未满的</w:t>
      </w:r>
      <w:r>
        <w:rPr>
          <w:rFonts w:hint="eastAsia"/>
        </w:rPr>
        <w:t>不得参加此次投标</w:t>
      </w:r>
      <w:r>
        <w:t>；</w:t>
      </w:r>
    </w:p>
    <w:p w14:paraId="32E48180">
      <w:pPr>
        <w:ind w:firstLine="480"/>
      </w:pPr>
      <w:r>
        <w:rPr>
          <w:rFonts w:hint="eastAsia"/>
        </w:rPr>
        <w:t>（4）</w:t>
      </w:r>
      <w:r>
        <w:t>在招标竞标活动中有违法违规等不良行为，被招标竞标管理部门公示限制竞标且限制期限未满的</w:t>
      </w:r>
      <w:r>
        <w:rPr>
          <w:rFonts w:hint="eastAsia"/>
        </w:rPr>
        <w:t>不得参加此次投标</w:t>
      </w:r>
      <w:r>
        <w:t>；</w:t>
      </w:r>
    </w:p>
    <w:p w14:paraId="2F069452">
      <w:pPr>
        <w:ind w:firstLine="480"/>
      </w:pPr>
      <w:r>
        <w:rPr>
          <w:rFonts w:hint="eastAsia"/>
        </w:rPr>
        <w:t>（5）单位负责人为同一人或者存在控股、管理关系的不同单位，不得参加同一标段投标或者未划分标段的同一招标项目投标。</w:t>
      </w:r>
    </w:p>
    <w:p w14:paraId="7C3FE522">
      <w:pPr>
        <w:pStyle w:val="4"/>
        <w:spacing w:before="312" w:after="312"/>
        <w:ind w:firstLine="641"/>
      </w:pPr>
      <w:bookmarkStart w:id="52" w:name="_Toc542414052"/>
      <w:bookmarkStart w:id="53" w:name="_Toc1856014505"/>
      <w:bookmarkStart w:id="54" w:name="_Toc107612262"/>
      <w:bookmarkStart w:id="55" w:name="_Toc1143893237"/>
      <w:bookmarkStart w:id="56" w:name="_Toc842028984"/>
      <w:bookmarkStart w:id="57" w:name="_Toc887063885"/>
      <w:bookmarkStart w:id="58" w:name="_Toc22228"/>
      <w:bookmarkStart w:id="59" w:name="_Toc223"/>
      <w:bookmarkStart w:id="60" w:name="_Toc1657730833"/>
      <w:bookmarkStart w:id="61" w:name="_Toc1368773812"/>
      <w:bookmarkStart w:id="62" w:name="_Toc821147991"/>
      <w:bookmarkStart w:id="63" w:name="_Toc19479"/>
      <w:r>
        <w:rPr>
          <w:rFonts w:hint="eastAsia"/>
        </w:rPr>
        <w:t>4</w:t>
      </w:r>
      <w:r>
        <w:t>.</w:t>
      </w:r>
      <w:r>
        <w:rPr>
          <w:rFonts w:hint="eastAsia"/>
        </w:rPr>
        <w:t>招标文件的获取</w:t>
      </w:r>
      <w:bookmarkEnd w:id="52"/>
      <w:bookmarkEnd w:id="53"/>
      <w:bookmarkEnd w:id="54"/>
      <w:bookmarkEnd w:id="55"/>
      <w:bookmarkEnd w:id="56"/>
      <w:bookmarkEnd w:id="57"/>
      <w:bookmarkEnd w:id="58"/>
      <w:bookmarkEnd w:id="59"/>
      <w:bookmarkEnd w:id="60"/>
      <w:bookmarkEnd w:id="61"/>
      <w:bookmarkEnd w:id="62"/>
      <w:bookmarkEnd w:id="63"/>
    </w:p>
    <w:p w14:paraId="25DB4AAE">
      <w:pPr>
        <w:widowControl/>
        <w:ind w:firstLine="480"/>
        <w:jc w:val="left"/>
        <w:rPr>
          <w:highlight w:val="yellow"/>
        </w:rPr>
      </w:pPr>
      <w:r>
        <w:rPr>
          <w:rFonts w:hint="eastAsia"/>
        </w:rPr>
        <w:t>4.1发售时</w:t>
      </w:r>
      <w:r>
        <w:rPr>
          <w:rFonts w:hint="eastAsia"/>
          <w:highlight w:val="none"/>
        </w:rPr>
        <w:t>间：</w:t>
      </w:r>
      <w:r>
        <w:rPr>
          <w:rFonts w:hint="eastAsia"/>
          <w:color w:val="000000" w:themeColor="text1"/>
          <w:highlight w:val="none"/>
          <w14:textFill>
            <w14:solidFill>
              <w14:schemeClr w14:val="tx1"/>
            </w14:solidFill>
          </w14:textFill>
        </w:rPr>
        <w:t>2026</w:t>
      </w:r>
      <w:r>
        <w:rPr>
          <w:color w:val="000000" w:themeColor="text1"/>
          <w:highlight w:val="none"/>
          <w14:textFill>
            <w14:solidFill>
              <w14:schemeClr w14:val="tx1"/>
            </w14:solidFill>
          </w14:textFill>
        </w:rPr>
        <w:t>年</w:t>
      </w:r>
      <w:r>
        <w:rPr>
          <w:rFonts w:hint="eastAsia"/>
          <w:color w:val="000000" w:themeColor="text1"/>
          <w:highlight w:val="none"/>
          <w:lang w:val="en-US" w:eastAsia="zh-CN"/>
          <w14:textFill>
            <w14:solidFill>
              <w14:schemeClr w14:val="tx1"/>
            </w14:solidFill>
          </w14:textFill>
        </w:rPr>
        <w:t>9</w:t>
      </w:r>
      <w:r>
        <w:rPr>
          <w:color w:val="000000" w:themeColor="text1"/>
          <w:highlight w:val="none"/>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15</w:t>
      </w:r>
      <w:r>
        <w:rPr>
          <w:color w:val="000000" w:themeColor="text1"/>
          <w:highlight w:val="none"/>
          <w14:textFill>
            <w14:solidFill>
              <w14:schemeClr w14:val="tx1"/>
            </w14:solidFill>
          </w14:textFill>
        </w:rPr>
        <w:t>日</w:t>
      </w:r>
      <w:r>
        <w:rPr>
          <w:rFonts w:hint="eastAsia"/>
          <w:color w:val="000000" w:themeColor="text1"/>
          <w:highlight w:val="none"/>
          <w14:textFill>
            <w14:solidFill>
              <w14:schemeClr w14:val="tx1"/>
            </w14:solidFill>
          </w14:textFill>
        </w:rPr>
        <w:t>09时00分</w:t>
      </w:r>
      <w:r>
        <w:rPr>
          <w:color w:val="000000" w:themeColor="text1"/>
          <w:highlight w:val="none"/>
          <w14:textFill>
            <w14:solidFill>
              <w14:schemeClr w14:val="tx1"/>
            </w14:solidFill>
          </w14:textFill>
        </w:rPr>
        <w:t>至</w:t>
      </w:r>
      <w:r>
        <w:rPr>
          <w:rFonts w:hint="eastAsia"/>
          <w:color w:val="000000" w:themeColor="text1"/>
          <w:highlight w:val="none"/>
          <w14:textFill>
            <w14:solidFill>
              <w14:schemeClr w14:val="tx1"/>
            </w14:solidFill>
          </w14:textFill>
        </w:rPr>
        <w:t>2026年</w:t>
      </w:r>
      <w:r>
        <w:rPr>
          <w:rFonts w:hint="eastAsia"/>
          <w:color w:val="000000" w:themeColor="text1"/>
          <w:highlight w:val="none"/>
          <w:lang w:val="en-US" w:eastAsia="zh-CN"/>
          <w14:textFill>
            <w14:solidFill>
              <w14:schemeClr w14:val="tx1"/>
            </w14:solidFill>
          </w14:textFill>
        </w:rPr>
        <w:t>9</w:t>
      </w:r>
      <w:r>
        <w:rPr>
          <w:color w:val="000000" w:themeColor="text1"/>
          <w:highlight w:val="none"/>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22</w:t>
      </w:r>
      <w:r>
        <w:rPr>
          <w:color w:val="000000" w:themeColor="text1"/>
          <w:highlight w:val="none"/>
          <w14:textFill>
            <w14:solidFill>
              <w14:schemeClr w14:val="tx1"/>
            </w14:solidFill>
          </w14:textFill>
        </w:rPr>
        <w:t>日</w:t>
      </w:r>
      <w:r>
        <w:rPr>
          <w:rFonts w:hint="eastAsia"/>
          <w:color w:val="000000" w:themeColor="text1"/>
          <w:highlight w:val="none"/>
          <w14:textFill>
            <w14:solidFill>
              <w14:schemeClr w14:val="tx1"/>
            </w14:solidFill>
          </w14:textFill>
        </w:rPr>
        <w:t>23时00分</w:t>
      </w:r>
    </w:p>
    <w:p w14:paraId="0DB8BA8D">
      <w:pPr>
        <w:widowControl/>
        <w:ind w:firstLine="480"/>
        <w:jc w:val="left"/>
      </w:pPr>
      <w:r>
        <w:rPr>
          <w:rFonts w:hint="eastAsia"/>
        </w:rPr>
        <w:t>4.2文件售</w:t>
      </w:r>
      <w:r>
        <w:rPr>
          <w:rFonts w:hint="eastAsia"/>
          <w:color w:val="000000" w:themeColor="text1"/>
          <w14:textFill>
            <w14:solidFill>
              <w14:schemeClr w14:val="tx1"/>
            </w14:solidFill>
          </w14:textFill>
        </w:rPr>
        <w:t>价：200元，售后不退。</w:t>
      </w:r>
    </w:p>
    <w:p w14:paraId="22502377">
      <w:pPr>
        <w:widowControl/>
        <w:ind w:firstLine="480"/>
      </w:pPr>
      <w:r>
        <w:rPr>
          <w:rFonts w:hint="eastAsia"/>
        </w:rPr>
        <w:t>4.3支付方式：公对公转账方式支付。</w:t>
      </w:r>
    </w:p>
    <w:p w14:paraId="3DCB0D8A">
      <w:pPr>
        <w:pStyle w:val="2"/>
        <w:ind w:firstLine="480"/>
        <w:rPr>
          <w:sz w:val="24"/>
          <w:szCs w:val="20"/>
        </w:rPr>
      </w:pPr>
      <w:r>
        <w:rPr>
          <w:rFonts w:hint="eastAsia"/>
          <w:sz w:val="24"/>
          <w:szCs w:val="20"/>
        </w:rPr>
        <w:t>4.4标书发票性质：电子版普通发票，自动发送至投标人报名邮箱。</w:t>
      </w:r>
    </w:p>
    <w:p w14:paraId="23CB329B">
      <w:pPr>
        <w:widowControl/>
        <w:ind w:firstLine="480"/>
      </w:pPr>
      <w:r>
        <w:rPr>
          <w:rFonts w:hint="eastAsia"/>
        </w:rPr>
        <w:t>4.5招标文件获取流程：</w:t>
      </w:r>
      <w:bookmarkStart w:id="64" w:name="_Hlk137122331"/>
    </w:p>
    <w:p w14:paraId="2DB5F067">
      <w:pPr>
        <w:widowControl/>
        <w:ind w:firstLine="480"/>
      </w:pPr>
      <w:r>
        <w:rPr>
          <w:rFonts w:hint="eastAsia"/>
        </w:rPr>
        <w:t>（1）</w:t>
      </w:r>
      <w:r>
        <w:t>登录中国煤科电子采购平台（</w:t>
      </w:r>
      <w:r>
        <w:rPr>
          <w:rFonts w:hint="eastAsia"/>
        </w:rPr>
        <w:t>https</w:t>
      </w:r>
      <w:r>
        <w:t>://cg.ccteg.cn），依照平台系统提示信息完成供应商注册</w:t>
      </w:r>
      <w:r>
        <w:rPr>
          <w:rFonts w:hint="eastAsia"/>
        </w:rPr>
        <w:t>；</w:t>
      </w:r>
    </w:p>
    <w:p w14:paraId="02A71570">
      <w:pPr>
        <w:widowControl/>
        <w:ind w:firstLine="480"/>
      </w:pPr>
      <w:r>
        <w:rPr>
          <w:rFonts w:hint="eastAsia"/>
        </w:rPr>
        <w:t>（2）</w:t>
      </w:r>
      <w:r>
        <w:t>在中国煤科电子采购平台内点击购买相应招标文件（</w:t>
      </w:r>
      <w:r>
        <w:rPr>
          <w:b/>
          <w:bCs/>
        </w:rPr>
        <w:t>招标文件购买审核为人工审核，请耐心等待）</w:t>
      </w:r>
      <w:r>
        <w:rPr>
          <w:rFonts w:hint="eastAsia"/>
        </w:rPr>
        <w:t>；</w:t>
      </w:r>
    </w:p>
    <w:p w14:paraId="265E7496">
      <w:pPr>
        <w:widowControl/>
        <w:ind w:firstLine="480"/>
      </w:pPr>
      <w:r>
        <w:rPr>
          <w:rFonts w:hint="eastAsia"/>
        </w:rPr>
        <w:t>（3）</w:t>
      </w:r>
      <w:r>
        <w:t>投标人将标书费汇至下列账户，并将汇款凭证上传至中国煤科电子采购平台，经审核通过后在中国煤科电子采购平台内自行下载招标文件；投标人在汇款时务必注明所投项目的项目编号及用途</w:t>
      </w:r>
      <w:r>
        <w:rPr>
          <w:b/>
          <w:bCs/>
        </w:rPr>
        <w:t>“</w:t>
      </w:r>
      <w:r>
        <w:rPr>
          <w:rFonts w:hint="eastAsia"/>
          <w:b/>
          <w:bCs/>
          <w:color w:val="FF0000"/>
        </w:rPr>
        <w:t>GHY-26430</w:t>
      </w:r>
      <w:r>
        <w:rPr>
          <w:b/>
          <w:bCs/>
          <w:color w:val="FF0000"/>
        </w:rPr>
        <w:t>标书费</w:t>
      </w:r>
      <w:r>
        <w:rPr>
          <w:b/>
          <w:bCs/>
        </w:rPr>
        <w:t>”</w:t>
      </w:r>
      <w:r>
        <w:t>，否则，因款项的项目编号及用途导致报名</w:t>
      </w:r>
      <w:r>
        <w:rPr>
          <w:rFonts w:hint="eastAsia"/>
        </w:rPr>
        <w:t>失败或无效</w:t>
      </w:r>
      <w:r>
        <w:t>等后果由投标人自行承担。</w:t>
      </w:r>
    </w:p>
    <w:p w14:paraId="40DB109A">
      <w:pPr>
        <w:widowControl/>
        <w:ind w:firstLine="480"/>
      </w:pPr>
      <w:r>
        <w:rPr>
          <w:rFonts w:hint="eastAsia"/>
        </w:rPr>
        <w:t>账户：煤炭工业规划设计研究院有限公司</w:t>
      </w:r>
    </w:p>
    <w:p w14:paraId="72E27686">
      <w:pPr>
        <w:widowControl/>
        <w:ind w:firstLine="480"/>
      </w:pPr>
      <w:r>
        <w:rPr>
          <w:rFonts w:hint="eastAsia"/>
        </w:rPr>
        <w:t>开户行：光大银行北京德胜门支行</w:t>
      </w:r>
    </w:p>
    <w:p w14:paraId="692236F1">
      <w:pPr>
        <w:ind w:firstLine="480"/>
        <w:jc w:val="left"/>
      </w:pPr>
      <w:r>
        <w:rPr>
          <w:rFonts w:hint="eastAsia"/>
        </w:rPr>
        <w:t>账号：35010188000067687</w:t>
      </w:r>
    </w:p>
    <w:bookmarkEnd w:id="64"/>
    <w:p w14:paraId="5C4C9043">
      <w:pPr>
        <w:pStyle w:val="4"/>
        <w:spacing w:before="312" w:after="312"/>
        <w:ind w:firstLine="641"/>
      </w:pPr>
      <w:bookmarkStart w:id="65" w:name="_Toc1136631620"/>
      <w:bookmarkStart w:id="66" w:name="_Toc458056660"/>
      <w:bookmarkStart w:id="67" w:name="_Toc29274053"/>
      <w:bookmarkStart w:id="68" w:name="_Toc1304369115"/>
      <w:bookmarkStart w:id="69" w:name="_Toc26418"/>
      <w:bookmarkStart w:id="70" w:name="_Toc1051237721"/>
      <w:bookmarkStart w:id="71" w:name="_Toc1835812860"/>
      <w:bookmarkStart w:id="72" w:name="_Toc284890449"/>
      <w:bookmarkStart w:id="73" w:name="_Toc3243"/>
      <w:bookmarkStart w:id="74" w:name="_Toc1140026315"/>
      <w:bookmarkStart w:id="75" w:name="_Toc63900358"/>
      <w:bookmarkStart w:id="76" w:name="_Toc24585"/>
      <w:r>
        <w:rPr>
          <w:rFonts w:hint="eastAsia"/>
        </w:rPr>
        <w:t>5</w:t>
      </w:r>
      <w:r>
        <w:t>.</w:t>
      </w:r>
      <w:r>
        <w:rPr>
          <w:rFonts w:hint="eastAsia"/>
        </w:rPr>
        <w:t>投标文件递交</w:t>
      </w:r>
      <w:bookmarkEnd w:id="65"/>
      <w:bookmarkEnd w:id="66"/>
      <w:bookmarkEnd w:id="67"/>
      <w:bookmarkEnd w:id="68"/>
      <w:bookmarkEnd w:id="69"/>
      <w:bookmarkEnd w:id="70"/>
      <w:bookmarkEnd w:id="71"/>
      <w:bookmarkEnd w:id="72"/>
      <w:bookmarkEnd w:id="73"/>
      <w:bookmarkEnd w:id="74"/>
      <w:bookmarkEnd w:id="75"/>
      <w:bookmarkEnd w:id="76"/>
    </w:p>
    <w:p w14:paraId="054A5638">
      <w:pPr>
        <w:ind w:firstLine="480"/>
        <w:rPr>
          <w:color w:val="000000" w:themeColor="text1"/>
          <w14:textFill>
            <w14:solidFill>
              <w14:schemeClr w14:val="tx1"/>
            </w14:solidFill>
          </w14:textFill>
        </w:rPr>
      </w:pPr>
      <w:r>
        <w:rPr>
          <w:rFonts w:hint="eastAsia"/>
        </w:rPr>
        <w:t>投</w:t>
      </w:r>
      <w:r>
        <w:rPr>
          <w:rFonts w:hint="eastAsia"/>
          <w:highlight w:val="none"/>
        </w:rPr>
        <w:t>标文件</w:t>
      </w:r>
      <w:r>
        <w:rPr>
          <w:rFonts w:hint="eastAsia"/>
          <w:color w:val="000000" w:themeColor="text1"/>
          <w:highlight w:val="none"/>
          <w14:textFill>
            <w14:solidFill>
              <w14:schemeClr w14:val="tx1"/>
            </w14:solidFill>
          </w14:textFill>
        </w:rPr>
        <w:t>应于2026年</w:t>
      </w:r>
      <w:r>
        <w:rPr>
          <w:rFonts w:hint="eastAsia"/>
          <w:color w:val="000000" w:themeColor="text1"/>
          <w:highlight w:val="none"/>
          <w:lang w:val="en-US" w:eastAsia="zh-CN"/>
          <w14:textFill>
            <w14:solidFill>
              <w14:schemeClr w14:val="tx1"/>
            </w14:solidFill>
          </w14:textFill>
        </w:rPr>
        <w:t>10</w:t>
      </w:r>
      <w:r>
        <w:rPr>
          <w:rFonts w:hint="eastAsia"/>
          <w:color w:val="000000" w:themeColor="text1"/>
          <w:highlight w:val="none"/>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日</w:t>
      </w:r>
      <w:r>
        <w:rPr>
          <w:rFonts w:hint="eastAsia"/>
          <w:color w:val="000000" w:themeColor="text1"/>
          <w:highlight w:val="none"/>
          <w:lang w:val="en-US" w:eastAsia="zh-CN"/>
          <w14:textFill>
            <w14:solidFill>
              <w14:schemeClr w14:val="tx1"/>
            </w14:solidFill>
          </w14:textFill>
        </w:rPr>
        <w:t>10</w:t>
      </w:r>
      <w:r>
        <w:rPr>
          <w:rFonts w:hint="eastAsia"/>
          <w:color w:val="000000" w:themeColor="text1"/>
          <w:highlight w:val="none"/>
          <w14:textFill>
            <w14:solidFill>
              <w14:schemeClr w14:val="tx1"/>
            </w14:solidFill>
          </w14:textFill>
        </w:rPr>
        <w:t>时</w:t>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14:textFill>
            <w14:solidFill>
              <w14:schemeClr w14:val="tx1"/>
            </w14:solidFill>
          </w14:textFill>
        </w:rPr>
        <w:t>0分之前递交到</w:t>
      </w:r>
      <w:r>
        <w:rPr>
          <w:rFonts w:hint="eastAsia"/>
          <w:b/>
          <w:bCs/>
          <w:color w:val="000000" w:themeColor="text1"/>
          <w14:textFill>
            <w14:solidFill>
              <w14:schemeClr w14:val="tx1"/>
            </w14:solidFill>
          </w14:textFill>
        </w:rPr>
        <w:t>“中国煤科电子采购平台”（https://cg.ccteg.cn）</w:t>
      </w:r>
      <w:r>
        <w:rPr>
          <w:rFonts w:hint="eastAsia"/>
          <w:color w:val="000000" w:themeColor="text1"/>
          <w14:textFill>
            <w14:solidFill>
              <w14:schemeClr w14:val="tx1"/>
            </w14:solidFill>
          </w14:textFill>
        </w:rPr>
        <w:t>，未在投标截止时间前成功递交的投标文件将被拒绝。</w:t>
      </w:r>
    </w:p>
    <w:p w14:paraId="79136B19">
      <w:pPr>
        <w:pStyle w:val="4"/>
        <w:spacing w:before="312" w:after="312"/>
        <w:ind w:firstLine="641"/>
        <w:rPr>
          <w:color w:val="000000" w:themeColor="text1"/>
          <w14:textFill>
            <w14:solidFill>
              <w14:schemeClr w14:val="tx1"/>
            </w14:solidFill>
          </w14:textFill>
        </w:rPr>
      </w:pPr>
      <w:bookmarkStart w:id="77" w:name="_Toc231493406"/>
      <w:bookmarkStart w:id="78" w:name="_Toc573177671"/>
      <w:bookmarkStart w:id="79" w:name="_Toc30219"/>
      <w:bookmarkStart w:id="80" w:name="_Toc1018647229"/>
      <w:bookmarkStart w:id="81" w:name="_Toc10832"/>
      <w:bookmarkStart w:id="82" w:name="_Toc235253608"/>
      <w:bookmarkStart w:id="83" w:name="_Toc1609181571"/>
      <w:bookmarkStart w:id="84" w:name="_Toc804412978"/>
      <w:bookmarkStart w:id="85" w:name="_Toc29658"/>
      <w:bookmarkStart w:id="86" w:name="_Toc1976893772"/>
      <w:bookmarkStart w:id="87" w:name="_Toc1412727180"/>
      <w:bookmarkStart w:id="88" w:name="_Toc1500597275"/>
      <w:r>
        <w:rPr>
          <w:rFonts w:hint="eastAsia"/>
          <w:color w:val="000000" w:themeColor="text1"/>
          <w14:textFill>
            <w14:solidFill>
              <w14:schemeClr w14:val="tx1"/>
            </w14:solidFill>
          </w14:textFill>
        </w:rPr>
        <w:t>6.开标</w:t>
      </w:r>
      <w:bookmarkEnd w:id="77"/>
      <w:bookmarkEnd w:id="78"/>
      <w:bookmarkEnd w:id="79"/>
      <w:bookmarkEnd w:id="80"/>
      <w:bookmarkEnd w:id="81"/>
      <w:bookmarkEnd w:id="82"/>
      <w:bookmarkEnd w:id="83"/>
      <w:bookmarkEnd w:id="84"/>
      <w:bookmarkEnd w:id="85"/>
      <w:bookmarkEnd w:id="86"/>
      <w:bookmarkEnd w:id="87"/>
      <w:bookmarkEnd w:id="88"/>
    </w:p>
    <w:p w14:paraId="3B61E8C8">
      <w:pPr>
        <w:ind w:firstLine="480"/>
      </w:pPr>
      <w:r>
        <w:rPr>
          <w:rFonts w:hint="eastAsia"/>
          <w:b/>
          <w:bCs/>
          <w:color w:val="000000" w:themeColor="text1"/>
          <w14:textFill>
            <w14:solidFill>
              <w14:schemeClr w14:val="tx1"/>
            </w14:solidFill>
          </w14:textFill>
        </w:rPr>
        <w:t>开标时间：</w:t>
      </w:r>
      <w:r>
        <w:rPr>
          <w:rFonts w:hint="eastAsia"/>
          <w:color w:val="000000" w:themeColor="text1"/>
          <w14:textFill>
            <w14:solidFill>
              <w14:schemeClr w14:val="tx1"/>
            </w14:solidFill>
          </w14:textFill>
        </w:rPr>
        <w:t>定于</w:t>
      </w:r>
      <w:r>
        <w:rPr>
          <w:rFonts w:hint="eastAsia"/>
          <w:color w:val="000000" w:themeColor="text1"/>
          <w:highlight w:val="none"/>
          <w14:textFill>
            <w14:solidFill>
              <w14:schemeClr w14:val="tx1"/>
            </w14:solidFill>
          </w14:textFill>
        </w:rPr>
        <w:t>2026年</w:t>
      </w:r>
      <w:r>
        <w:rPr>
          <w:rFonts w:hint="eastAsia"/>
          <w:color w:val="000000" w:themeColor="text1"/>
          <w:highlight w:val="none"/>
          <w:lang w:val="en-US" w:eastAsia="zh-CN"/>
          <w14:textFill>
            <w14:solidFill>
              <w14:schemeClr w14:val="tx1"/>
            </w14:solidFill>
          </w14:textFill>
        </w:rPr>
        <w:t>10</w:t>
      </w:r>
      <w:r>
        <w:rPr>
          <w:rFonts w:hint="eastAsia"/>
          <w:color w:val="000000" w:themeColor="text1"/>
          <w:highlight w:val="none"/>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日</w:t>
      </w:r>
      <w:r>
        <w:rPr>
          <w:rFonts w:hint="eastAsia"/>
          <w:color w:val="000000" w:themeColor="text1"/>
          <w:highlight w:val="none"/>
          <w:lang w:val="en-US" w:eastAsia="zh-CN"/>
          <w14:textFill>
            <w14:solidFill>
              <w14:schemeClr w14:val="tx1"/>
            </w14:solidFill>
          </w14:textFill>
        </w:rPr>
        <w:t>10</w:t>
      </w:r>
      <w:r>
        <w:rPr>
          <w:rFonts w:hint="eastAsia"/>
          <w:color w:val="000000" w:themeColor="text1"/>
          <w:highlight w:val="none"/>
          <w14:textFill>
            <w14:solidFill>
              <w14:schemeClr w14:val="tx1"/>
            </w14:solidFill>
          </w14:textFill>
        </w:rPr>
        <w:t>时</w:t>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14:textFill>
            <w14:solidFill>
              <w14:schemeClr w14:val="tx1"/>
            </w14:solidFill>
          </w14:textFill>
        </w:rPr>
        <w:t>0分</w:t>
      </w:r>
      <w:r>
        <w:rPr>
          <w:rFonts w:hint="eastAsia"/>
          <w:color w:val="000000" w:themeColor="text1"/>
          <w:highlight w:val="none"/>
          <w:lang w:eastAsia="zh-CN"/>
          <w14:textFill>
            <w14:solidFill>
              <w14:schemeClr w14:val="tx1"/>
            </w14:solidFill>
          </w14:textFill>
        </w:rPr>
        <w:t>，</w:t>
      </w:r>
      <w:r>
        <w:rPr>
          <w:rFonts w:hint="eastAsia"/>
          <w:color w:val="000000" w:themeColor="text1"/>
          <w14:textFill>
            <w14:solidFill>
              <w14:schemeClr w14:val="tx1"/>
            </w14:solidFill>
          </w14:textFill>
        </w:rPr>
        <w:t>在</w:t>
      </w:r>
      <w:r>
        <w:rPr>
          <w:rFonts w:hint="eastAsia"/>
        </w:rPr>
        <w:t>“中国煤科电子采购平台的网上开标大厅”公开开标。</w:t>
      </w:r>
    </w:p>
    <w:p w14:paraId="5A8094EC">
      <w:pPr>
        <w:ind w:firstLine="480"/>
      </w:pPr>
      <w:r>
        <w:rPr>
          <w:rFonts w:hint="eastAsia"/>
          <w:b/>
          <w:bCs/>
        </w:rPr>
        <w:t>开标地点：</w:t>
      </w:r>
      <w:r>
        <w:rPr>
          <w:rFonts w:hint="eastAsia"/>
        </w:rPr>
        <w:t>中国煤科电子采购平台（https://cg.ccteg.cn）在线开标</w:t>
      </w:r>
    </w:p>
    <w:p w14:paraId="6655C19E">
      <w:pPr>
        <w:ind w:firstLine="480"/>
        <w:rPr>
          <w:b/>
          <w:bCs/>
        </w:rPr>
      </w:pPr>
      <w:r>
        <w:rPr>
          <w:rFonts w:hint="eastAsia"/>
          <w:b/>
          <w:bCs/>
        </w:rPr>
        <w:t>开标方式：</w:t>
      </w:r>
    </w:p>
    <w:p w14:paraId="1BF8E7E4">
      <w:pPr>
        <w:ind w:firstLine="480"/>
      </w:pPr>
      <w:r>
        <w:rPr>
          <w:rFonts w:hint="eastAsia"/>
        </w:rPr>
        <w:t>6.1投标人在开标时间前登录中国煤科电子采购平台（https://cg.ccteg.cn）；</w:t>
      </w:r>
    </w:p>
    <w:p w14:paraId="084AFF5C">
      <w:pPr>
        <w:ind w:firstLine="480"/>
      </w:pPr>
      <w:r>
        <w:rPr>
          <w:rFonts w:hint="eastAsia"/>
        </w:rPr>
        <w:t>6.2投标人进入对应项目的开标大厅完成签到；</w:t>
      </w:r>
    </w:p>
    <w:p w14:paraId="1F4E7D4C">
      <w:pPr>
        <w:ind w:firstLine="480"/>
      </w:pPr>
      <w:r>
        <w:rPr>
          <w:rFonts w:hint="eastAsia"/>
        </w:rPr>
        <w:t>6.3开标后，在规定时间内完成解密（CA解密）；</w:t>
      </w:r>
    </w:p>
    <w:p w14:paraId="398F4042">
      <w:pPr>
        <w:ind w:firstLine="480"/>
      </w:pPr>
      <w:r>
        <w:rPr>
          <w:rFonts w:hint="eastAsia"/>
        </w:rPr>
        <w:t>6.4全部投标人完成解密后系统自动生成开标记录表，根据提示投标人在线签名确认；</w:t>
      </w:r>
    </w:p>
    <w:p w14:paraId="14148F47">
      <w:pPr>
        <w:ind w:firstLine="480"/>
      </w:pPr>
      <w:r>
        <w:rPr>
          <w:rFonts w:hint="eastAsia"/>
        </w:rPr>
        <w:t>6.5完成开标会全部流程，系统自动关闭对应项目的开标大厅。</w:t>
      </w:r>
    </w:p>
    <w:p w14:paraId="01D2F733">
      <w:pPr>
        <w:pStyle w:val="4"/>
        <w:spacing w:before="312" w:after="312"/>
        <w:ind w:firstLine="641"/>
      </w:pPr>
      <w:bookmarkStart w:id="89" w:name="_Toc1932959702"/>
      <w:bookmarkStart w:id="90" w:name="_Toc1359363381"/>
      <w:bookmarkStart w:id="91" w:name="_Toc13975"/>
      <w:bookmarkStart w:id="92" w:name="_Toc12193"/>
      <w:bookmarkStart w:id="93" w:name="_Toc490450557"/>
      <w:bookmarkStart w:id="94" w:name="_Toc1126513028"/>
      <w:bookmarkStart w:id="95" w:name="_Toc389995529"/>
      <w:bookmarkStart w:id="96" w:name="_Toc17299"/>
      <w:bookmarkStart w:id="97" w:name="_Toc105613479"/>
      <w:bookmarkStart w:id="98" w:name="_Toc1934123267"/>
      <w:bookmarkStart w:id="99" w:name="_Toc664343919"/>
      <w:bookmarkStart w:id="100" w:name="_Toc1616789925"/>
      <w:r>
        <w:rPr>
          <w:rFonts w:hint="eastAsia"/>
        </w:rPr>
        <w:t>7.发布公告的媒介</w:t>
      </w:r>
      <w:bookmarkEnd w:id="89"/>
      <w:bookmarkEnd w:id="90"/>
      <w:bookmarkEnd w:id="91"/>
      <w:bookmarkEnd w:id="92"/>
      <w:bookmarkEnd w:id="93"/>
      <w:bookmarkEnd w:id="94"/>
      <w:bookmarkEnd w:id="95"/>
      <w:bookmarkEnd w:id="96"/>
      <w:bookmarkEnd w:id="97"/>
      <w:bookmarkEnd w:id="98"/>
      <w:bookmarkEnd w:id="99"/>
      <w:bookmarkEnd w:id="100"/>
    </w:p>
    <w:p w14:paraId="63B2D319">
      <w:pPr>
        <w:widowControl/>
        <w:ind w:firstLine="480"/>
      </w:pPr>
      <w:r>
        <w:rPr>
          <w:rFonts w:hint="eastAsia"/>
        </w:rPr>
        <w:t>中国煤科电子采购平台（https://cg.ccteg.cn）</w:t>
      </w:r>
    </w:p>
    <w:p w14:paraId="06DF3788">
      <w:pPr>
        <w:ind w:firstLine="480"/>
      </w:pPr>
      <w:r>
        <w:rPr>
          <w:rFonts w:hint="eastAsia"/>
        </w:rPr>
        <w:t>中国招标投标公共服务平台（http://www.cebpubservice.com）</w:t>
      </w:r>
    </w:p>
    <w:p w14:paraId="3C39697A">
      <w:pPr>
        <w:pStyle w:val="4"/>
        <w:spacing w:before="312" w:after="312"/>
        <w:ind w:firstLine="641"/>
      </w:pPr>
      <w:bookmarkStart w:id="101" w:name="_Toc1224249131"/>
      <w:bookmarkStart w:id="102" w:name="_Toc534765259"/>
      <w:bookmarkStart w:id="103" w:name="_Toc24802"/>
      <w:bookmarkStart w:id="104" w:name="_Toc960274313"/>
      <w:bookmarkStart w:id="105" w:name="_Toc1889307681"/>
      <w:bookmarkStart w:id="106" w:name="_Toc1088629644"/>
      <w:bookmarkStart w:id="107" w:name="_Toc860765880"/>
      <w:bookmarkStart w:id="108" w:name="_Toc26347"/>
      <w:bookmarkStart w:id="109" w:name="_Toc121099698"/>
      <w:bookmarkStart w:id="110" w:name="_Toc1277683984"/>
      <w:bookmarkStart w:id="111" w:name="_Toc349783830"/>
      <w:bookmarkStart w:id="112" w:name="_Toc14342"/>
      <w:r>
        <w:rPr>
          <w:rFonts w:hint="eastAsia"/>
        </w:rPr>
        <w:t>8.招标人和招标代理机构联系方式</w:t>
      </w:r>
      <w:bookmarkEnd w:id="101"/>
      <w:bookmarkEnd w:id="102"/>
      <w:bookmarkEnd w:id="103"/>
      <w:bookmarkEnd w:id="104"/>
      <w:bookmarkEnd w:id="105"/>
      <w:bookmarkEnd w:id="106"/>
      <w:bookmarkEnd w:id="107"/>
      <w:bookmarkEnd w:id="108"/>
      <w:bookmarkEnd w:id="109"/>
      <w:bookmarkEnd w:id="110"/>
      <w:bookmarkEnd w:id="111"/>
      <w:bookmarkEnd w:id="112"/>
    </w:p>
    <w:p w14:paraId="4C02EE1E">
      <w:pPr>
        <w:ind w:firstLine="480"/>
      </w:pPr>
      <w:bookmarkStart w:id="113" w:name="_Toc21237"/>
      <w:bookmarkStart w:id="114" w:name="_Toc900990025"/>
      <w:bookmarkStart w:id="115" w:name="_Toc990771386"/>
      <w:bookmarkStart w:id="116" w:name="_Toc1442298968"/>
      <w:bookmarkStart w:id="117" w:name="_Toc580645318"/>
      <w:bookmarkStart w:id="118" w:name="_Toc37754268"/>
      <w:bookmarkStart w:id="119" w:name="_Toc914322810"/>
      <w:bookmarkStart w:id="120" w:name="_Toc1154088971"/>
      <w:bookmarkStart w:id="121" w:name="_Toc1655610577"/>
      <w:bookmarkStart w:id="122" w:name="_Toc1345732735"/>
      <w:bookmarkStart w:id="123" w:name="_Toc16884"/>
      <w:r>
        <w:rPr>
          <w:rFonts w:hint="eastAsia"/>
        </w:rPr>
        <w:t>招标人：中煤科工集团重庆研究院有限公司</w:t>
      </w:r>
    </w:p>
    <w:p w14:paraId="4776A15F">
      <w:pPr>
        <w:ind w:firstLine="480"/>
      </w:pPr>
      <w:r>
        <w:rPr>
          <w:rFonts w:hint="eastAsia"/>
        </w:rPr>
        <w:t>办公地址：重庆市九龙坡区科城路6号</w:t>
      </w:r>
    </w:p>
    <w:p w14:paraId="57FCAC17">
      <w:pPr>
        <w:ind w:firstLine="480"/>
      </w:pPr>
      <w:r>
        <w:rPr>
          <w:rFonts w:hint="eastAsia"/>
        </w:rPr>
        <w:t xml:space="preserve">商务联系人：李老师  </w:t>
      </w:r>
    </w:p>
    <w:p w14:paraId="1A70BB2F">
      <w:pPr>
        <w:ind w:firstLine="480"/>
      </w:pPr>
      <w:r>
        <w:rPr>
          <w:rFonts w:hint="eastAsia"/>
        </w:rPr>
        <w:t>电话：13637720082</w:t>
      </w:r>
    </w:p>
    <w:p w14:paraId="0D98072F">
      <w:pPr>
        <w:ind w:firstLine="480"/>
      </w:pPr>
      <w:r>
        <w:rPr>
          <w:rFonts w:hint="eastAsia"/>
        </w:rPr>
        <w:t xml:space="preserve">技术联系人：李老师 </w:t>
      </w:r>
    </w:p>
    <w:p w14:paraId="6247CE93">
      <w:pPr>
        <w:ind w:firstLine="480"/>
      </w:pPr>
      <w:r>
        <w:rPr>
          <w:rFonts w:hint="eastAsia"/>
        </w:rPr>
        <w:t>电 话：023-65239393</w:t>
      </w:r>
    </w:p>
    <w:p w14:paraId="165644E3">
      <w:pPr>
        <w:ind w:firstLine="480"/>
      </w:pPr>
      <w:r>
        <w:rPr>
          <w:rFonts w:hint="eastAsia"/>
        </w:rPr>
        <w:t>招标代理机构：煤炭工业规划设计研究院有限公司招标代理服务中心</w:t>
      </w:r>
    </w:p>
    <w:p w14:paraId="2D0EC54F">
      <w:pPr>
        <w:ind w:firstLine="480"/>
      </w:pPr>
      <w:r>
        <w:rPr>
          <w:rFonts w:hint="eastAsia"/>
        </w:rPr>
        <w:t>地    址：北京市西城区六铺炕二巷甲6号</w:t>
      </w:r>
    </w:p>
    <w:p w14:paraId="7B873A77">
      <w:pPr>
        <w:ind w:firstLine="480"/>
      </w:pPr>
      <w:r>
        <w:rPr>
          <w:rFonts w:hint="eastAsia"/>
        </w:rPr>
        <w:t>联 系 人：沈老师</w:t>
      </w:r>
    </w:p>
    <w:p w14:paraId="1AC710E3">
      <w:pPr>
        <w:ind w:firstLine="480"/>
      </w:pPr>
      <w:r>
        <w:rPr>
          <w:rFonts w:hint="eastAsia"/>
        </w:rPr>
        <w:t>电    话：13971566869</w:t>
      </w:r>
    </w:p>
    <w:p w14:paraId="7B89774B">
      <w:pPr>
        <w:ind w:firstLine="480"/>
      </w:pPr>
      <w:r>
        <w:rPr>
          <w:rFonts w:hint="eastAsia"/>
        </w:rPr>
        <w:t>邮    箱：ghyzbzx07@163.com</w:t>
      </w:r>
    </w:p>
    <w:p w14:paraId="30B205F8">
      <w:pPr>
        <w:pStyle w:val="4"/>
        <w:spacing w:before="312" w:after="312"/>
        <w:ind w:firstLine="641"/>
      </w:pPr>
      <w:bookmarkStart w:id="124" w:name="_Toc5510"/>
      <w:r>
        <w:rPr>
          <w:rFonts w:hint="eastAsia"/>
        </w:rPr>
        <w:t>9.电子招标投标注意事项</w:t>
      </w:r>
      <w:bookmarkEnd w:id="113"/>
      <w:bookmarkEnd w:id="114"/>
      <w:bookmarkEnd w:id="115"/>
      <w:bookmarkEnd w:id="116"/>
      <w:bookmarkEnd w:id="117"/>
      <w:bookmarkEnd w:id="118"/>
      <w:bookmarkEnd w:id="119"/>
      <w:bookmarkEnd w:id="120"/>
      <w:bookmarkEnd w:id="121"/>
      <w:bookmarkEnd w:id="122"/>
      <w:bookmarkEnd w:id="123"/>
      <w:bookmarkEnd w:id="124"/>
    </w:p>
    <w:p w14:paraId="44830C84">
      <w:pPr>
        <w:widowControl/>
        <w:ind w:firstLine="480"/>
        <w:jc w:val="left"/>
      </w:pPr>
      <w:r>
        <w:rPr>
          <w:rFonts w:hint="eastAsia"/>
        </w:rPr>
        <w:t>9.1</w:t>
      </w:r>
      <w:r>
        <w:rPr>
          <w:rFonts w:hint="eastAsia"/>
          <w:b/>
          <w:bCs/>
        </w:rPr>
        <w:t>供应商注册：</w:t>
      </w:r>
      <w:r>
        <w:rPr>
          <w:rFonts w:hint="eastAsia"/>
          <w:lang w:bidi="ar"/>
        </w:rPr>
        <w:t>投标人须登录“</w:t>
      </w:r>
      <w:r>
        <w:rPr>
          <w:rFonts w:hint="eastAsia" w:cs="华文宋体"/>
          <w:lang w:bidi="ar"/>
        </w:rPr>
        <w:t>中国煤科电子采购平台</w:t>
      </w:r>
      <w:r>
        <w:rPr>
          <w:lang w:bidi="ar"/>
        </w:rPr>
        <w:t>（http</w:t>
      </w:r>
      <w:r>
        <w:rPr>
          <w:rFonts w:hint="eastAsia"/>
          <w:lang w:bidi="ar"/>
        </w:rPr>
        <w:t>s</w:t>
      </w:r>
      <w:r>
        <w:rPr>
          <w:lang w:bidi="ar"/>
        </w:rPr>
        <w:t>://cg.ccteg.cn）</w:t>
      </w:r>
      <w:r>
        <w:rPr>
          <w:rFonts w:hint="eastAsia"/>
          <w:lang w:bidi="ar"/>
        </w:rPr>
        <w:t>，完成供应商注册后（</w:t>
      </w:r>
      <w:r>
        <w:rPr>
          <w:rFonts w:hint="eastAsia"/>
          <w:b/>
          <w:bCs/>
          <w:lang w:bidi="ar"/>
        </w:rPr>
        <w:t>审核需</w:t>
      </w:r>
      <w:r>
        <w:rPr>
          <w:b/>
          <w:bCs/>
          <w:lang w:bidi="ar"/>
        </w:rPr>
        <w:t>3</w:t>
      </w:r>
      <w:r>
        <w:rPr>
          <w:rFonts w:hint="eastAsia"/>
          <w:b/>
          <w:bCs/>
          <w:lang w:bidi="ar"/>
        </w:rPr>
        <w:t>个工作日</w:t>
      </w:r>
      <w:r>
        <w:rPr>
          <w:rFonts w:hint="eastAsia"/>
          <w:lang w:bidi="ar"/>
        </w:rPr>
        <w:t>），方可参与投标。</w:t>
      </w:r>
    </w:p>
    <w:p w14:paraId="6B8992C1">
      <w:pPr>
        <w:widowControl/>
        <w:spacing w:line="560" w:lineRule="exact"/>
        <w:ind w:firstLine="480" w:firstLineChars="0"/>
      </w:pPr>
      <w:r>
        <w:rPr>
          <w:rFonts w:hint="eastAsia"/>
        </w:rPr>
        <w:t>9.2</w:t>
      </w:r>
      <w:r>
        <w:rPr>
          <w:rFonts w:hint="eastAsia"/>
          <w:b/>
          <w:bCs/>
        </w:rPr>
        <w:t>投标指南：</w:t>
      </w:r>
      <w:r>
        <w:rPr>
          <w:rFonts w:hint="eastAsia"/>
          <w:lang w:bidi="ar"/>
        </w:rPr>
        <w:t>如有意向参与项目投标，投标人根据下载路径（【中国煤科电子采购平台首页】—【客服中心】—【投标指南】），下载并仔细阅读投标指南，自主学习投标流程</w:t>
      </w:r>
      <w:r>
        <w:rPr>
          <w:rFonts w:hint="eastAsia"/>
        </w:rPr>
        <w:t>。</w:t>
      </w:r>
    </w:p>
    <w:p w14:paraId="12A4CF8D">
      <w:pPr>
        <w:widowControl/>
        <w:ind w:firstLine="480"/>
        <w:jc w:val="left"/>
      </w:pPr>
      <w:r>
        <w:rPr>
          <w:rFonts w:hint="eastAsia"/>
        </w:rPr>
        <w:t>9.3</w:t>
      </w:r>
      <w:r>
        <w:rPr>
          <w:rFonts w:hint="eastAsia"/>
          <w:b/>
          <w:bCs/>
        </w:rPr>
        <w:t>标书购买及下载：登录</w:t>
      </w:r>
      <w:r>
        <w:rPr>
          <w:rFonts w:hint="eastAsia"/>
        </w:rPr>
        <w:t>供应商账号—招标采购管理—购买文件—选择项目放入购物车—去购物车结算—下订单—付款方式（现金）—附件上传标书费汇款凭证—提交—等待电子采购平台审核（审核需1个工作日）—审核后查看我的项目下载招标文件。</w:t>
      </w:r>
    </w:p>
    <w:p w14:paraId="347EE15B">
      <w:pPr>
        <w:pStyle w:val="2"/>
        <w:ind w:firstLine="480"/>
        <w:rPr>
          <w:sz w:val="24"/>
          <w:szCs w:val="20"/>
        </w:rPr>
      </w:pPr>
      <w:r>
        <w:rPr>
          <w:rFonts w:hint="eastAsia"/>
          <w:b/>
          <w:bCs/>
          <w:sz w:val="24"/>
          <w:szCs w:val="20"/>
        </w:rPr>
        <w:t>9.4招标代理服务费发票：</w:t>
      </w:r>
      <w:r>
        <w:rPr>
          <w:rFonts w:hint="eastAsia"/>
          <w:sz w:val="24"/>
          <w:szCs w:val="20"/>
        </w:rPr>
        <w:t>由招标代理机构在项目定标后自动开具增值税电子专用发票发送至投标人在中国煤科电子采购平台（https://cg.ccteg.cn）注册邮箱。发票仅显示名称和纳税人识别号。</w:t>
      </w:r>
    </w:p>
    <w:p w14:paraId="01FF81C9">
      <w:pPr>
        <w:widowControl/>
        <w:ind w:firstLine="480"/>
        <w:jc w:val="left"/>
      </w:pPr>
      <w:r>
        <w:rPr>
          <w:rFonts w:hint="eastAsia"/>
        </w:rPr>
        <w:t>9.5</w:t>
      </w:r>
      <w:r>
        <w:rPr>
          <w:rFonts w:hint="eastAsia"/>
          <w:b/>
          <w:bCs/>
        </w:rPr>
        <w:t>投标文件制作：</w:t>
      </w:r>
      <w:r>
        <w:rPr>
          <w:rFonts w:hint="eastAsia"/>
        </w:rPr>
        <w:t>须下载投标客户端和协卡助手（版本必须为3.5.8.4，不可点击升级），并在投标截止时间前成功递交到中国煤科电子采购平台（http://cg.ccteg.cn/cms/channel/ca/index.htm）中（投标文件份数、上传等事宜参见招标电子招标投标流程介绍）。</w:t>
      </w:r>
    </w:p>
    <w:p w14:paraId="259F8D6C">
      <w:pPr>
        <w:widowControl/>
        <w:ind w:firstLine="480"/>
        <w:jc w:val="left"/>
      </w:pPr>
      <w:r>
        <w:rPr>
          <w:rFonts w:hint="eastAsia"/>
        </w:rPr>
        <w:t>9.6</w:t>
      </w:r>
      <w:r>
        <w:rPr>
          <w:rFonts w:hint="eastAsia"/>
          <w:b/>
          <w:bCs/>
        </w:rPr>
        <w:t>CA证书：</w:t>
      </w:r>
      <w:r>
        <w:rPr>
          <w:rFonts w:hint="eastAsia"/>
        </w:rPr>
        <w:t>投标人获取招标文件后，若有意参与本项目后续投标，须尽快办理CA证书，</w:t>
      </w:r>
      <w:r>
        <w:rPr>
          <w:rFonts w:hint="eastAsia"/>
          <w:lang w:bidi="ar"/>
        </w:rPr>
        <w:t>办理方式详见“中国煤科电子采购平台（</w:t>
      </w:r>
      <w:r>
        <w:rPr>
          <w:lang w:bidi="ar"/>
        </w:rPr>
        <w:t>http</w:t>
      </w:r>
      <w:r>
        <w:rPr>
          <w:rFonts w:hint="eastAsia"/>
          <w:lang w:bidi="ar"/>
        </w:rPr>
        <w:t>s</w:t>
      </w:r>
      <w:r>
        <w:rPr>
          <w:lang w:bidi="ar"/>
        </w:rPr>
        <w:t>://cg.ccteg.cn/cms/channel/ca/index.htm</w:t>
      </w:r>
      <w:r>
        <w:rPr>
          <w:rFonts w:hint="eastAsia"/>
          <w:lang w:bidi="ar"/>
        </w:rPr>
        <w:t>）”首页—</w:t>
      </w:r>
      <w:r>
        <w:rPr>
          <w:lang w:bidi="ar"/>
        </w:rPr>
        <w:t>CA</w:t>
      </w:r>
      <w:r>
        <w:rPr>
          <w:rFonts w:hint="eastAsia"/>
          <w:lang w:bidi="ar"/>
        </w:rPr>
        <w:t>办理</w:t>
      </w:r>
      <w:r>
        <w:rPr>
          <w:rFonts w:hint="eastAsia"/>
        </w:rPr>
        <w:t>。</w:t>
      </w:r>
    </w:p>
    <w:p w14:paraId="363E026B">
      <w:pPr>
        <w:widowControl/>
        <w:ind w:firstLine="480"/>
        <w:jc w:val="left"/>
        <w:rPr>
          <w:b/>
          <w:bCs/>
        </w:rPr>
      </w:pPr>
      <w:r>
        <w:rPr>
          <w:rFonts w:hint="eastAsia"/>
          <w:b/>
          <w:bCs/>
        </w:rPr>
        <w:t>投标人未办理CA数字证书或CA数字证书认证过期的，将导致后续投标失败。</w:t>
      </w:r>
    </w:p>
    <w:p w14:paraId="6CBA7951">
      <w:pPr>
        <w:widowControl/>
        <w:spacing w:line="560" w:lineRule="exact"/>
        <w:ind w:firstLine="480" w:firstLineChars="0"/>
        <w:rPr>
          <w:lang w:bidi="ar"/>
        </w:rPr>
      </w:pPr>
      <w:r>
        <w:rPr>
          <w:rFonts w:hint="eastAsia"/>
        </w:rPr>
        <w:t>9.7</w:t>
      </w:r>
      <w:r>
        <w:rPr>
          <w:rFonts w:hint="eastAsia"/>
          <w:b/>
          <w:bCs/>
        </w:rPr>
        <w:t>技术支持：</w:t>
      </w:r>
      <w:r>
        <w:rPr>
          <w:rFonts w:hint="eastAsia"/>
          <w:lang w:bidi="ar"/>
        </w:rPr>
        <w:t>投标过程中如有采购平台技术操作疑问，请咨询平台客户服务中心，但无法确保所有问题都能得到成功解决。联系方式如下：</w:t>
      </w:r>
    </w:p>
    <w:p w14:paraId="586EE095">
      <w:pPr>
        <w:widowControl/>
        <w:spacing w:line="560" w:lineRule="exact"/>
        <w:ind w:firstLine="480" w:firstLineChars="0"/>
      </w:pPr>
      <w:r>
        <w:rPr>
          <w:spacing w:val="-7"/>
          <w:szCs w:val="21"/>
        </w:rPr>
        <w:t>工作时间：工作日8:30-11:30，13:30-17:00</w:t>
      </w:r>
    </w:p>
    <w:p w14:paraId="0116422B">
      <w:pPr>
        <w:widowControl/>
        <w:spacing w:line="560" w:lineRule="exact"/>
        <w:ind w:firstLine="480" w:firstLineChars="0"/>
        <w:rPr>
          <w:rFonts w:hint="default" w:eastAsia="华文宋体"/>
          <w:lang w:val="en-US" w:eastAsia="zh-CN" w:bidi="ar"/>
        </w:rPr>
      </w:pPr>
      <w:r>
        <w:rPr>
          <w:rFonts w:hint="eastAsia"/>
          <w:lang w:bidi="ar"/>
        </w:rPr>
        <w:t>操作咨询及技术支持：见电子采购平台首页操作咨询及技术支持处邮箱</w:t>
      </w:r>
      <w:r>
        <w:rPr>
          <w:rFonts w:hint="eastAsia"/>
          <w:lang w:val="en-US" w:eastAsia="zh-CN" w:bidi="ar"/>
        </w:rPr>
        <w:t>或QQ</w:t>
      </w:r>
    </w:p>
    <w:p w14:paraId="041B688E">
      <w:pPr>
        <w:widowControl/>
        <w:spacing w:line="560" w:lineRule="exact"/>
        <w:ind w:firstLine="480" w:firstLineChars="0"/>
      </w:pPr>
      <w:r>
        <w:rPr>
          <w:spacing w:val="-7"/>
          <w:szCs w:val="21"/>
        </w:rPr>
        <w:t>咨询时间：工作日09:00~11:00，13:30~17:30</w:t>
      </w:r>
    </w:p>
    <w:p w14:paraId="67CB66AB">
      <w:pPr>
        <w:widowControl/>
        <w:spacing w:line="560" w:lineRule="exact"/>
        <w:ind w:firstLine="480" w:firstLineChars="0"/>
      </w:pPr>
      <w:r>
        <w:rPr>
          <w:rFonts w:hint="eastAsia"/>
          <w:lang w:bidi="ar"/>
        </w:rPr>
        <w:t>CA数字证书客服咨询：</w:t>
      </w:r>
    </w:p>
    <w:p w14:paraId="686D42EE">
      <w:pPr>
        <w:widowControl/>
        <w:spacing w:line="560" w:lineRule="exact"/>
        <w:ind w:firstLine="480" w:firstLineChars="0"/>
      </w:pPr>
      <w:r>
        <w:rPr>
          <w:rFonts w:hint="eastAsia"/>
          <w:lang w:bidi="ar"/>
        </w:rPr>
        <w:t>电话：</w:t>
      </w:r>
      <w:r>
        <w:rPr>
          <w:lang w:bidi="ar"/>
        </w:rPr>
        <w:t>4008206660</w:t>
      </w:r>
      <w:r>
        <w:rPr>
          <w:rFonts w:hint="eastAsia"/>
          <w:lang w:bidi="ar"/>
        </w:rPr>
        <w:t>转</w:t>
      </w:r>
      <w:r>
        <w:rPr>
          <w:lang w:bidi="ar"/>
        </w:rPr>
        <w:t>6</w:t>
      </w:r>
    </w:p>
    <w:p w14:paraId="79353E66">
      <w:pPr>
        <w:widowControl/>
        <w:ind w:firstLine="480"/>
        <w:rPr>
          <w:lang w:bidi="ar"/>
        </w:rPr>
      </w:pPr>
      <w:r>
        <w:rPr>
          <w:rFonts w:hint="eastAsia"/>
          <w:lang w:bidi="ar"/>
        </w:rPr>
        <w:t>咨询时间：法定工作日09:00~18:00</w:t>
      </w:r>
    </w:p>
    <w:p w14:paraId="4DBFB1E7">
      <w:pPr>
        <w:pStyle w:val="2"/>
        <w:ind w:firstLine="480"/>
        <w:rPr>
          <w:sz w:val="24"/>
          <w:lang w:bidi="ar"/>
        </w:rPr>
      </w:pPr>
    </w:p>
    <w:p w14:paraId="461E4B88">
      <w:pPr>
        <w:pStyle w:val="2"/>
        <w:ind w:firstLine="452"/>
        <w:jc w:val="right"/>
        <w:rPr>
          <w:color w:val="000000" w:themeColor="text1"/>
          <w:sz w:val="24"/>
          <w:lang w:bidi="ar"/>
          <w14:textFill>
            <w14:solidFill>
              <w14:schemeClr w14:val="tx1"/>
            </w14:solidFill>
          </w14:textFill>
        </w:rPr>
      </w:pPr>
      <w:r>
        <w:rPr>
          <w:spacing w:val="-7"/>
          <w:sz w:val="24"/>
          <w:szCs w:val="21"/>
        </w:rPr>
        <w:t>煤炭工业规划设计研究院有限公司</w:t>
      </w:r>
    </w:p>
    <w:p w14:paraId="59257025">
      <w:pPr>
        <w:pStyle w:val="2"/>
        <w:ind w:firstLine="480"/>
        <w:jc w:val="right"/>
        <w:rPr>
          <w:color w:val="000000" w:themeColor="text1"/>
          <w:sz w:val="24"/>
          <w:highlight w:val="none"/>
          <w:lang w:bidi="ar"/>
          <w14:textFill>
            <w14:solidFill>
              <w14:schemeClr w14:val="tx1"/>
            </w14:solidFill>
          </w14:textFill>
        </w:rPr>
      </w:pPr>
      <w:r>
        <w:rPr>
          <w:rFonts w:hint="eastAsia"/>
          <w:color w:val="000000" w:themeColor="text1"/>
          <w:sz w:val="24"/>
          <w:highlight w:val="none"/>
          <w:lang w:bidi="ar"/>
          <w14:textFill>
            <w14:solidFill>
              <w14:schemeClr w14:val="tx1"/>
            </w14:solidFill>
          </w14:textFill>
        </w:rPr>
        <w:t>2026年</w:t>
      </w:r>
      <w:r>
        <w:rPr>
          <w:rFonts w:hint="eastAsia"/>
          <w:color w:val="000000" w:themeColor="text1"/>
          <w:sz w:val="24"/>
          <w:highlight w:val="none"/>
          <w:lang w:val="en-US" w:eastAsia="zh-CN" w:bidi="ar"/>
          <w14:textFill>
            <w14:solidFill>
              <w14:schemeClr w14:val="tx1"/>
            </w14:solidFill>
          </w14:textFill>
        </w:rPr>
        <w:t>9</w:t>
      </w:r>
      <w:r>
        <w:rPr>
          <w:rFonts w:hint="eastAsia"/>
          <w:color w:val="000000" w:themeColor="text1"/>
          <w:sz w:val="24"/>
          <w:highlight w:val="none"/>
          <w:lang w:bidi="ar"/>
          <w14:textFill>
            <w14:solidFill>
              <w14:schemeClr w14:val="tx1"/>
            </w14:solidFill>
          </w14:textFill>
        </w:rPr>
        <w:t>月</w:t>
      </w:r>
      <w:r>
        <w:rPr>
          <w:rFonts w:hint="eastAsia"/>
          <w:color w:val="000000" w:themeColor="text1"/>
          <w:sz w:val="24"/>
          <w:highlight w:val="none"/>
          <w:lang w:val="en-US" w:eastAsia="zh-CN" w:bidi="ar"/>
          <w14:textFill>
            <w14:solidFill>
              <w14:schemeClr w14:val="tx1"/>
            </w14:solidFill>
          </w14:textFill>
        </w:rPr>
        <w:t>15</w:t>
      </w:r>
      <w:r>
        <w:rPr>
          <w:rFonts w:hint="eastAsia"/>
          <w:color w:val="000000" w:themeColor="text1"/>
          <w:sz w:val="24"/>
          <w:highlight w:val="none"/>
          <w:lang w:bidi="ar"/>
          <w14:textFill>
            <w14:solidFill>
              <w14:schemeClr w14:val="tx1"/>
            </w14:solidFill>
          </w14:textFill>
        </w:rPr>
        <w:t>日</w:t>
      </w:r>
    </w:p>
    <w:p w14:paraId="6152927C">
      <w:pPr>
        <w:ind w:firstLine="480"/>
      </w:pPr>
      <w:r>
        <w:br w:type="page"/>
      </w:r>
    </w:p>
    <w:p w14:paraId="5DEB4517">
      <w:pPr>
        <w:pStyle w:val="3"/>
        <w:pageBreakBefore/>
        <w:spacing w:line="400" w:lineRule="exact"/>
        <w:rPr>
          <w:rFonts w:hint="eastAsia"/>
        </w:rPr>
      </w:pPr>
      <w:bookmarkStart w:id="125" w:name="_Toc740167658"/>
      <w:bookmarkStart w:id="126" w:name="_Toc1777973385"/>
      <w:bookmarkStart w:id="127" w:name="_Toc701035893"/>
      <w:bookmarkStart w:id="128" w:name="_Toc5618"/>
      <w:bookmarkStart w:id="129" w:name="_Toc306485664"/>
      <w:bookmarkStart w:id="130" w:name="_Toc2070831487"/>
      <w:bookmarkStart w:id="131" w:name="_Toc901353460"/>
      <w:bookmarkStart w:id="132" w:name="_Toc19752"/>
      <w:bookmarkStart w:id="133" w:name="_Toc1439"/>
      <w:bookmarkStart w:id="134" w:name="_Toc30802"/>
      <w:bookmarkStart w:id="135" w:name="_Toc25765"/>
      <w:bookmarkStart w:id="136" w:name="_Toc1028306411"/>
      <w:bookmarkStart w:id="137" w:name="_Toc1032155178"/>
      <w:bookmarkStart w:id="138" w:name="_Toc23410"/>
      <w:bookmarkStart w:id="139" w:name="_Toc432306941"/>
      <w:r>
        <w:t>第二章</w:t>
      </w:r>
      <w:r>
        <w:rPr>
          <w:rFonts w:hint="eastAsia"/>
        </w:rPr>
        <w:t xml:space="preserve"> </w:t>
      </w:r>
      <w:r>
        <w:t>投标人须知</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3506EA9C">
      <w:pPr>
        <w:pStyle w:val="4"/>
        <w:spacing w:before="312" w:after="312"/>
        <w:ind w:firstLine="641"/>
        <w:jc w:val="center"/>
        <w:rPr>
          <w:rFonts w:hint="eastAsia" w:ascii="华文宋体" w:hAnsi="华文宋体"/>
          <w:szCs w:val="32"/>
        </w:rPr>
      </w:pPr>
      <w:bookmarkStart w:id="140" w:name="_Toc11399"/>
      <w:bookmarkStart w:id="141" w:name="_Toc24212"/>
      <w:bookmarkStart w:id="142" w:name="_Toc5905"/>
      <w:bookmarkStart w:id="143" w:name="_Toc845579586"/>
      <w:bookmarkStart w:id="144" w:name="_Toc1438769342"/>
      <w:bookmarkStart w:id="145" w:name="_Toc27822"/>
      <w:bookmarkStart w:id="146" w:name="_Toc197335080"/>
      <w:bookmarkStart w:id="147" w:name="_Toc1214966209"/>
      <w:bookmarkStart w:id="148" w:name="_Toc163733690"/>
      <w:bookmarkStart w:id="149" w:name="_Toc412"/>
      <w:bookmarkStart w:id="150" w:name="_Toc1772544582"/>
      <w:bookmarkStart w:id="151" w:name="_Toc377571998"/>
      <w:bookmarkStart w:id="152" w:name="_Toc1944942268"/>
      <w:bookmarkStart w:id="153" w:name="_Toc59176180"/>
      <w:bookmarkStart w:id="154" w:name="_Toc697956282"/>
      <w:bookmarkStart w:id="155" w:name="_Toc23150"/>
      <w:bookmarkStart w:id="156" w:name="_Toc993"/>
      <w:r>
        <w:rPr>
          <w:rFonts w:hint="eastAsia" w:ascii="华文宋体" w:hAnsi="华文宋体"/>
          <w:szCs w:val="32"/>
        </w:rPr>
        <w:t>1.</w:t>
      </w:r>
      <w:r>
        <w:rPr>
          <w:rFonts w:ascii="华文宋体" w:hAnsi="华文宋体"/>
          <w:szCs w:val="32"/>
        </w:rPr>
        <w:t>投标人须知前附表</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tbl>
      <w:tblPr>
        <w:tblStyle w:val="2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3"/>
        <w:gridCol w:w="2383"/>
        <w:gridCol w:w="5086"/>
      </w:tblGrid>
      <w:tr w14:paraId="5B48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7C3EEDD">
            <w:pPr>
              <w:spacing w:line="440" w:lineRule="exact"/>
              <w:ind w:firstLine="0" w:firstLineChars="0"/>
              <w:jc w:val="center"/>
            </w:pPr>
            <w:bookmarkStart w:id="157" w:name="_Toc377571999"/>
            <w:r>
              <w:rPr>
                <w:rFonts w:hint="eastAsia" w:ascii="华文宋体" w:hAnsi="华文宋体" w:cs="华文宋体"/>
                <w:b/>
                <w:bCs/>
                <w:sz w:val="21"/>
                <w:szCs w:val="21"/>
              </w:rPr>
              <w:t>条款号</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5B44CB0">
            <w:pPr>
              <w:spacing w:line="440" w:lineRule="exact"/>
              <w:ind w:firstLine="0" w:firstLineChars="0"/>
              <w:jc w:val="center"/>
              <w:rPr>
                <w:rFonts w:hint="eastAsia" w:ascii="华文宋体" w:hAnsi="华文宋体" w:cs="华文宋体"/>
                <w:b/>
                <w:sz w:val="21"/>
                <w:szCs w:val="21"/>
              </w:rPr>
            </w:pPr>
            <w:r>
              <w:rPr>
                <w:rFonts w:hint="eastAsia" w:ascii="华文宋体" w:hAnsi="华文宋体" w:cs="华文宋体"/>
                <w:b/>
                <w:bCs/>
                <w:sz w:val="21"/>
                <w:szCs w:val="21"/>
              </w:rPr>
              <w:t>条款名称</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1536B10">
            <w:pPr>
              <w:spacing w:line="440" w:lineRule="exact"/>
              <w:ind w:firstLine="0" w:firstLineChars="0"/>
              <w:jc w:val="center"/>
              <w:rPr>
                <w:rFonts w:hint="eastAsia" w:ascii="华文宋体" w:hAnsi="华文宋体" w:cs="华文宋体"/>
                <w:b/>
                <w:sz w:val="21"/>
                <w:szCs w:val="21"/>
              </w:rPr>
            </w:pPr>
            <w:r>
              <w:rPr>
                <w:rFonts w:hint="eastAsia" w:ascii="华文宋体" w:hAnsi="华文宋体" w:cs="华文宋体"/>
                <w:b/>
                <w:bCs/>
                <w:sz w:val="21"/>
                <w:szCs w:val="21"/>
              </w:rPr>
              <w:t>编列内容</w:t>
            </w:r>
          </w:p>
        </w:tc>
      </w:tr>
      <w:tr w14:paraId="4369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E60EB71">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1.1.2</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070CBB2">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招标人</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60E2030">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6D47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0402282">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1.1.3</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0EBF1A4">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招标代理机构</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0D8A600">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679F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97C0161">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1.1.4</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EBD3548">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招标项目名称</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D86CA18">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2F84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AA36BB5">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1.2.1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EAB935B">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资金来源及比例</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115C5A3">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企业自筹100%</w:t>
            </w:r>
          </w:p>
        </w:tc>
      </w:tr>
      <w:tr w14:paraId="54A05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0CD6A24">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1.2.2</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348A801">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资金落实情况</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DC23F65">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已落实</w:t>
            </w:r>
          </w:p>
        </w:tc>
      </w:tr>
      <w:tr w14:paraId="5F98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B80878A">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1.3.1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84713DD">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招标范围</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2FE6C8E">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76D1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34EB814">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1.3.2</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CA04809">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服务期</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9F08A71">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4F17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0A8B123">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1.3.3</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1F84DA3">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服务地点</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E9BCD0C">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2CEF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537CB58">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1.3.4</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8F0BAD4">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服务质量及标准</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164FFF8">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见招标文件第五章</w:t>
            </w:r>
          </w:p>
        </w:tc>
      </w:tr>
      <w:tr w14:paraId="0587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B5EEDF9">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1.4.1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8A5E60A">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投标人资格要求</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0067368">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5B3B7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D2F2D31">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1.4.2</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20F0EC2">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是否接受联合体投标</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E85C76D">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见招标公告</w:t>
            </w:r>
          </w:p>
        </w:tc>
      </w:tr>
      <w:tr w14:paraId="4FC0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2EC8F2A">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1.4.3</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024C71B">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投标人不得存在的其他情形</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A67C4A5">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w:t>
            </w:r>
          </w:p>
        </w:tc>
      </w:tr>
      <w:tr w14:paraId="5A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048D8D7">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1.5.2</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8D6CCC0">
            <w:pPr>
              <w:spacing w:line="360" w:lineRule="auto"/>
              <w:ind w:firstLine="0" w:firstLineChars="0"/>
              <w:jc w:val="center"/>
              <w:rPr>
                <w:rFonts w:hint="eastAsia" w:ascii="华文宋体" w:hAnsi="华文宋体" w:cs="华文宋体"/>
                <w:sz w:val="21"/>
                <w:szCs w:val="21"/>
              </w:rPr>
            </w:pPr>
            <w:r>
              <w:rPr>
                <w:rFonts w:ascii="华文宋体" w:hAnsi="华文宋体" w:cs="华文宋体"/>
                <w:sz w:val="21"/>
                <w:szCs w:val="21"/>
              </w:rPr>
              <w:t>代理服务费</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0ADCAF8">
            <w:pPr>
              <w:spacing w:line="360" w:lineRule="auto"/>
              <w:ind w:firstLine="0" w:firstLineChars="0"/>
              <w:rPr>
                <w:rFonts w:hint="eastAsia" w:ascii="华文宋体" w:hAnsi="华文宋体" w:cs="华文宋体"/>
                <w:sz w:val="21"/>
                <w:szCs w:val="21"/>
              </w:rPr>
            </w:pPr>
            <w:r>
              <w:rPr>
                <w:rFonts w:ascii="华文宋体" w:hAnsi="华文宋体" w:cs="华文宋体"/>
                <w:b/>
                <w:bCs/>
                <w:sz w:val="24"/>
                <w:szCs w:val="24"/>
              </w:rPr>
              <w:sym w:font="Wingdings 2" w:char="0052"/>
            </w:r>
            <w:r>
              <w:rPr>
                <w:rFonts w:hint="eastAsia" w:ascii="华文宋体" w:hAnsi="华文宋体" w:cs="华文宋体"/>
                <w:b/>
                <w:bCs/>
                <w:color w:val="000000"/>
                <w:sz w:val="24"/>
                <w:szCs w:val="24"/>
              </w:rPr>
              <w:t>差额定率累进法</w:t>
            </w:r>
            <w:r>
              <w:rPr>
                <w:rFonts w:hint="eastAsia" w:ascii="华文宋体" w:hAnsi="华文宋体" w:cs="华文宋体"/>
                <w:color w:val="000000"/>
                <w:sz w:val="21"/>
                <w:szCs w:val="21"/>
              </w:rPr>
              <w:t>：中标投标总价金额为收费的计算基数。</w:t>
            </w:r>
          </w:p>
          <w:p w14:paraId="2BDE0030">
            <w:pPr>
              <w:topLinePunct/>
              <w:spacing w:line="360" w:lineRule="auto"/>
              <w:ind w:firstLine="0" w:firstLineChars="0"/>
              <w:rPr>
                <w:rFonts w:hint="eastAsia" w:ascii="华文宋体" w:hAnsi="华文宋体" w:cs="华文宋体"/>
                <w:sz w:val="21"/>
                <w:szCs w:val="21"/>
              </w:rPr>
            </w:pPr>
            <w:r>
              <w:rPr>
                <w:rFonts w:ascii="华文宋体" w:hAnsi="华文宋体" w:cs="华文宋体"/>
                <w:sz w:val="21"/>
                <w:szCs w:val="21"/>
              </w:rPr>
              <w:sym w:font="Wingdings 2" w:char="00A3"/>
            </w:r>
            <w:r>
              <w:rPr>
                <w:rFonts w:ascii="华文宋体" w:hAnsi="华文宋体" w:cs="华文宋体"/>
                <w:sz w:val="21"/>
                <w:szCs w:val="21"/>
              </w:rPr>
              <w:t>其他规定：按照固定金额收取，收取标准:</w:t>
            </w:r>
          </w:p>
          <w:p w14:paraId="5FD81CFC">
            <w:pPr>
              <w:spacing w:line="360" w:lineRule="auto"/>
              <w:ind w:firstLine="0" w:firstLineChars="0"/>
            </w:pPr>
            <w:r>
              <w:rPr>
                <w:rFonts w:ascii="华文宋体" w:hAnsi="华文宋体" w:cs="华文宋体"/>
                <w:sz w:val="21"/>
                <w:szCs w:val="21"/>
              </w:rPr>
              <w:t>招标代理机构从投标人提交的电汇形式的投标保证金中直接收取应收部分，多退少补；以投标保证保险或投标保证保函等形式递交投标保证金，以及未收取投标保证金的项目，中标人应在收到招标代理服务费缴费通知函通知后5日内由中标人向代理机构交纳代理服务费。</w:t>
            </w:r>
          </w:p>
          <w:p w14:paraId="5FC542AB">
            <w:pPr>
              <w:topLinePunct/>
              <w:spacing w:line="360" w:lineRule="auto"/>
              <w:ind w:firstLine="0" w:firstLineChars="0"/>
              <w:rPr>
                <w:rFonts w:hint="eastAsia" w:ascii="华文宋体" w:hAnsi="华文宋体" w:cs="华文宋体"/>
                <w:color w:val="FF0000"/>
                <w:sz w:val="21"/>
                <w:szCs w:val="21"/>
              </w:rPr>
            </w:pPr>
            <w:r>
              <w:rPr>
                <w:rFonts w:hint="eastAsia" w:ascii="华文宋体" w:hAnsi="华文宋体" w:cs="华文宋体"/>
                <w:b/>
                <w:bCs/>
                <w:sz w:val="21"/>
                <w:szCs w:val="21"/>
              </w:rPr>
              <w:t>招标代理费发票：</w:t>
            </w:r>
            <w:r>
              <w:rPr>
                <w:rFonts w:ascii="华文宋体" w:hAnsi="华文宋体" w:cs="华文宋体"/>
                <w:sz w:val="21"/>
                <w:szCs w:val="21"/>
              </w:rPr>
              <w:t>增值税电子专票，开具后发送至投标人购买招标文件时填写的电子邮箱。</w:t>
            </w:r>
          </w:p>
        </w:tc>
      </w:tr>
      <w:tr w14:paraId="38AA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56DE7AC">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1.5.3</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BD6E0A0">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本项目招标类别</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6129E83">
            <w:pPr>
              <w:pStyle w:val="6"/>
              <w:spacing w:line="440" w:lineRule="exact"/>
              <w:ind w:firstLine="0" w:firstLineChars="0"/>
              <w:rPr>
                <w:rFonts w:hint="eastAsia" w:ascii="华文宋体" w:hAnsi="华文宋体" w:cs="华文宋体"/>
                <w:b/>
                <w:bCs/>
                <w:kern w:val="2"/>
                <w:sz w:val="24"/>
                <w:szCs w:val="24"/>
              </w:rPr>
            </w:pPr>
            <w:bookmarkStart w:id="1986" w:name="_GoBack"/>
            <w:r>
              <w:rPr>
                <w:rFonts w:ascii="华文宋体" w:hAnsi="华文宋体" w:cs="华文宋体"/>
                <w:b/>
                <w:bCs/>
                <w:kern w:val="2"/>
                <w:sz w:val="24"/>
                <w:szCs w:val="24"/>
              </w:rPr>
              <w:sym w:font="Wingdings 2" w:char="0052"/>
            </w:r>
            <w:r>
              <w:rPr>
                <w:rFonts w:ascii="华文宋体" w:hAnsi="华文宋体" w:cs="华文宋体"/>
                <w:b/>
                <w:bCs/>
                <w:kern w:val="2"/>
                <w:sz w:val="24"/>
                <w:szCs w:val="24"/>
              </w:rPr>
              <w:t>货物</w:t>
            </w:r>
          </w:p>
          <w:bookmarkEnd w:id="1986"/>
          <w:p w14:paraId="14E8A52B">
            <w:pPr>
              <w:pStyle w:val="6"/>
              <w:spacing w:line="440" w:lineRule="exact"/>
              <w:ind w:firstLine="0" w:firstLineChars="0"/>
              <w:rPr>
                <w:rFonts w:hint="eastAsia" w:ascii="华文宋体" w:hAnsi="华文宋体" w:cs="华文宋体"/>
                <w:kern w:val="2"/>
                <w:sz w:val="21"/>
                <w:szCs w:val="21"/>
              </w:rPr>
            </w:pPr>
            <w:r>
              <w:rPr>
                <w:rFonts w:ascii="华文宋体" w:hAnsi="华文宋体" w:cs="华文宋体"/>
                <w:kern w:val="2"/>
                <w:sz w:val="21"/>
                <w:szCs w:val="21"/>
              </w:rPr>
              <w:sym w:font="Wingdings 2" w:char="00A3"/>
            </w:r>
            <w:r>
              <w:rPr>
                <w:rFonts w:ascii="华文宋体" w:hAnsi="华文宋体" w:cs="华文宋体"/>
                <w:kern w:val="2"/>
                <w:sz w:val="21"/>
                <w:szCs w:val="21"/>
              </w:rPr>
              <w:t>工程</w:t>
            </w:r>
          </w:p>
          <w:p w14:paraId="4BB94514">
            <w:pPr>
              <w:pStyle w:val="6"/>
              <w:spacing w:line="440" w:lineRule="exact"/>
              <w:ind w:firstLine="0" w:firstLineChars="0"/>
              <w:rPr>
                <w:rFonts w:hint="eastAsia" w:ascii="华文宋体" w:hAnsi="华文宋体" w:cs="华文宋体"/>
                <w:sz w:val="21"/>
                <w:szCs w:val="21"/>
              </w:rPr>
            </w:pPr>
            <w:r>
              <w:rPr>
                <w:rFonts w:ascii="华文宋体" w:hAnsi="华文宋体" w:cs="华文宋体"/>
                <w:b w:val="0"/>
                <w:bCs w:val="0"/>
                <w:kern w:val="2"/>
                <w:sz w:val="21"/>
                <w:szCs w:val="21"/>
              </w:rPr>
              <w:sym w:font="Wingdings 2" w:char="00A3"/>
            </w:r>
            <w:r>
              <w:rPr>
                <w:rFonts w:ascii="华文宋体" w:hAnsi="华文宋体" w:cs="华文宋体"/>
                <w:b w:val="0"/>
                <w:bCs w:val="0"/>
                <w:kern w:val="2"/>
                <w:sz w:val="21"/>
                <w:szCs w:val="21"/>
              </w:rPr>
              <w:t>服务</w:t>
            </w:r>
          </w:p>
        </w:tc>
      </w:tr>
      <w:tr w14:paraId="6C8B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104F441">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1.9.1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6BB04F2">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投标预备会</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A275ED4">
            <w:pPr>
              <w:spacing w:line="440" w:lineRule="exact"/>
              <w:ind w:firstLine="0" w:firstLineChars="0"/>
              <w:rPr>
                <w:rFonts w:hint="eastAsia" w:ascii="华文宋体" w:hAnsi="华文宋体" w:cs="华文宋体"/>
                <w:b/>
                <w:bCs/>
                <w:sz w:val="24"/>
                <w:szCs w:val="24"/>
              </w:rPr>
            </w:pPr>
            <w:r>
              <w:rPr>
                <w:rFonts w:ascii="华文宋体" w:hAnsi="华文宋体" w:cs="华文宋体"/>
                <w:b/>
                <w:bCs/>
                <w:sz w:val="24"/>
                <w:szCs w:val="24"/>
              </w:rPr>
              <w:sym w:font="Wingdings 2" w:char="0052"/>
            </w:r>
            <w:r>
              <w:rPr>
                <w:rFonts w:ascii="华文宋体" w:hAnsi="华文宋体" w:cs="华文宋体"/>
                <w:b/>
                <w:bCs/>
                <w:sz w:val="24"/>
                <w:szCs w:val="24"/>
              </w:rPr>
              <w:t>不召开</w:t>
            </w:r>
          </w:p>
          <w:p w14:paraId="2EB042F6">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□召开，召开时间：</w:t>
            </w:r>
          </w:p>
          <w:p w14:paraId="3AE08C8A">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召开地点：</w:t>
            </w:r>
          </w:p>
        </w:tc>
      </w:tr>
      <w:tr w14:paraId="2609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1366D9F">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1.10.1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0D4123F">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分包</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B11CA97">
            <w:pPr>
              <w:spacing w:line="440" w:lineRule="exact"/>
              <w:ind w:firstLine="0" w:firstLineChars="0"/>
              <w:rPr>
                <w:rFonts w:hint="eastAsia" w:ascii="华文宋体" w:hAnsi="华文宋体" w:cs="华文宋体"/>
                <w:b/>
                <w:bCs/>
                <w:sz w:val="24"/>
                <w:szCs w:val="24"/>
              </w:rPr>
            </w:pPr>
            <w:r>
              <w:rPr>
                <w:rFonts w:ascii="华文宋体" w:hAnsi="华文宋体" w:cs="华文宋体"/>
                <w:b/>
                <w:bCs/>
                <w:sz w:val="24"/>
                <w:szCs w:val="24"/>
              </w:rPr>
              <w:t>☑不允许</w:t>
            </w:r>
          </w:p>
          <w:p w14:paraId="0AF8705A">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□允许，分包内容要求：</w:t>
            </w:r>
          </w:p>
          <w:p w14:paraId="4C2737AD">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分包金额要求：</w:t>
            </w:r>
          </w:p>
          <w:p w14:paraId="3687D58D">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对分包人的资质要求：</w:t>
            </w:r>
          </w:p>
        </w:tc>
      </w:tr>
      <w:tr w14:paraId="05C4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vMerge w:val="restart"/>
            <w:tcBorders>
              <w:top w:val="single" w:color="auto" w:sz="4" w:space="0"/>
              <w:left w:val="single" w:color="auto" w:sz="4" w:space="0"/>
              <w:right w:val="single" w:color="auto" w:sz="4" w:space="0"/>
            </w:tcBorders>
            <w:tcMar>
              <w:left w:w="108" w:type="dxa"/>
              <w:right w:w="108" w:type="dxa"/>
            </w:tcMar>
            <w:vAlign w:val="center"/>
          </w:tcPr>
          <w:p w14:paraId="4ADDDF8C">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2.2.1</w:t>
            </w:r>
          </w:p>
        </w:tc>
        <w:tc>
          <w:tcPr>
            <w:tcW w:w="2383" w:type="dxa"/>
            <w:vMerge w:val="restart"/>
            <w:tcBorders>
              <w:top w:val="single" w:color="auto" w:sz="4" w:space="0"/>
              <w:left w:val="single" w:color="auto" w:sz="4" w:space="0"/>
              <w:right w:val="single" w:color="auto" w:sz="4" w:space="0"/>
            </w:tcBorders>
            <w:tcMar>
              <w:left w:w="108" w:type="dxa"/>
              <w:right w:w="108" w:type="dxa"/>
            </w:tcMar>
            <w:vAlign w:val="center"/>
          </w:tcPr>
          <w:p w14:paraId="3C9D7B4E">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投标人要求澄清招标文件</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D2E7E0D">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时间：投标截止时间</w:t>
            </w:r>
            <w:r>
              <w:rPr>
                <w:rFonts w:hint="eastAsia" w:ascii="华文宋体" w:hAnsi="华文宋体" w:cs="华文宋体"/>
                <w:sz w:val="21"/>
                <w:szCs w:val="21"/>
              </w:rPr>
              <w:t>10</w:t>
            </w:r>
            <w:r>
              <w:rPr>
                <w:rFonts w:ascii="华文宋体" w:hAnsi="华文宋体" w:cs="华文宋体"/>
                <w:sz w:val="21"/>
                <w:szCs w:val="21"/>
              </w:rPr>
              <w:t>日前</w:t>
            </w:r>
          </w:p>
        </w:tc>
      </w:tr>
      <w:tr w14:paraId="64989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vMerge w:val="continue"/>
            <w:tcBorders>
              <w:top w:val="single" w:color="auto" w:sz="4" w:space="0"/>
              <w:left w:val="single" w:color="auto" w:sz="4" w:space="0"/>
              <w:right w:val="single" w:color="auto" w:sz="4" w:space="0"/>
            </w:tcBorders>
            <w:tcMar>
              <w:left w:w="108" w:type="dxa"/>
              <w:right w:w="108" w:type="dxa"/>
            </w:tcMar>
            <w:vAlign w:val="center"/>
          </w:tcPr>
          <w:p w14:paraId="301C0A55">
            <w:pPr>
              <w:ind w:firstLine="480"/>
            </w:pPr>
          </w:p>
        </w:tc>
        <w:tc>
          <w:tcPr>
            <w:tcW w:w="2383" w:type="dxa"/>
            <w:vMerge w:val="continue"/>
            <w:tcBorders>
              <w:top w:val="single" w:color="auto" w:sz="4" w:space="0"/>
              <w:left w:val="single" w:color="auto" w:sz="4" w:space="0"/>
              <w:right w:val="single" w:color="auto" w:sz="4" w:space="0"/>
            </w:tcBorders>
            <w:tcMar>
              <w:left w:w="108" w:type="dxa"/>
              <w:right w:w="108" w:type="dxa"/>
            </w:tcMar>
            <w:vAlign w:val="center"/>
          </w:tcPr>
          <w:p w14:paraId="77A83A5F">
            <w:pPr>
              <w:ind w:firstLine="480"/>
            </w:pP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DCB9CC7">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形式：以书面形式在中国煤科电子采购平台中提出并通知招标代理机构，澄清文件应包含盖章彩色扫描版及word版。</w:t>
            </w:r>
          </w:p>
        </w:tc>
      </w:tr>
      <w:tr w14:paraId="1D1F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left w:val="single" w:color="auto" w:sz="4" w:space="0"/>
              <w:bottom w:val="single" w:color="auto" w:sz="4" w:space="0"/>
              <w:right w:val="single" w:color="auto" w:sz="4" w:space="0"/>
            </w:tcBorders>
            <w:tcMar>
              <w:left w:w="108" w:type="dxa"/>
              <w:right w:w="108" w:type="dxa"/>
            </w:tcMar>
            <w:vAlign w:val="center"/>
          </w:tcPr>
          <w:p w14:paraId="4C213D15">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2.2.2</w:t>
            </w:r>
          </w:p>
        </w:tc>
        <w:tc>
          <w:tcPr>
            <w:tcW w:w="2383" w:type="dxa"/>
            <w:tcBorders>
              <w:left w:val="single" w:color="auto" w:sz="4" w:space="0"/>
              <w:bottom w:val="single" w:color="auto" w:sz="4" w:space="0"/>
              <w:right w:val="single" w:color="auto" w:sz="4" w:space="0"/>
            </w:tcBorders>
            <w:tcMar>
              <w:left w:w="108" w:type="dxa"/>
              <w:right w:w="108" w:type="dxa"/>
            </w:tcMar>
            <w:vAlign w:val="center"/>
          </w:tcPr>
          <w:p w14:paraId="05DED133">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招标文件澄清发出的形式</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4FDBCA6">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在中国煤科电子采购平台本项目澄清管理中以书面形式发出。</w:t>
            </w:r>
          </w:p>
        </w:tc>
      </w:tr>
      <w:tr w14:paraId="43A9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2EAA67B">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3.2.4</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7845A5D">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最高投标限价</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D212E16">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sym w:font="Wingdings 2" w:char="00A3"/>
            </w:r>
            <w:r>
              <w:rPr>
                <w:rFonts w:ascii="华文宋体" w:hAnsi="华文宋体" w:cs="华文宋体"/>
                <w:sz w:val="21"/>
                <w:szCs w:val="21"/>
              </w:rPr>
              <w:t>无</w:t>
            </w:r>
          </w:p>
          <w:p w14:paraId="1197B6BB">
            <w:pPr>
              <w:spacing w:line="440" w:lineRule="exact"/>
              <w:ind w:firstLine="0" w:firstLineChars="0"/>
              <w:rPr>
                <w:rFonts w:hint="eastAsia" w:ascii="华文宋体" w:hAnsi="华文宋体" w:cs="华文宋体"/>
                <w:sz w:val="21"/>
                <w:szCs w:val="21"/>
              </w:rPr>
            </w:pPr>
            <w:r>
              <w:rPr>
                <w:rFonts w:ascii="华文宋体" w:hAnsi="华文宋体" w:cs="华文宋体"/>
                <w:b/>
                <w:bCs/>
                <w:sz w:val="24"/>
                <w:szCs w:val="24"/>
              </w:rPr>
              <w:t>☑有</w:t>
            </w:r>
            <w:r>
              <w:rPr>
                <w:rFonts w:ascii="华文宋体" w:hAnsi="华文宋体" w:cs="华文宋体"/>
                <w:sz w:val="21"/>
                <w:szCs w:val="21"/>
              </w:rPr>
              <w:t>，最高投标限价</w:t>
            </w:r>
            <w:r>
              <w:rPr>
                <w:rFonts w:hint="eastAsia" w:ascii="华文宋体" w:hAnsi="华文宋体" w:cs="华文宋体"/>
                <w:sz w:val="21"/>
                <w:szCs w:val="21"/>
                <w:lang w:eastAsia="zh-CN"/>
              </w:rPr>
              <w:t>（</w:t>
            </w:r>
            <w:r>
              <w:rPr>
                <w:rFonts w:hint="eastAsia" w:ascii="华文宋体" w:hAnsi="华文宋体" w:cs="华文宋体"/>
                <w:sz w:val="21"/>
                <w:szCs w:val="21"/>
                <w:lang w:val="en-US" w:eastAsia="zh-CN"/>
              </w:rPr>
              <w:t>含税</w:t>
            </w:r>
            <w:r>
              <w:rPr>
                <w:rFonts w:hint="eastAsia" w:ascii="华文宋体" w:hAnsi="华文宋体" w:cs="华文宋体"/>
                <w:sz w:val="21"/>
                <w:szCs w:val="21"/>
                <w:lang w:eastAsia="zh-CN"/>
              </w:rPr>
              <w:t>）</w:t>
            </w:r>
            <w:r>
              <w:rPr>
                <w:rFonts w:hint="eastAsia" w:ascii="华文宋体" w:hAnsi="华文宋体" w:cs="华文宋体"/>
                <w:sz w:val="21"/>
                <w:szCs w:val="21"/>
              </w:rPr>
              <w:t>：</w:t>
            </w:r>
          </w:p>
          <w:p w14:paraId="54D7429B">
            <w:pPr>
              <w:spacing w:line="44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t>¥</w:t>
            </w:r>
            <w:r>
              <w:rPr>
                <w:rFonts w:ascii="华文宋体" w:hAnsi="华文宋体" w:cs="华文宋体"/>
                <w:sz w:val="21"/>
                <w:szCs w:val="21"/>
              </w:rPr>
              <w:t>230</w:t>
            </w:r>
            <w:r>
              <w:rPr>
                <w:rFonts w:hint="eastAsia" w:ascii="华文宋体" w:hAnsi="华文宋体" w:cs="华文宋体"/>
                <w:sz w:val="21"/>
                <w:szCs w:val="21"/>
              </w:rPr>
              <w:t>0000（大写人民币：贰佰叁拾万元整）</w:t>
            </w:r>
          </w:p>
        </w:tc>
      </w:tr>
      <w:tr w14:paraId="1B41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7A15809">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3.2.5</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BDEF9B6">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投标报价的其他要求</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82C442B">
            <w:pPr>
              <w:spacing w:line="440" w:lineRule="exact"/>
              <w:ind w:firstLine="0" w:firstLineChars="0"/>
              <w:rPr>
                <w:rFonts w:hint="eastAsia" w:ascii="华文宋体" w:hAnsi="华文宋体" w:cs="华文宋体"/>
                <w:sz w:val="21"/>
                <w:szCs w:val="21"/>
              </w:rPr>
            </w:pPr>
            <w:bookmarkStart w:id="158" w:name="OLE_LINK4"/>
            <w:bookmarkStart w:id="159" w:name="OLE_LINK5"/>
            <w:r>
              <w:rPr>
                <w:rFonts w:hint="eastAsia" w:ascii="华文宋体" w:hAnsi="华文宋体" w:cs="华文宋体"/>
                <w:sz w:val="21"/>
                <w:szCs w:val="21"/>
              </w:rPr>
              <w:t>投标报价方式为固定总价（含税）。</w:t>
            </w:r>
          </w:p>
          <w:p w14:paraId="31D860FB">
            <w:pPr>
              <w:numPr>
                <w:ilvl w:val="0"/>
                <w:numId w:val="2"/>
              </w:numPr>
              <w:spacing w:line="44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t>投标人应对招标范围内的全部内容进行分项报价，分项报价表须按招标文件要求的格式填写</w:t>
            </w:r>
            <w:r>
              <w:rPr>
                <w:rFonts w:hint="eastAsia" w:ascii="华文宋体" w:hAnsi="华文宋体" w:cs="华文宋体"/>
                <w:sz w:val="21"/>
                <w:szCs w:val="21"/>
                <w:lang w:eastAsia="zh-CN"/>
              </w:rPr>
              <w:t>。其中，软件授权费按13% 税率计列，实施及技术服务费（含质保期服务费）按6% 税率计列；</w:t>
            </w:r>
          </w:p>
          <w:p w14:paraId="78EB36B1">
            <w:pPr>
              <w:numPr>
                <w:ilvl w:val="0"/>
                <w:numId w:val="2"/>
              </w:numPr>
              <w:spacing w:line="44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t> 本项目采用人民币报价，投标报价方式为招标范围内包干价，应包含与项目相关的一切费用。相关费用包括但不限于：软件产品费、软件授权费、相关税费（增值税等）、安装调试费、实施服务费、培训费、质保期服务费及合同约定的明示或暗示的相关费用等交钥匙项目所有费用。招标人不再另行支付任何费用。</w:t>
            </w:r>
            <w:bookmarkEnd w:id="158"/>
          </w:p>
          <w:p w14:paraId="24F145C1">
            <w:pPr>
              <w:spacing w:line="440" w:lineRule="exact"/>
              <w:ind w:firstLine="0" w:firstLineChars="0"/>
              <w:rPr>
                <w:rFonts w:hint="eastAsia" w:ascii="华文宋体" w:hAnsi="华文宋体" w:eastAsia="华文宋体" w:cs="华文宋体"/>
                <w:sz w:val="21"/>
                <w:szCs w:val="21"/>
                <w:lang w:eastAsia="zh-CN"/>
              </w:rPr>
            </w:pPr>
            <w:r>
              <w:rPr>
                <w:rFonts w:hint="eastAsia" w:ascii="华文宋体" w:hAnsi="华文宋体" w:cs="华文宋体"/>
                <w:sz w:val="21"/>
                <w:szCs w:val="21"/>
              </w:rPr>
              <w:t>(3)投标人的投标方案只允许有一个投标报价，招标人不接受任何选择报价，同时不接受有条件的优惠报价</w:t>
            </w:r>
            <w:r>
              <w:rPr>
                <w:rFonts w:hint="eastAsia" w:ascii="华文宋体" w:hAnsi="华文宋体" w:cs="华文宋体"/>
                <w:sz w:val="21"/>
                <w:szCs w:val="21"/>
                <w:lang w:eastAsia="zh-CN"/>
              </w:rPr>
              <w:t>；</w:t>
            </w:r>
          </w:p>
          <w:p w14:paraId="118AD605">
            <w:pPr>
              <w:spacing w:line="44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t>(4)投标人应在投标书中的分项报价表上标明拟提供项目的名称、数量、单价及合价。每一个子目只允许有一种报价。如果分项合计与投标总价有出入，以分项合计金额修正总价；如果单价与合价有出入，以单价为准修正合价；</w:t>
            </w:r>
          </w:p>
          <w:p w14:paraId="4B603C90">
            <w:pPr>
              <w:spacing w:line="44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t>(5)投标人在填报报价时，应认真计算，不应遗留须在合同执行中再行议价和另外支付费用的项目，并在分项价格表中详细列明价格的各组成部分。任何以可调整的价格提交的投标将作为非响应性投标而予以拒绝；</w:t>
            </w:r>
          </w:p>
          <w:p w14:paraId="226135ED">
            <w:pPr>
              <w:spacing w:line="440" w:lineRule="exact"/>
              <w:ind w:firstLine="0" w:firstLineChars="0"/>
              <w:rPr>
                <w:rFonts w:hint="eastAsia" w:ascii="华文宋体" w:hAnsi="华文宋体" w:cs="华文宋体"/>
                <w:sz w:val="21"/>
                <w:szCs w:val="21"/>
                <w:lang w:eastAsia="zh-CN"/>
              </w:rPr>
            </w:pPr>
            <w:r>
              <w:rPr>
                <w:rFonts w:hint="eastAsia" w:ascii="华文宋体" w:hAnsi="华文宋体" w:cs="华文宋体"/>
                <w:sz w:val="21"/>
                <w:szCs w:val="21"/>
              </w:rPr>
              <w:t>(6)投标人填写的单价和总价在合同实施期间不因市场变化因素而变动，投标人在计算报价时可考虑一定的风险系数</w:t>
            </w:r>
            <w:bookmarkEnd w:id="159"/>
            <w:r>
              <w:rPr>
                <w:rFonts w:hint="eastAsia" w:ascii="华文宋体" w:hAnsi="华文宋体" w:cs="华文宋体"/>
                <w:sz w:val="21"/>
                <w:szCs w:val="21"/>
                <w:lang w:eastAsia="zh-CN"/>
              </w:rPr>
              <w:t>。</w:t>
            </w:r>
          </w:p>
          <w:p w14:paraId="0B46AB22">
            <w:pPr>
              <w:spacing w:line="440" w:lineRule="exact"/>
              <w:ind w:firstLine="0" w:firstLineChars="0"/>
              <w:rPr>
                <w:rFonts w:hint="eastAsia" w:ascii="华文宋体" w:hAnsi="华文宋体" w:cs="华文宋体"/>
                <w:sz w:val="21"/>
                <w:szCs w:val="21"/>
                <w:lang w:eastAsia="zh-CN"/>
              </w:rPr>
            </w:pPr>
            <w:r>
              <w:rPr>
                <w:rFonts w:hint="eastAsia" w:ascii="华文宋体" w:hAnsi="华文宋体" w:cs="华文宋体"/>
                <w:sz w:val="21"/>
                <w:szCs w:val="21"/>
                <w:lang w:eastAsia="zh-CN"/>
              </w:rPr>
              <w:t>（7）本项目投标价评分按含税价进行。 评标价格以投标人分项报价表经修正后的含税总价为准。若分项合计与投标总价不一致，以分项合计金额修正总价；若单价与合价不一致，以单价为准修正合价。修正后的含税总价作为评标价，评标时不按不含税价去税计算。投标人实际税率与招标文件指定税率不一致的，除招标文件另有规定外，仍按招标文件指定税率填报，并以含税总价参与评分；不能按指定税率开票的，可能被认定为非响应性投标。</w:t>
            </w:r>
          </w:p>
          <w:p w14:paraId="7C8E598C">
            <w:pPr>
              <w:spacing w:line="440" w:lineRule="exact"/>
              <w:ind w:firstLine="0" w:firstLineChars="0"/>
              <w:rPr>
                <w:rFonts w:hint="eastAsia" w:ascii="华文宋体" w:hAnsi="华文宋体" w:eastAsia="华文宋体" w:cs="华文宋体"/>
                <w:sz w:val="21"/>
                <w:szCs w:val="21"/>
                <w:lang w:eastAsia="zh-CN"/>
              </w:rPr>
            </w:pPr>
            <w:r>
              <w:rPr>
                <w:rFonts w:hint="eastAsia" w:ascii="华文宋体" w:hAnsi="华文宋体" w:cs="华文宋体"/>
                <w:sz w:val="21"/>
                <w:szCs w:val="21"/>
                <w:lang w:eastAsia="zh-CN"/>
              </w:rPr>
              <w:t>（8）投标人应在投标文件中确认报价所含税率、发票类型及开票税率。对税率、开票、评标口径有疑问的，应在规定时间书面澄清；未澄清的，视为接受招标文件全部口径。</w:t>
            </w:r>
          </w:p>
        </w:tc>
      </w:tr>
      <w:tr w14:paraId="71FC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A65BE2E">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3.3.1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F79E16A">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投标有效期</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DB898B1">
            <w:pPr>
              <w:spacing w:line="440" w:lineRule="exact"/>
              <w:ind w:firstLine="0" w:firstLineChars="0"/>
            </w:pPr>
            <w:bookmarkStart w:id="160" w:name="_Toc369531512_ai"/>
            <w:bookmarkStart w:id="161" w:name="_Toc1789_ai"/>
            <w:bookmarkStart w:id="162" w:name="_Toc352691470_ai"/>
            <w:bookmarkStart w:id="163" w:name="_Toc361508582_ai"/>
            <w:bookmarkStart w:id="164" w:name="_Toc384308207_ai"/>
            <w:bookmarkStart w:id="165" w:name="_Toc300834946_ai"/>
            <w:r>
              <w:rPr>
                <w:rFonts w:ascii="华文宋体" w:hAnsi="华文宋体" w:cs="华文宋体"/>
                <w:sz w:val="21"/>
                <w:szCs w:val="21"/>
              </w:rPr>
              <w:t>90日历日</w:t>
            </w:r>
          </w:p>
        </w:tc>
      </w:tr>
      <w:tr w14:paraId="173C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33B3324">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3.4.</w:t>
            </w:r>
            <w:bookmarkEnd w:id="160"/>
            <w:bookmarkEnd w:id="161"/>
            <w:bookmarkEnd w:id="162"/>
            <w:bookmarkEnd w:id="163"/>
            <w:bookmarkEnd w:id="164"/>
            <w:bookmarkEnd w:id="165"/>
            <w:r>
              <w:rPr>
                <w:rFonts w:ascii="华文宋体" w:hAnsi="华文宋体" w:cs="华文宋体"/>
                <w:sz w:val="21"/>
                <w:szCs w:val="21"/>
              </w:rPr>
              <w:t>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DF001DE">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投标保证金</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B558649">
            <w:pPr>
              <w:pStyle w:val="8"/>
              <w:topLinePunct/>
              <w:spacing w:line="440" w:lineRule="exact"/>
              <w:ind w:firstLine="0" w:firstLineChars="0"/>
              <w:rPr>
                <w:rFonts w:hint="eastAsia" w:hAnsi="华文宋体" w:cs="华文宋体"/>
                <w:sz w:val="21"/>
                <w:szCs w:val="21"/>
              </w:rPr>
            </w:pPr>
            <w:r>
              <w:rPr>
                <w:rFonts w:hAnsi="华文宋体" w:cs="华文宋体"/>
                <w:b/>
                <w:bCs/>
                <w:sz w:val="21"/>
                <w:szCs w:val="21"/>
              </w:rPr>
              <w:t>是否要求投标人递交投标保证金</w:t>
            </w:r>
            <w:r>
              <w:rPr>
                <w:rFonts w:hAnsi="华文宋体" w:cs="华文宋体"/>
                <w:sz w:val="21"/>
                <w:szCs w:val="21"/>
              </w:rPr>
              <w:t>：</w:t>
            </w:r>
          </w:p>
          <w:p w14:paraId="45F3341C">
            <w:pPr>
              <w:pStyle w:val="8"/>
              <w:topLinePunct/>
              <w:spacing w:line="440" w:lineRule="exact"/>
              <w:ind w:firstLine="0" w:firstLineChars="0"/>
              <w:rPr>
                <w:rFonts w:hint="eastAsia" w:hAnsi="华文宋体" w:cs="华文宋体"/>
                <w:b/>
                <w:bCs/>
                <w:sz w:val="24"/>
                <w:szCs w:val="24"/>
              </w:rPr>
            </w:pPr>
            <w:r>
              <w:rPr>
                <w:rFonts w:hint="eastAsia" w:hAnsi="华文宋体" w:cs="华文宋体"/>
                <w:b/>
                <w:bCs/>
                <w:sz w:val="24"/>
                <w:szCs w:val="24"/>
              </w:rPr>
              <w:t>☑</w:t>
            </w:r>
            <w:r>
              <w:rPr>
                <w:rFonts w:hAnsi="华文宋体" w:cs="华文宋体"/>
                <w:b/>
                <w:bCs/>
                <w:sz w:val="24"/>
                <w:szCs w:val="24"/>
              </w:rPr>
              <w:t>要求</w:t>
            </w:r>
          </w:p>
          <w:p w14:paraId="24E6A4F5">
            <w:pPr>
              <w:pStyle w:val="8"/>
              <w:topLinePunct/>
              <w:spacing w:line="440" w:lineRule="exact"/>
              <w:ind w:firstLine="0" w:firstLineChars="0"/>
              <w:rPr>
                <w:rFonts w:hint="eastAsia" w:hAnsi="华文宋体" w:cs="华文宋体"/>
                <w:sz w:val="21"/>
                <w:szCs w:val="21"/>
              </w:rPr>
            </w:pPr>
            <w:r>
              <w:rPr>
                <w:rFonts w:hAnsi="华文宋体" w:cs="华文宋体"/>
                <w:sz w:val="21"/>
                <w:szCs w:val="21"/>
              </w:rPr>
              <w:t>□不要求</w:t>
            </w:r>
          </w:p>
          <w:p w14:paraId="76BF435E">
            <w:pPr>
              <w:pStyle w:val="8"/>
              <w:topLinePunct/>
              <w:spacing w:line="440" w:lineRule="exact"/>
              <w:ind w:firstLine="0" w:firstLineChars="0"/>
              <w:rPr>
                <w:rFonts w:hint="eastAsia" w:hAnsi="华文宋体" w:cs="华文宋体"/>
                <w:b/>
                <w:bCs/>
                <w:sz w:val="21"/>
                <w:szCs w:val="21"/>
              </w:rPr>
            </w:pPr>
            <w:r>
              <w:rPr>
                <w:rFonts w:hint="eastAsia" w:hAnsi="华文宋体" w:cs="华文宋体"/>
                <w:b/>
                <w:bCs/>
                <w:sz w:val="21"/>
                <w:szCs w:val="21"/>
              </w:rPr>
              <w:t>投标保证金的形式：</w:t>
            </w:r>
          </w:p>
          <w:p w14:paraId="3764A12E">
            <w:pPr>
              <w:pStyle w:val="8"/>
              <w:topLinePunct/>
              <w:spacing w:line="440" w:lineRule="exact"/>
              <w:ind w:firstLine="0" w:firstLineChars="0"/>
              <w:rPr>
                <w:rFonts w:hint="eastAsia" w:hAnsi="华文宋体" w:cs="华文宋体"/>
                <w:color w:val="000000" w:themeColor="text1"/>
                <w:sz w:val="21"/>
                <w:szCs w:val="21"/>
                <w14:textFill>
                  <w14:solidFill>
                    <w14:schemeClr w14:val="tx1"/>
                  </w14:solidFill>
                </w14:textFill>
              </w:rPr>
            </w:pPr>
            <w:r>
              <w:rPr>
                <w:rFonts w:hint="eastAsia" w:hAnsi="华文宋体" w:cs="华文宋体"/>
                <w:color w:val="000000" w:themeColor="text1"/>
                <w:sz w:val="21"/>
                <w:szCs w:val="21"/>
                <w14:textFill>
                  <w14:solidFill>
                    <w14:schemeClr w14:val="tx1"/>
                  </w14:solidFill>
                </w14:textFill>
              </w:rPr>
              <w:t>（1）现金（包括银行电汇、转账等）；</w:t>
            </w:r>
          </w:p>
          <w:p w14:paraId="6166B74B">
            <w:pPr>
              <w:pStyle w:val="8"/>
              <w:topLinePunct/>
              <w:spacing w:line="440" w:lineRule="exact"/>
              <w:ind w:firstLine="0" w:firstLineChars="0"/>
              <w:rPr>
                <w:rFonts w:hint="eastAsia" w:hAnsi="华文宋体" w:cs="华文宋体"/>
                <w:color w:val="000000" w:themeColor="text1"/>
                <w:sz w:val="21"/>
                <w:szCs w:val="21"/>
                <w14:textFill>
                  <w14:solidFill>
                    <w14:schemeClr w14:val="tx1"/>
                  </w14:solidFill>
                </w14:textFill>
              </w:rPr>
            </w:pPr>
            <w:r>
              <w:rPr>
                <w:rFonts w:hint="eastAsia" w:hAnsi="华文宋体" w:cs="华文宋体"/>
                <w:color w:val="000000" w:themeColor="text1"/>
                <w:sz w:val="21"/>
                <w:szCs w:val="21"/>
                <w14:textFill>
                  <w14:solidFill>
                    <w14:schemeClr w14:val="tx1"/>
                  </w14:solidFill>
                </w14:textFill>
              </w:rPr>
              <w:t>（2）银行出具的保函、保兑支票、银行汇票或现金支票；</w:t>
            </w:r>
          </w:p>
          <w:p w14:paraId="17832BE3">
            <w:pPr>
              <w:pStyle w:val="8"/>
              <w:topLinePunct/>
              <w:spacing w:line="440" w:lineRule="exact"/>
              <w:ind w:firstLine="0" w:firstLineChars="0"/>
              <w:rPr>
                <w:rFonts w:hint="eastAsia" w:hAnsi="华文宋体" w:cs="华文宋体"/>
                <w:color w:val="000000" w:themeColor="text1"/>
                <w:sz w:val="21"/>
                <w:szCs w:val="21"/>
                <w14:textFill>
                  <w14:solidFill>
                    <w14:schemeClr w14:val="tx1"/>
                  </w14:solidFill>
                </w14:textFill>
              </w:rPr>
            </w:pPr>
            <w:r>
              <w:rPr>
                <w:rFonts w:hint="eastAsia" w:hAnsi="华文宋体" w:cs="华文宋体"/>
                <w:color w:val="000000" w:themeColor="text1"/>
                <w:sz w:val="21"/>
                <w:szCs w:val="21"/>
                <w14:textFill>
                  <w14:solidFill>
                    <w14:schemeClr w14:val="tx1"/>
                  </w14:solidFill>
                </w14:textFill>
              </w:rPr>
              <w:t>（3）依法设立的担保机构出具的担保保函（含电子保函）；</w:t>
            </w:r>
          </w:p>
          <w:p w14:paraId="4AFD8B23">
            <w:pPr>
              <w:pStyle w:val="8"/>
              <w:topLinePunct/>
              <w:spacing w:line="440" w:lineRule="exact"/>
              <w:ind w:firstLine="0" w:firstLineChars="0"/>
              <w:rPr>
                <w:rFonts w:hint="eastAsia" w:hAnsi="华文宋体" w:cs="华文宋体"/>
                <w:color w:val="000000" w:themeColor="text1"/>
                <w:sz w:val="21"/>
                <w:szCs w:val="21"/>
                <w14:textFill>
                  <w14:solidFill>
                    <w14:schemeClr w14:val="tx1"/>
                  </w14:solidFill>
                </w14:textFill>
              </w:rPr>
            </w:pPr>
            <w:r>
              <w:rPr>
                <w:rFonts w:hint="eastAsia" w:hAnsi="华文宋体" w:cs="华文宋体"/>
                <w:color w:val="000000" w:themeColor="text1"/>
                <w:sz w:val="21"/>
                <w:szCs w:val="21"/>
                <w14:textFill>
                  <w14:solidFill>
                    <w14:schemeClr w14:val="tx1"/>
                  </w14:solidFill>
                </w14:textFill>
              </w:rPr>
              <w:t>（4）保险机构出具的保证保险（保单）。</w:t>
            </w:r>
          </w:p>
          <w:p w14:paraId="460CA1EB">
            <w:pPr>
              <w:pStyle w:val="8"/>
              <w:topLinePunct/>
              <w:spacing w:line="440" w:lineRule="exact"/>
              <w:ind w:firstLine="0" w:firstLineChars="0"/>
              <w:rPr>
                <w:rFonts w:hint="eastAsia" w:hAnsi="华文宋体" w:cs="华文宋体"/>
                <w:b/>
                <w:bCs/>
                <w:sz w:val="21"/>
                <w:szCs w:val="21"/>
              </w:rPr>
            </w:pPr>
            <w:r>
              <w:rPr>
                <w:rFonts w:hint="eastAsia" w:hAnsi="华文宋体" w:cs="华文宋体"/>
                <w:b/>
                <w:bCs/>
                <w:sz w:val="21"/>
                <w:szCs w:val="21"/>
              </w:rPr>
              <w:t>投标保证金金额：</w:t>
            </w:r>
          </w:p>
          <w:p w14:paraId="4DED50E4">
            <w:pPr>
              <w:pStyle w:val="8"/>
              <w:topLinePunct/>
              <w:spacing w:line="440" w:lineRule="exact"/>
              <w:ind w:firstLine="0" w:firstLineChars="0"/>
              <w:rPr>
                <w:rFonts w:hint="eastAsia" w:hAnsi="华文宋体" w:cs="华文宋体"/>
                <w:b/>
                <w:bCs/>
                <w:color w:val="0070C0"/>
                <w:sz w:val="21"/>
                <w:szCs w:val="21"/>
              </w:rPr>
            </w:pPr>
            <w:r>
              <w:rPr>
                <w:rFonts w:hAnsi="华文宋体" w:cs="华文宋体"/>
                <w:sz w:val="21"/>
                <w:szCs w:val="21"/>
              </w:rPr>
              <w:t>投标保证金的金额：</w:t>
            </w:r>
            <w:r>
              <w:rPr>
                <w:rFonts w:hint="eastAsia" w:hAnsi="华文宋体" w:cs="华文宋体"/>
                <w:b/>
                <w:bCs/>
                <w:color w:val="0070C0"/>
                <w:sz w:val="21"/>
                <w:szCs w:val="21"/>
              </w:rPr>
              <w:t>￥29300（写人民币：贰万玖仟叁佰元整）</w:t>
            </w:r>
          </w:p>
          <w:p w14:paraId="22433214">
            <w:pPr>
              <w:pStyle w:val="8"/>
              <w:topLinePunct/>
              <w:spacing w:line="440" w:lineRule="exact"/>
              <w:ind w:firstLine="0" w:firstLineChars="0"/>
              <w:rPr>
                <w:rFonts w:hint="eastAsia" w:hAnsi="华文宋体" w:cs="华文宋体"/>
                <w:b/>
                <w:bCs/>
                <w:sz w:val="21"/>
                <w:szCs w:val="21"/>
              </w:rPr>
            </w:pPr>
            <w:r>
              <w:rPr>
                <w:rFonts w:hint="eastAsia" w:hAnsi="华文宋体" w:cs="华文宋体"/>
                <w:b/>
                <w:bCs/>
                <w:sz w:val="21"/>
                <w:szCs w:val="21"/>
              </w:rPr>
              <w:t>投标保证金递交方式：</w:t>
            </w:r>
          </w:p>
          <w:p w14:paraId="37C2A0C9">
            <w:pPr>
              <w:pStyle w:val="8"/>
              <w:numPr>
                <w:ilvl w:val="0"/>
                <w:numId w:val="3"/>
              </w:numPr>
              <w:topLinePunct/>
              <w:spacing w:line="440" w:lineRule="exact"/>
              <w:ind w:firstLine="0" w:firstLineChars="0"/>
              <w:rPr>
                <w:rFonts w:hint="eastAsia" w:hAnsi="华文宋体" w:cs="华文宋体"/>
                <w:color w:val="000000" w:themeColor="text1"/>
                <w:sz w:val="21"/>
                <w:szCs w:val="21"/>
                <w14:textFill>
                  <w14:solidFill>
                    <w14:schemeClr w14:val="tx1"/>
                  </w14:solidFill>
                </w14:textFill>
              </w:rPr>
            </w:pPr>
            <w:r>
              <w:rPr>
                <w:rFonts w:hint="eastAsia" w:hAnsi="华文宋体" w:cs="华文宋体"/>
                <w:color w:val="000000" w:themeColor="text1"/>
                <w:sz w:val="21"/>
                <w:szCs w:val="21"/>
                <w14:textFill>
                  <w14:solidFill>
                    <w14:schemeClr w14:val="tx1"/>
                  </w14:solidFill>
                </w14:textFill>
              </w:rPr>
              <w:t>若选择方式(1)的，须在报价截止时间前以公对公转账形式缴纳到下列账户:</w:t>
            </w:r>
          </w:p>
          <w:p w14:paraId="5BBF8680">
            <w:pPr>
              <w:pStyle w:val="8"/>
              <w:topLinePunct/>
              <w:spacing w:line="440" w:lineRule="exact"/>
              <w:ind w:firstLine="0" w:firstLineChars="0"/>
              <w:rPr>
                <w:rFonts w:hint="eastAsia" w:hAnsi="华文宋体" w:cs="华文宋体"/>
                <w:sz w:val="21"/>
                <w:szCs w:val="21"/>
              </w:rPr>
            </w:pPr>
            <w:r>
              <w:rPr>
                <w:rFonts w:hint="eastAsia" w:hAnsi="华文宋体" w:cs="华文宋体"/>
                <w:sz w:val="21"/>
                <w:szCs w:val="21"/>
              </w:rPr>
              <w:t>接受投标保证金的账户：</w:t>
            </w:r>
          </w:p>
          <w:p w14:paraId="54F5845D">
            <w:pPr>
              <w:pStyle w:val="8"/>
              <w:topLinePunct/>
              <w:spacing w:line="440" w:lineRule="exact"/>
              <w:ind w:firstLine="0" w:firstLineChars="0"/>
              <w:rPr>
                <w:rFonts w:hint="eastAsia" w:hAnsi="华文宋体" w:cs="华文宋体"/>
                <w:sz w:val="21"/>
                <w:szCs w:val="21"/>
              </w:rPr>
            </w:pPr>
            <w:r>
              <w:rPr>
                <w:rFonts w:hAnsi="华文宋体" w:cs="华文宋体"/>
                <w:sz w:val="21"/>
                <w:szCs w:val="21"/>
              </w:rPr>
              <w:t>账户：煤炭工业规划设计研究院有限公司</w:t>
            </w:r>
          </w:p>
          <w:p w14:paraId="7A1F8A0F">
            <w:pPr>
              <w:pStyle w:val="8"/>
              <w:topLinePunct/>
              <w:spacing w:line="440" w:lineRule="exact"/>
              <w:ind w:firstLine="0" w:firstLineChars="0"/>
              <w:rPr>
                <w:rFonts w:hint="eastAsia" w:hAnsi="华文宋体" w:cs="华文宋体"/>
                <w:sz w:val="21"/>
                <w:szCs w:val="21"/>
              </w:rPr>
            </w:pPr>
            <w:r>
              <w:rPr>
                <w:rFonts w:hAnsi="华文宋体" w:cs="华文宋体"/>
                <w:sz w:val="21"/>
                <w:szCs w:val="21"/>
              </w:rPr>
              <w:t>纳税人识别号：91110000710934035X</w:t>
            </w:r>
          </w:p>
          <w:p w14:paraId="2B0374CD">
            <w:pPr>
              <w:pStyle w:val="8"/>
              <w:topLinePunct/>
              <w:spacing w:line="440" w:lineRule="exact"/>
              <w:ind w:firstLine="0" w:firstLineChars="0"/>
              <w:rPr>
                <w:rFonts w:hint="eastAsia" w:hAnsi="华文宋体" w:cs="华文宋体"/>
                <w:sz w:val="21"/>
                <w:szCs w:val="21"/>
              </w:rPr>
            </w:pPr>
            <w:r>
              <w:rPr>
                <w:rFonts w:hAnsi="华文宋体" w:cs="华文宋体"/>
                <w:sz w:val="21"/>
                <w:szCs w:val="21"/>
              </w:rPr>
              <w:t>开户银行：光大银行北京德胜门支行</w:t>
            </w:r>
          </w:p>
          <w:p w14:paraId="0943869C">
            <w:pPr>
              <w:pStyle w:val="8"/>
              <w:topLinePunct/>
              <w:spacing w:line="440" w:lineRule="exact"/>
              <w:ind w:firstLine="0" w:firstLineChars="0"/>
              <w:rPr>
                <w:rFonts w:hint="eastAsia" w:hAnsi="华文宋体" w:cs="华文宋体"/>
                <w:sz w:val="21"/>
                <w:szCs w:val="21"/>
              </w:rPr>
            </w:pPr>
            <w:r>
              <w:rPr>
                <w:rFonts w:hAnsi="华文宋体" w:cs="华文宋体"/>
                <w:sz w:val="21"/>
                <w:szCs w:val="21"/>
              </w:rPr>
              <w:t>银行账号：35010188000067687</w:t>
            </w:r>
          </w:p>
          <w:p w14:paraId="23BCDE00">
            <w:pPr>
              <w:pStyle w:val="8"/>
              <w:numPr>
                <w:ilvl w:val="0"/>
                <w:numId w:val="3"/>
              </w:numPr>
              <w:topLinePunct/>
              <w:spacing w:line="440" w:lineRule="exact"/>
              <w:ind w:firstLine="0" w:firstLineChars="0"/>
              <w:rPr>
                <w:rFonts w:hint="eastAsia" w:hAnsi="华文宋体" w:cs="华文宋体"/>
                <w:color w:val="000000" w:themeColor="text1"/>
                <w:sz w:val="21"/>
                <w:szCs w:val="21"/>
                <w14:textFill>
                  <w14:solidFill>
                    <w14:schemeClr w14:val="tx1"/>
                  </w14:solidFill>
                </w14:textFill>
              </w:rPr>
            </w:pPr>
            <w:r>
              <w:rPr>
                <w:rFonts w:hAnsi="华文宋体" w:cs="华文宋体"/>
                <w:color w:val="000000" w:themeColor="text1"/>
                <w:sz w:val="21"/>
                <w:szCs w:val="21"/>
                <w14:textFill>
                  <w14:solidFill>
                    <w14:schemeClr w14:val="tx1"/>
                  </w14:solidFill>
                </w14:textFill>
              </w:rPr>
              <w:t>选择方式(2)(3)(4)的</w:t>
            </w:r>
            <w:r>
              <w:rPr>
                <w:rFonts w:hint="eastAsia" w:hAnsi="华文宋体" w:cs="华文宋体"/>
                <w:color w:val="000000" w:themeColor="text1"/>
                <w:sz w:val="21"/>
                <w:szCs w:val="21"/>
                <w14:textFill>
                  <w14:solidFill>
                    <w14:schemeClr w14:val="tx1"/>
                  </w14:solidFill>
                </w14:textFill>
              </w:rPr>
              <w:t>：</w:t>
            </w:r>
          </w:p>
          <w:p w14:paraId="1553A1B1">
            <w:pPr>
              <w:pStyle w:val="8"/>
              <w:topLinePunct/>
              <w:spacing w:line="440" w:lineRule="exact"/>
              <w:ind w:firstLine="0" w:firstLineChars="0"/>
              <w:rPr>
                <w:rFonts w:hint="eastAsia" w:hAnsi="华文宋体" w:cs="华文宋体"/>
                <w:b/>
                <w:bCs/>
                <w:color w:val="0000FF"/>
                <w:sz w:val="21"/>
                <w:szCs w:val="21"/>
              </w:rPr>
            </w:pPr>
            <w:r>
              <w:rPr>
                <w:rFonts w:hint="eastAsia" w:hAnsi="华文宋体" w:cs="华文宋体"/>
                <w:b/>
                <w:bCs/>
                <w:color w:val="0000FF"/>
                <w:sz w:val="21"/>
                <w:szCs w:val="21"/>
              </w:rPr>
              <w:t>需要将相关文件的原件/正本在报价截止时间前将文件送达/寄达以下地址，</w:t>
            </w:r>
            <w:r>
              <w:rPr>
                <w:rFonts w:hint="eastAsia" w:hAnsi="华文宋体" w:cs="华文宋体"/>
                <w:b/>
                <w:bCs/>
                <w:color w:val="0000FF"/>
                <w:sz w:val="21"/>
                <w:szCs w:val="21"/>
                <w:u w:val="single"/>
              </w:rPr>
              <w:t>保函/保单的有效期覆盖报价有效期</w:t>
            </w:r>
            <w:r>
              <w:rPr>
                <w:rFonts w:hint="eastAsia" w:hAnsi="华文宋体" w:cs="华文宋体"/>
                <w:b/>
                <w:bCs/>
                <w:color w:val="0000FF"/>
                <w:sz w:val="21"/>
                <w:szCs w:val="21"/>
              </w:rPr>
              <w:t>，原件不予寄回，到付件将被拒收。</w:t>
            </w:r>
          </w:p>
          <w:p w14:paraId="56F707FD">
            <w:pPr>
              <w:pStyle w:val="8"/>
              <w:topLinePunct/>
              <w:spacing w:line="440" w:lineRule="exact"/>
              <w:ind w:firstLine="0" w:firstLineChars="0"/>
              <w:rPr>
                <w:rFonts w:hint="eastAsia" w:hAnsi="华文宋体" w:cs="华文宋体"/>
                <w:b/>
                <w:bCs/>
                <w:color w:val="0000FF"/>
                <w:sz w:val="21"/>
                <w:szCs w:val="21"/>
              </w:rPr>
            </w:pPr>
            <w:r>
              <w:rPr>
                <w:rFonts w:hint="eastAsia" w:hAnsi="华文宋体" w:cs="华文宋体"/>
                <w:b/>
                <w:bCs/>
                <w:color w:val="4874CB" w:themeColor="accent1"/>
                <w:sz w:val="21"/>
                <w:szCs w:val="21"/>
                <w14:textFill>
                  <w14:solidFill>
                    <w14:schemeClr w14:val="accent1"/>
                  </w14:solidFill>
                </w14:textFill>
              </w:rPr>
              <w:t>保函受益人为招标人，保函内容须写明受益人名称、项目名称以及标段、担保金额和保函有效期。</w:t>
            </w:r>
          </w:p>
          <w:p w14:paraId="5E3FC307">
            <w:pPr>
              <w:pStyle w:val="8"/>
              <w:topLinePunct/>
              <w:spacing w:line="440" w:lineRule="exact"/>
              <w:ind w:firstLine="0" w:firstLineChars="0"/>
              <w:rPr>
                <w:rFonts w:hint="eastAsia" w:hAnsi="华文宋体" w:cs="华文宋体"/>
                <w:color w:val="000000" w:themeColor="text1"/>
                <w:sz w:val="21"/>
                <w:szCs w:val="21"/>
                <w14:textFill>
                  <w14:solidFill>
                    <w14:schemeClr w14:val="tx1"/>
                  </w14:solidFill>
                </w14:textFill>
              </w:rPr>
            </w:pPr>
            <w:r>
              <w:rPr>
                <w:rFonts w:hint="eastAsia" w:hAnsi="华文宋体" w:cs="华文宋体"/>
                <w:color w:val="000000" w:themeColor="text1"/>
                <w:sz w:val="21"/>
                <w:szCs w:val="21"/>
                <w14:textFill>
                  <w14:solidFill>
                    <w14:schemeClr w14:val="tx1"/>
                  </w14:solidFill>
                </w14:textFill>
              </w:rPr>
              <w:t>地址：北京市西城区六铺炕二巷甲6号，联系人：沈老师，联系方式：13971566869</w:t>
            </w:r>
          </w:p>
          <w:p w14:paraId="00D9A4DA">
            <w:pPr>
              <w:spacing w:line="400" w:lineRule="exact"/>
              <w:ind w:firstLine="0" w:firstLineChars="0"/>
              <w:textAlignment w:val="baseline"/>
              <w:rPr>
                <w:rFonts w:hint="eastAsia" w:hAnsi="华文宋体" w:cs="华文宋体"/>
                <w:b/>
                <w:bCs/>
                <w:sz w:val="21"/>
                <w:szCs w:val="21"/>
              </w:rPr>
            </w:pPr>
            <w:r>
              <w:rPr>
                <w:rFonts w:hint="eastAsia" w:cs="汉仪中等线KW"/>
                <w:b/>
                <w:sz w:val="21"/>
                <w:szCs w:val="21"/>
              </w:rPr>
              <w:t>特别注意：</w:t>
            </w:r>
          </w:p>
          <w:p w14:paraId="03881440">
            <w:pPr>
              <w:spacing w:line="400" w:lineRule="exact"/>
              <w:ind w:firstLine="0" w:firstLineChars="0"/>
              <w:textAlignment w:val="baseline"/>
              <w:rPr>
                <w:rFonts w:hint="eastAsia" w:ascii="华文宋体" w:hAnsi="华文宋体" w:cs="华文宋体"/>
                <w:bCs/>
                <w:sz w:val="21"/>
                <w:szCs w:val="21"/>
              </w:rPr>
            </w:pPr>
            <w:r>
              <w:rPr>
                <w:rFonts w:ascii="华文宋体" w:hAnsi="华文宋体" w:cs="华文宋体"/>
                <w:sz w:val="21"/>
                <w:szCs w:val="21"/>
              </w:rPr>
              <w:t>1.请投标人在汇款</w:t>
            </w:r>
            <w:r>
              <w:rPr>
                <w:rFonts w:hint="eastAsia" w:ascii="华文宋体" w:hAnsi="华文宋体" w:cs="华文宋体"/>
                <w:sz w:val="21"/>
                <w:szCs w:val="21"/>
              </w:rPr>
              <w:t>和递交投标保证金</w:t>
            </w:r>
            <w:r>
              <w:rPr>
                <w:rFonts w:ascii="华文宋体" w:hAnsi="华文宋体" w:cs="华文宋体"/>
                <w:sz w:val="21"/>
                <w:szCs w:val="21"/>
              </w:rPr>
              <w:t>时务必注明所投项目的项目编号及用途“</w:t>
            </w:r>
            <w:r>
              <w:rPr>
                <w:rFonts w:hint="eastAsia" w:ascii="华文宋体" w:hAnsi="华文宋体" w:cs="华文宋体"/>
                <w:b/>
                <w:bCs/>
                <w:color w:val="FF0000"/>
                <w:sz w:val="21"/>
                <w:szCs w:val="21"/>
              </w:rPr>
              <w:t>GHY-26430-</w:t>
            </w:r>
            <w:r>
              <w:rPr>
                <w:rFonts w:hint="eastAsia" w:ascii="华文宋体" w:hAnsi="华文宋体" w:cs="华文宋体"/>
                <w:b/>
                <w:color w:val="FF0000"/>
                <w:sz w:val="21"/>
                <w:szCs w:val="21"/>
              </w:rPr>
              <w:t>标包号</w:t>
            </w:r>
            <w:r>
              <w:rPr>
                <w:rFonts w:hint="eastAsia" w:ascii="华文宋体" w:hAnsi="华文宋体" w:cs="华文宋体"/>
                <w:b/>
                <w:bCs/>
                <w:color w:val="FF0000"/>
                <w:sz w:val="21"/>
                <w:szCs w:val="21"/>
              </w:rPr>
              <w:t>-保证金</w:t>
            </w:r>
            <w:r>
              <w:rPr>
                <w:rFonts w:ascii="华文宋体" w:hAnsi="华文宋体" w:cs="华文宋体"/>
                <w:sz w:val="21"/>
                <w:szCs w:val="21"/>
              </w:rPr>
              <w:t>”字样，否则因款项的项目编号及用途不明导致投标被否决等后果由投标人自行承担。</w:t>
            </w:r>
          </w:p>
          <w:p w14:paraId="714A835C">
            <w:pPr>
              <w:pStyle w:val="9"/>
              <w:spacing w:after="0" w:line="40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t>2.投标人在中国煤科电子采购平台上传投标文件，同时必须录入对应项目（标段）投标保证金的金额和缴纳凭证。</w:t>
            </w:r>
          </w:p>
          <w:p w14:paraId="200E4A21">
            <w:pPr>
              <w:pStyle w:val="8"/>
              <w:topLinePunct/>
              <w:spacing w:line="440" w:lineRule="exact"/>
              <w:ind w:firstLine="0" w:firstLineChars="0"/>
              <w:rPr>
                <w:rFonts w:hint="eastAsia" w:hAnsi="华文宋体" w:cs="华文宋体"/>
                <w:b/>
                <w:bCs/>
                <w:sz w:val="21"/>
                <w:szCs w:val="21"/>
              </w:rPr>
            </w:pPr>
            <w:r>
              <w:rPr>
                <w:rFonts w:hint="eastAsia" w:hAnsi="华文宋体" w:cs="华文宋体"/>
                <w:sz w:val="21"/>
                <w:szCs w:val="21"/>
              </w:rPr>
              <w:t>3.投标保证金审核（人工审核，24小时内完成审核，请提前办理，耐心等待）；投标人未录入（或未通过投标保证金审核）对应项目（标段）投标保证金的金额和缴纳凭证，如若中标，或将影响平台发送中标通知书。</w:t>
            </w:r>
          </w:p>
        </w:tc>
      </w:tr>
      <w:tr w14:paraId="4580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745F572">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3.7</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7BF0205">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投标文件编制</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73F6E7C">
            <w:pPr>
              <w:pStyle w:val="8"/>
              <w:topLinePunct/>
              <w:spacing w:line="440" w:lineRule="exact"/>
              <w:ind w:firstLine="0" w:firstLineChars="0"/>
              <w:rPr>
                <w:rFonts w:hint="eastAsia" w:hAnsi="华文宋体" w:cs="华文宋体"/>
                <w:sz w:val="21"/>
                <w:szCs w:val="21"/>
              </w:rPr>
            </w:pPr>
            <w:r>
              <w:rPr>
                <w:rFonts w:hAnsi="华文宋体" w:cs="华文宋体"/>
                <w:sz w:val="21"/>
                <w:szCs w:val="21"/>
              </w:rPr>
              <w:t>电子投标文件：电子版投标文件必须下载投标人客户端在网上制作，并将签字、盖章的PDF格式投标文件（公章可为电子章，法定代表人章不支持）上传到系统中（投标人客户端在“中国煤科电子采购平台”（https://cg.ccteg.cn）登录后下载）。</w:t>
            </w:r>
          </w:p>
          <w:p w14:paraId="6ED67437">
            <w:pPr>
              <w:pStyle w:val="8"/>
              <w:topLinePunct/>
              <w:spacing w:line="440" w:lineRule="exact"/>
              <w:ind w:firstLine="0" w:firstLineChars="0"/>
              <w:rPr>
                <w:rFonts w:hint="eastAsia" w:hAnsi="华文宋体" w:cs="华文宋体"/>
                <w:sz w:val="21"/>
                <w:szCs w:val="21"/>
              </w:rPr>
            </w:pPr>
            <w:r>
              <w:rPr>
                <w:rFonts w:hAnsi="华文宋体" w:cs="华文宋体"/>
                <w:sz w:val="21"/>
                <w:szCs w:val="21"/>
              </w:rPr>
              <w:t>投标文件PDF版本（须盖章签字）须上传至【商务文件】端口。</w:t>
            </w:r>
          </w:p>
          <w:p w14:paraId="45A6BB26">
            <w:pPr>
              <w:pStyle w:val="8"/>
              <w:topLinePunct/>
              <w:spacing w:line="440" w:lineRule="exact"/>
              <w:ind w:firstLine="0" w:firstLineChars="0"/>
              <w:rPr>
                <w:rFonts w:hint="eastAsia" w:hAnsi="华文宋体" w:cs="华文宋体"/>
                <w:sz w:val="21"/>
                <w:szCs w:val="21"/>
              </w:rPr>
            </w:pPr>
            <w:r>
              <w:rPr>
                <w:rFonts w:hAnsi="华文宋体" w:cs="华文宋体"/>
                <w:sz w:val="21"/>
                <w:szCs w:val="21"/>
              </w:rPr>
              <w:t>投标文件PDF版中的报价一览表（须盖章签字）须单独上传至【价格文件】端口。</w:t>
            </w:r>
          </w:p>
          <w:p w14:paraId="275FDB17">
            <w:pPr>
              <w:pStyle w:val="8"/>
              <w:topLinePunct/>
              <w:spacing w:line="440" w:lineRule="exact"/>
              <w:ind w:firstLine="0" w:firstLineChars="0"/>
              <w:rPr>
                <w:rFonts w:hint="eastAsia" w:hAnsi="华文宋体" w:cs="华文宋体"/>
                <w:sz w:val="21"/>
                <w:szCs w:val="21"/>
              </w:rPr>
            </w:pPr>
            <w:r>
              <w:rPr>
                <w:rFonts w:hAnsi="华文宋体" w:cs="华文宋体"/>
                <w:sz w:val="21"/>
                <w:szCs w:val="21"/>
              </w:rPr>
              <w:t>投标文件word版本（无须盖章签字）须上传至【商务文件】附件端口。</w:t>
            </w:r>
          </w:p>
          <w:p w14:paraId="6C68B5FA">
            <w:pPr>
              <w:pStyle w:val="8"/>
              <w:topLinePunct/>
              <w:spacing w:line="440" w:lineRule="exact"/>
              <w:ind w:firstLine="0" w:firstLineChars="0"/>
              <w:rPr>
                <w:rFonts w:hint="eastAsia" w:hAnsi="华文宋体" w:cs="华文宋体"/>
                <w:sz w:val="21"/>
                <w:szCs w:val="21"/>
              </w:rPr>
            </w:pPr>
            <w:r>
              <w:rPr>
                <w:rFonts w:hAnsi="华文宋体" w:cs="华文宋体"/>
                <w:sz w:val="21"/>
                <w:szCs w:val="21"/>
              </w:rPr>
              <w:t>投标文件应包括第六章所有文件，且合同证书复印件均须加盖公章。</w:t>
            </w:r>
          </w:p>
          <w:p w14:paraId="4B8D6D99">
            <w:pPr>
              <w:pStyle w:val="8"/>
              <w:topLinePunct/>
              <w:spacing w:line="440" w:lineRule="exact"/>
              <w:ind w:firstLine="0" w:firstLineChars="0"/>
              <w:rPr>
                <w:rFonts w:hint="eastAsia" w:hAnsi="华文宋体" w:cs="华文宋体"/>
                <w:b/>
                <w:bCs/>
                <w:sz w:val="21"/>
                <w:szCs w:val="21"/>
              </w:rPr>
            </w:pPr>
            <w:r>
              <w:rPr>
                <w:rFonts w:hint="eastAsia" w:hAnsi="华文宋体" w:cs="华文宋体"/>
                <w:b/>
                <w:bCs/>
                <w:sz w:val="21"/>
                <w:szCs w:val="21"/>
              </w:rPr>
              <w:t>*注：</w:t>
            </w:r>
          </w:p>
          <w:p w14:paraId="23A930DE">
            <w:pPr>
              <w:pStyle w:val="8"/>
              <w:topLinePunct/>
              <w:spacing w:line="440" w:lineRule="exact"/>
              <w:ind w:firstLine="0" w:firstLineChars="0"/>
              <w:rPr>
                <w:rFonts w:hint="eastAsia" w:hAnsi="华文宋体" w:cs="华文宋体"/>
                <w:sz w:val="21"/>
                <w:szCs w:val="21"/>
              </w:rPr>
            </w:pPr>
            <w:r>
              <w:rPr>
                <w:rFonts w:hAnsi="华文宋体" w:cs="华文宋体"/>
                <w:sz w:val="21"/>
                <w:szCs w:val="21"/>
              </w:rPr>
              <w:t>1.现平台系统在投标客户端中签章，不支持CA法人签章；可先将法人和授权人的签章/签字扫描至PDF文件中，再通过投标客户端完成CA签章。</w:t>
            </w:r>
          </w:p>
          <w:p w14:paraId="76978108">
            <w:pPr>
              <w:pStyle w:val="8"/>
              <w:topLinePunct/>
              <w:spacing w:line="440" w:lineRule="exact"/>
              <w:ind w:firstLine="0" w:firstLineChars="0"/>
              <w:rPr>
                <w:rFonts w:hint="eastAsia" w:hAnsi="华文宋体" w:cs="华文宋体"/>
                <w:sz w:val="21"/>
                <w:szCs w:val="21"/>
              </w:rPr>
            </w:pPr>
            <w:r>
              <w:rPr>
                <w:rFonts w:hAnsi="华文宋体" w:cs="华文宋体"/>
                <w:sz w:val="21"/>
                <w:szCs w:val="21"/>
              </w:rPr>
              <w:t>2.客户端投标文件上传操作说明：商务文件上传完整的投标文件正本（PDF版，含签字盖章）；价格文件上传投标文件中投标报价一览表部分（PDF版，含签字盖章）。</w:t>
            </w:r>
          </w:p>
          <w:p w14:paraId="1D85490D">
            <w:pPr>
              <w:pStyle w:val="8"/>
              <w:topLinePunct/>
              <w:spacing w:line="440" w:lineRule="exact"/>
              <w:ind w:firstLine="0" w:firstLineChars="0"/>
              <w:rPr>
                <w:rFonts w:hint="eastAsia" w:hAnsi="华文宋体" w:cs="华文宋体"/>
                <w:sz w:val="21"/>
                <w:szCs w:val="21"/>
              </w:rPr>
            </w:pPr>
            <w:r>
              <w:rPr>
                <w:rFonts w:hAnsi="华文宋体" w:cs="华文宋体"/>
                <w:sz w:val="21"/>
                <w:szCs w:val="21"/>
              </w:rPr>
              <w:t>投标文件命名格式：</w:t>
            </w:r>
            <w:r>
              <w:rPr>
                <w:rFonts w:hint="eastAsia" w:hAnsi="华文宋体" w:cs="华文宋体"/>
                <w:b/>
                <w:bCs/>
                <w:color w:val="FF0000"/>
                <w:sz w:val="21"/>
                <w:szCs w:val="21"/>
              </w:rPr>
              <w:t>GHY-26430－公司名称－投标文件。</w:t>
            </w:r>
          </w:p>
        </w:tc>
      </w:tr>
      <w:tr w14:paraId="2D0C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8448638">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4.2.1</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B5D230D">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投标截止时间</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8E90303">
            <w:pPr>
              <w:spacing w:line="440" w:lineRule="exact"/>
              <w:ind w:firstLine="0" w:firstLineChars="0"/>
              <w:rPr>
                <w:rFonts w:hint="eastAsia" w:ascii="华文宋体" w:hAnsi="华文宋体" w:cs="华文宋体"/>
                <w:sz w:val="21"/>
                <w:szCs w:val="21"/>
              </w:rPr>
            </w:pPr>
            <w:r>
              <w:rPr>
                <w:rFonts w:ascii="华文宋体" w:hAnsi="华文宋体" w:cs="华文宋体"/>
                <w:sz w:val="21"/>
                <w:szCs w:val="21"/>
              </w:rPr>
              <w:t>见招标公告</w:t>
            </w:r>
          </w:p>
        </w:tc>
      </w:tr>
      <w:tr w14:paraId="272C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D19F179">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5.4</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CA371FB">
            <w:pPr>
              <w:spacing w:line="440" w:lineRule="exact"/>
              <w:ind w:firstLine="0" w:firstLineChars="0"/>
              <w:jc w:val="center"/>
              <w:rPr>
                <w:rFonts w:hint="eastAsia" w:ascii="华文宋体" w:hAnsi="华文宋体" w:cs="华文宋体"/>
                <w:sz w:val="21"/>
                <w:szCs w:val="21"/>
              </w:rPr>
            </w:pPr>
            <w:r>
              <w:rPr>
                <w:rFonts w:ascii="华文宋体" w:hAnsi="华文宋体" w:cs="华文宋体"/>
                <w:sz w:val="21"/>
                <w:szCs w:val="21"/>
              </w:rPr>
              <w:t>述标</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0078FC2">
            <w:pPr>
              <w:spacing w:line="440" w:lineRule="exact"/>
              <w:ind w:firstLine="0" w:firstLineChars="0"/>
              <w:rPr>
                <w:rFonts w:hint="eastAsia" w:ascii="华文宋体" w:hAnsi="华文宋体" w:cs="华文宋体"/>
                <w:b/>
                <w:bCs/>
                <w:sz w:val="24"/>
                <w:szCs w:val="24"/>
              </w:rPr>
            </w:pPr>
            <w:r>
              <w:rPr>
                <w:rFonts w:hint="eastAsia" w:ascii="华文宋体" w:hAnsi="华文宋体" w:cs="华文宋体"/>
                <w:b/>
                <w:bCs/>
                <w:sz w:val="24"/>
                <w:szCs w:val="24"/>
              </w:rPr>
              <w:sym w:font="Wingdings 2" w:char="0052"/>
            </w:r>
            <w:r>
              <w:rPr>
                <w:rFonts w:hint="eastAsia" w:ascii="华文宋体" w:hAnsi="华文宋体" w:cs="华文宋体"/>
                <w:b/>
                <w:bCs/>
                <w:sz w:val="24"/>
                <w:szCs w:val="24"/>
              </w:rPr>
              <w:t>否</w:t>
            </w:r>
          </w:p>
          <w:p w14:paraId="3819F504">
            <w:pPr>
              <w:spacing w:line="440" w:lineRule="exact"/>
              <w:ind w:firstLine="0" w:firstLineChars="0"/>
              <w:rPr>
                <w:rFonts w:hint="eastAsia" w:ascii="华文宋体" w:hAnsi="华文宋体" w:cs="华文宋体"/>
              </w:rPr>
            </w:pPr>
            <w:r>
              <w:rPr>
                <w:rFonts w:hint="eastAsia" w:ascii="华文宋体" w:hAnsi="华文宋体" w:cs="华文宋体"/>
                <w:sz w:val="20"/>
              </w:rPr>
              <w:t>□是</w:t>
            </w:r>
          </w:p>
          <w:p w14:paraId="428B15BB">
            <w:pPr>
              <w:pStyle w:val="2"/>
              <w:ind w:firstLine="0" w:firstLineChars="0"/>
              <w:rPr>
                <w:rFonts w:hint="eastAsia" w:ascii="华文宋体" w:hAnsi="华文宋体" w:cs="华文宋体"/>
                <w:sz w:val="20"/>
                <w:szCs w:val="20"/>
              </w:rPr>
            </w:pPr>
            <w:r>
              <w:rPr>
                <w:rFonts w:hint="eastAsia" w:ascii="华文宋体" w:hAnsi="华文宋体" w:cs="华文宋体"/>
                <w:sz w:val="20"/>
                <w:szCs w:val="20"/>
              </w:rPr>
              <w:t>（1）述标的方式:</w:t>
            </w:r>
          </w:p>
          <w:p w14:paraId="7F6E4B0E">
            <w:pPr>
              <w:pStyle w:val="2"/>
              <w:ind w:firstLine="0" w:firstLineChars="0"/>
              <w:rPr>
                <w:rFonts w:hint="eastAsia" w:ascii="华文宋体" w:hAnsi="华文宋体" w:cs="华文宋体"/>
                <w:sz w:val="20"/>
                <w:szCs w:val="20"/>
              </w:rPr>
            </w:pPr>
            <w:r>
              <w:rPr>
                <w:rFonts w:hint="eastAsia" w:ascii="华文宋体" w:hAnsi="华文宋体" w:cs="华文宋体"/>
                <w:sz w:val="20"/>
                <w:szCs w:val="20"/>
              </w:rPr>
              <w:t>（2）述标顺序:</w:t>
            </w:r>
          </w:p>
          <w:p w14:paraId="3E30419B">
            <w:pPr>
              <w:pStyle w:val="2"/>
              <w:ind w:firstLine="0" w:firstLineChars="0"/>
              <w:rPr>
                <w:rFonts w:hint="eastAsia" w:ascii="华文宋体" w:hAnsi="华文宋体" w:cs="华文宋体"/>
                <w:sz w:val="20"/>
                <w:szCs w:val="20"/>
              </w:rPr>
            </w:pPr>
            <w:r>
              <w:rPr>
                <w:rFonts w:hint="eastAsia" w:ascii="华文宋体" w:hAnsi="华文宋体" w:cs="华文宋体"/>
                <w:sz w:val="20"/>
                <w:szCs w:val="20"/>
              </w:rPr>
              <w:t>（3）述标时间:</w:t>
            </w:r>
          </w:p>
          <w:p w14:paraId="33EF0C4D">
            <w:pPr>
              <w:pStyle w:val="2"/>
              <w:ind w:firstLine="0" w:firstLineChars="0"/>
              <w:rPr>
                <w:rFonts w:hint="eastAsia" w:ascii="华文宋体" w:hAnsi="华文宋体" w:cs="华文宋体"/>
                <w:sz w:val="20"/>
                <w:szCs w:val="20"/>
              </w:rPr>
            </w:pPr>
            <w:r>
              <w:rPr>
                <w:rFonts w:hint="eastAsia" w:ascii="华文宋体" w:hAnsi="华文宋体" w:cs="华文宋体"/>
                <w:sz w:val="20"/>
                <w:szCs w:val="20"/>
              </w:rPr>
              <w:t>（4）述标地点:</w:t>
            </w:r>
          </w:p>
          <w:p w14:paraId="69DA10D3">
            <w:pPr>
              <w:pStyle w:val="2"/>
              <w:ind w:firstLine="0" w:firstLineChars="0"/>
              <w:rPr>
                <w:rFonts w:hint="eastAsia" w:ascii="华文宋体" w:hAnsi="华文宋体" w:cs="华文宋体"/>
                <w:sz w:val="20"/>
                <w:szCs w:val="20"/>
              </w:rPr>
            </w:pPr>
            <w:r>
              <w:rPr>
                <w:rFonts w:hint="eastAsia" w:ascii="华文宋体" w:hAnsi="华文宋体" w:cs="华文宋体"/>
                <w:sz w:val="20"/>
                <w:szCs w:val="20"/>
              </w:rPr>
              <w:t>（5）述标人员:</w:t>
            </w:r>
          </w:p>
          <w:p w14:paraId="7CD7FC56">
            <w:pPr>
              <w:pStyle w:val="2"/>
              <w:ind w:firstLine="0" w:firstLineChars="0"/>
              <w:rPr>
                <w:rFonts w:hint="eastAsia" w:ascii="华文宋体" w:hAnsi="华文宋体" w:cs="华文宋体"/>
                <w:sz w:val="21"/>
                <w:szCs w:val="21"/>
              </w:rPr>
            </w:pPr>
            <w:r>
              <w:rPr>
                <w:rFonts w:hint="eastAsia" w:ascii="华文宋体" w:hAnsi="华文宋体" w:cs="华文宋体"/>
                <w:sz w:val="20"/>
                <w:szCs w:val="20"/>
              </w:rPr>
              <w:t>（6）具体述标要求:</w:t>
            </w:r>
          </w:p>
        </w:tc>
      </w:tr>
      <w:tr w14:paraId="3C83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82550A1">
            <w:pPr>
              <w:spacing w:line="440" w:lineRule="exact"/>
              <w:ind w:firstLine="0" w:firstLineChars="0"/>
              <w:jc w:val="center"/>
              <w:rPr>
                <w:rFonts w:hint="eastAsia" w:ascii="华文宋体" w:hAnsi="华文宋体" w:cs="华文宋体"/>
                <w:sz w:val="21"/>
                <w:szCs w:val="21"/>
              </w:rPr>
            </w:pPr>
            <w:r>
              <w:rPr>
                <w:rFonts w:hint="eastAsia" w:ascii="华文宋体" w:hAnsi="华文宋体" w:cs="华文宋体"/>
                <w:sz w:val="21"/>
                <w:szCs w:val="21"/>
              </w:rPr>
              <w:t>7.6</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5E91E68">
            <w:pPr>
              <w:spacing w:line="440" w:lineRule="exact"/>
              <w:ind w:firstLine="0" w:firstLineChars="0"/>
              <w:jc w:val="center"/>
              <w:rPr>
                <w:rFonts w:hint="eastAsia" w:ascii="华文宋体" w:hAnsi="华文宋体" w:cs="华文宋体"/>
                <w:sz w:val="21"/>
                <w:szCs w:val="21"/>
              </w:rPr>
            </w:pPr>
            <w:r>
              <w:rPr>
                <w:rFonts w:hint="eastAsia" w:ascii="华文宋体" w:hAnsi="华文宋体" w:cs="华文宋体"/>
                <w:sz w:val="21"/>
                <w:szCs w:val="21"/>
              </w:rPr>
              <w:t>履约保证金</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1BCCF6B">
            <w:pPr>
              <w:spacing w:line="44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sym w:font="Wingdings 2" w:char="00A3"/>
            </w:r>
            <w:r>
              <w:rPr>
                <w:rFonts w:hint="eastAsia" w:ascii="华文宋体" w:hAnsi="华文宋体" w:cs="华文宋体"/>
                <w:sz w:val="21"/>
                <w:szCs w:val="21"/>
              </w:rPr>
              <w:t>否</w:t>
            </w:r>
          </w:p>
          <w:p w14:paraId="643166E0">
            <w:pPr>
              <w:spacing w:line="440" w:lineRule="exact"/>
              <w:ind w:firstLine="0" w:firstLineChars="0"/>
              <w:rPr>
                <w:rFonts w:hint="eastAsia" w:ascii="华文宋体" w:hAnsi="华文宋体" w:cs="华文宋体"/>
                <w:b/>
                <w:bCs/>
                <w:sz w:val="24"/>
                <w:szCs w:val="24"/>
              </w:rPr>
            </w:pPr>
            <w:r>
              <w:rPr>
                <w:rFonts w:hint="eastAsia" w:ascii="华文宋体" w:hAnsi="华文宋体" w:cs="华文宋体"/>
                <w:b/>
                <w:bCs/>
                <w:sz w:val="24"/>
                <w:szCs w:val="24"/>
              </w:rPr>
              <w:t>☑是</w:t>
            </w:r>
          </w:p>
          <w:p w14:paraId="2805BCCB">
            <w:pPr>
              <w:pStyle w:val="8"/>
              <w:topLinePunct/>
              <w:spacing w:line="440" w:lineRule="exact"/>
              <w:ind w:firstLine="0" w:firstLineChars="0"/>
              <w:rPr>
                <w:rFonts w:hint="eastAsia" w:hAnsi="华文宋体" w:cs="华文宋体"/>
                <w:sz w:val="21"/>
                <w:szCs w:val="21"/>
              </w:rPr>
            </w:pPr>
            <w:r>
              <w:rPr>
                <w:rFonts w:hint="eastAsia" w:hAnsi="华文宋体" w:cs="华文宋体"/>
                <w:sz w:val="21"/>
                <w:szCs w:val="21"/>
              </w:rPr>
              <w:t>项目履约保证金为中标金额的</w:t>
            </w:r>
            <w:r>
              <w:rPr>
                <w:rFonts w:hAnsi="华文宋体" w:cs="华文宋体"/>
                <w:sz w:val="21"/>
                <w:szCs w:val="21"/>
              </w:rPr>
              <w:t xml:space="preserve"> 10%，履约保证金可以银行保函、保证保险、担保保函、支票或者现金等形式缴纳。</w:t>
            </w:r>
            <w:r>
              <w:rPr>
                <w:rFonts w:hint="eastAsia" w:hAnsi="华文宋体" w:cs="华文宋体"/>
                <w:sz w:val="21"/>
                <w:szCs w:val="21"/>
              </w:rPr>
              <w:t>履约保证金于合同签订完成后</w:t>
            </w:r>
            <w:r>
              <w:rPr>
                <w:rFonts w:hAnsi="华文宋体" w:cs="华文宋体"/>
                <w:sz w:val="21"/>
                <w:szCs w:val="21"/>
              </w:rPr>
              <w:t>15个工作日内缴纳，</w:t>
            </w:r>
            <w:r>
              <w:rPr>
                <w:rFonts w:hint="eastAsia" w:hAnsi="华文宋体" w:cs="华文宋体"/>
                <w:sz w:val="21"/>
                <w:szCs w:val="21"/>
              </w:rPr>
              <w:t>在项目验收完成后</w:t>
            </w:r>
            <w:r>
              <w:rPr>
                <w:rFonts w:hAnsi="华文宋体" w:cs="华文宋体"/>
                <w:sz w:val="21"/>
                <w:szCs w:val="21"/>
              </w:rPr>
              <w:t xml:space="preserve"> 15 个工作日内退还（不计息），</w:t>
            </w:r>
            <w:r>
              <w:rPr>
                <w:rFonts w:hint="eastAsia" w:hAnsi="华文宋体" w:cs="华文宋体"/>
                <w:sz w:val="21"/>
                <w:szCs w:val="21"/>
              </w:rPr>
              <w:t>履约保证金缴纳至退还的期间为履约担保期限。</w:t>
            </w:r>
          </w:p>
          <w:p w14:paraId="4913E5ED">
            <w:pPr>
              <w:spacing w:line="440" w:lineRule="exact"/>
              <w:ind w:firstLine="0" w:firstLineChars="0"/>
              <w:rPr>
                <w:rFonts w:hint="eastAsia" w:ascii="华文宋体" w:hAnsi="华文宋体" w:cs="华文宋体"/>
                <w:sz w:val="20"/>
              </w:rPr>
            </w:pPr>
            <w:r>
              <w:rPr>
                <w:rFonts w:hint="eastAsia" w:hAnsi="华文宋体" w:cs="华文宋体"/>
                <w:sz w:val="21"/>
                <w:szCs w:val="21"/>
              </w:rPr>
              <w:t>注：投标人若不按规定递交履约保证金，采购人将有权拒绝与其签订合同并不退还投标保证金。</w:t>
            </w:r>
          </w:p>
        </w:tc>
      </w:tr>
      <w:tr w14:paraId="0120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8ACB8BF">
            <w:pPr>
              <w:spacing w:line="440" w:lineRule="exact"/>
              <w:ind w:firstLine="0" w:firstLineChars="0"/>
              <w:jc w:val="center"/>
              <w:rPr>
                <w:rFonts w:hint="eastAsia" w:ascii="华文宋体" w:hAnsi="华文宋体" w:cs="华文宋体"/>
                <w:sz w:val="21"/>
                <w:szCs w:val="21"/>
              </w:rPr>
            </w:pPr>
            <w:r>
              <w:rPr>
                <w:rFonts w:hint="eastAsia" w:ascii="华文宋体" w:hAnsi="华文宋体" w:cs="华文宋体"/>
                <w:sz w:val="21"/>
                <w:szCs w:val="21"/>
              </w:rPr>
              <w:t>7.8</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CBE402E">
            <w:pPr>
              <w:spacing w:line="440" w:lineRule="exact"/>
              <w:ind w:firstLine="0" w:firstLineChars="0"/>
              <w:jc w:val="center"/>
              <w:rPr>
                <w:rFonts w:hint="eastAsia" w:ascii="华文宋体" w:hAnsi="华文宋体" w:cs="华文宋体"/>
                <w:sz w:val="21"/>
                <w:szCs w:val="21"/>
              </w:rPr>
            </w:pPr>
            <w:r>
              <w:rPr>
                <w:rFonts w:hint="eastAsia" w:ascii="华文宋体" w:hAnsi="华文宋体" w:cs="华文宋体"/>
                <w:b/>
                <w:sz w:val="21"/>
                <w:szCs w:val="21"/>
              </w:rPr>
              <w:t>付款方式</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FD6376D">
            <w:pPr>
              <w:spacing w:line="440" w:lineRule="exact"/>
              <w:ind w:firstLine="0" w:firstLineChars="0"/>
              <w:rPr>
                <w:rFonts w:hint="eastAsia" w:ascii="华文宋体" w:hAnsi="华文宋体" w:cs="华文宋体"/>
                <w:bCs/>
                <w:sz w:val="21"/>
                <w:szCs w:val="21"/>
              </w:rPr>
            </w:pPr>
            <w:r>
              <w:rPr>
                <w:rFonts w:hint="eastAsia" w:ascii="华文宋体" w:hAnsi="华文宋体" w:cs="华文宋体"/>
                <w:bCs/>
                <w:sz w:val="21"/>
                <w:szCs w:val="21"/>
              </w:rPr>
              <w:t>1.</w:t>
            </w:r>
            <w:r>
              <w:rPr>
                <w:rFonts w:ascii="华文宋体" w:hAnsi="华文宋体" w:cs="华文宋体"/>
                <w:bCs/>
                <w:sz w:val="21"/>
                <w:szCs w:val="21"/>
              </w:rPr>
              <w:t>预付款：合同生效后，中标人开具合同金额30%的</w:t>
            </w:r>
            <w:r>
              <w:rPr>
                <w:rFonts w:hint="eastAsia" w:ascii="华文宋体" w:hAnsi="华文宋体" w:cs="华文宋体"/>
                <w:bCs/>
                <w:sz w:val="21"/>
                <w:szCs w:val="21"/>
                <w:lang w:eastAsia="zh-CN"/>
              </w:rPr>
              <w:t>增值税专用</w:t>
            </w:r>
            <w:r>
              <w:rPr>
                <w:rFonts w:ascii="华文宋体" w:hAnsi="华文宋体" w:cs="华文宋体"/>
                <w:bCs/>
                <w:sz w:val="21"/>
                <w:szCs w:val="21"/>
              </w:rPr>
              <w:t>发票，</w:t>
            </w:r>
            <w:r>
              <w:rPr>
                <w:rFonts w:hint="eastAsia" w:ascii="华文宋体" w:hAnsi="华文宋体" w:cs="华文宋体"/>
                <w:bCs/>
                <w:sz w:val="21"/>
                <w:szCs w:val="21"/>
              </w:rPr>
              <w:t>采购人收到发票后15个工作日内支付该合同额的30%作为预付款</w:t>
            </w:r>
            <w:r>
              <w:rPr>
                <w:rFonts w:ascii="华文宋体" w:hAnsi="华文宋体" w:cs="华文宋体"/>
                <w:bCs/>
                <w:sz w:val="21"/>
                <w:szCs w:val="21"/>
              </w:rPr>
              <w:t>。</w:t>
            </w:r>
          </w:p>
          <w:p w14:paraId="14C7D919">
            <w:pPr>
              <w:spacing w:line="440" w:lineRule="exact"/>
              <w:ind w:firstLine="0" w:firstLineChars="0"/>
              <w:rPr>
                <w:rFonts w:hint="eastAsia" w:ascii="华文宋体" w:hAnsi="华文宋体" w:cs="华文宋体"/>
                <w:bCs/>
                <w:sz w:val="21"/>
                <w:szCs w:val="21"/>
              </w:rPr>
            </w:pPr>
            <w:r>
              <w:rPr>
                <w:rFonts w:hint="eastAsia" w:ascii="华文宋体" w:hAnsi="华文宋体" w:cs="华文宋体"/>
                <w:bCs/>
                <w:sz w:val="21"/>
                <w:szCs w:val="21"/>
              </w:rPr>
              <w:t>2.</w:t>
            </w:r>
            <w:r>
              <w:rPr>
                <w:rFonts w:ascii="华文宋体" w:hAnsi="华文宋体" w:cs="华文宋体"/>
                <w:bCs/>
                <w:sz w:val="21"/>
                <w:szCs w:val="21"/>
              </w:rPr>
              <w:t>进度款：中标人编制的项目蓝图</w:t>
            </w:r>
            <w:r>
              <w:rPr>
                <w:rFonts w:hint="eastAsia" w:ascii="华文宋体" w:hAnsi="华文宋体" w:cs="华文宋体"/>
                <w:bCs/>
                <w:sz w:val="21"/>
                <w:szCs w:val="21"/>
              </w:rPr>
              <w:t>方案</w:t>
            </w:r>
            <w:r>
              <w:rPr>
                <w:rFonts w:ascii="华文宋体" w:hAnsi="华文宋体" w:cs="华文宋体"/>
                <w:bCs/>
                <w:sz w:val="21"/>
                <w:szCs w:val="21"/>
              </w:rPr>
              <w:t>经采购人书面确认后，中标人开具合同金额30%的</w:t>
            </w:r>
            <w:r>
              <w:rPr>
                <w:rFonts w:hint="eastAsia" w:ascii="华文宋体" w:hAnsi="华文宋体" w:cs="华文宋体"/>
                <w:bCs/>
                <w:sz w:val="21"/>
                <w:szCs w:val="21"/>
                <w:lang w:eastAsia="zh-CN"/>
              </w:rPr>
              <w:t>增值税专用</w:t>
            </w:r>
            <w:r>
              <w:rPr>
                <w:rFonts w:ascii="华文宋体" w:hAnsi="华文宋体" w:cs="华文宋体"/>
                <w:bCs/>
                <w:sz w:val="21"/>
                <w:szCs w:val="21"/>
              </w:rPr>
              <w:t>发票，</w:t>
            </w:r>
            <w:r>
              <w:rPr>
                <w:rFonts w:hint="eastAsia" w:ascii="华文宋体" w:hAnsi="华文宋体" w:cs="华文宋体"/>
                <w:bCs/>
                <w:sz w:val="21"/>
                <w:szCs w:val="21"/>
                <w:lang w:eastAsia="zh-CN"/>
              </w:rPr>
              <w:t>采购人收到发票后15个工作日内支付该合同额的30%进度款</w:t>
            </w:r>
            <w:r>
              <w:rPr>
                <w:rFonts w:ascii="华文宋体" w:hAnsi="华文宋体" w:cs="华文宋体"/>
                <w:bCs/>
                <w:sz w:val="21"/>
                <w:szCs w:val="21"/>
              </w:rPr>
              <w:t>。</w:t>
            </w:r>
          </w:p>
          <w:p w14:paraId="533843FB">
            <w:pPr>
              <w:spacing w:line="440" w:lineRule="exact"/>
              <w:ind w:firstLine="0" w:firstLineChars="0"/>
              <w:rPr>
                <w:rFonts w:hint="eastAsia" w:ascii="华文宋体" w:hAnsi="华文宋体" w:cs="华文宋体"/>
                <w:bCs/>
                <w:sz w:val="21"/>
                <w:szCs w:val="21"/>
              </w:rPr>
            </w:pPr>
            <w:r>
              <w:rPr>
                <w:rFonts w:hint="eastAsia" w:ascii="华文宋体" w:hAnsi="华文宋体" w:cs="华文宋体"/>
                <w:bCs/>
                <w:sz w:val="21"/>
                <w:szCs w:val="21"/>
              </w:rPr>
              <w:t>3.</w:t>
            </w:r>
            <w:r>
              <w:rPr>
                <w:rFonts w:ascii="华文宋体" w:hAnsi="华文宋体" w:cs="华文宋体"/>
                <w:bCs/>
                <w:sz w:val="21"/>
                <w:szCs w:val="21"/>
              </w:rPr>
              <w:t>验收付款：系统安装调试完毕并最终验收合格后，中标人开具合同金额30%的</w:t>
            </w:r>
            <w:r>
              <w:rPr>
                <w:rFonts w:hint="default" w:ascii="华文宋体" w:hAnsi="华文宋体" w:cs="华文宋体"/>
                <w:bCs/>
                <w:sz w:val="21"/>
                <w:szCs w:val="21"/>
              </w:rPr>
              <w:t>增值税专用发票，采购人收到发票后15个工作日内支付该合同额的30%</w:t>
            </w:r>
            <w:r>
              <w:rPr>
                <w:rFonts w:ascii="华文宋体" w:hAnsi="华文宋体" w:cs="华文宋体"/>
                <w:bCs/>
                <w:sz w:val="21"/>
                <w:szCs w:val="21"/>
              </w:rPr>
              <w:t>。</w:t>
            </w:r>
          </w:p>
          <w:p w14:paraId="1646D1A3">
            <w:pPr>
              <w:spacing w:line="440" w:lineRule="exact"/>
              <w:ind w:firstLine="0" w:firstLineChars="0"/>
              <w:rPr>
                <w:rFonts w:hint="eastAsia" w:ascii="华文宋体" w:hAnsi="华文宋体" w:cs="华文宋体"/>
                <w:bCs/>
                <w:sz w:val="21"/>
                <w:szCs w:val="21"/>
              </w:rPr>
            </w:pPr>
            <w:bookmarkStart w:id="166" w:name="OLE_LINK6"/>
            <w:r>
              <w:rPr>
                <w:rFonts w:hint="eastAsia" w:ascii="华文宋体" w:hAnsi="华文宋体" w:cs="华文宋体"/>
                <w:bCs/>
                <w:sz w:val="21"/>
                <w:szCs w:val="21"/>
              </w:rPr>
              <w:t>4.</w:t>
            </w:r>
            <w:r>
              <w:rPr>
                <w:rFonts w:ascii="华文宋体" w:hAnsi="华文宋体" w:cs="华文宋体"/>
                <w:bCs/>
                <w:sz w:val="21"/>
                <w:szCs w:val="21"/>
              </w:rPr>
              <w:t>质量保证金：合同总额的10%作为质量保证金。中标人开具等额发票，待质保期满且无质量问题后，采购人一次性无息</w:t>
            </w:r>
            <w:r>
              <w:rPr>
                <w:rFonts w:hint="eastAsia" w:ascii="华文宋体" w:hAnsi="华文宋体" w:cs="华文宋体"/>
                <w:bCs/>
                <w:sz w:val="21"/>
                <w:szCs w:val="21"/>
                <w:lang w:val="en-US" w:eastAsia="zh-CN"/>
              </w:rPr>
              <w:t>支付给中标人</w:t>
            </w:r>
            <w:r>
              <w:rPr>
                <w:rFonts w:ascii="华文宋体" w:hAnsi="华文宋体" w:cs="华文宋体"/>
                <w:bCs/>
                <w:sz w:val="21"/>
                <w:szCs w:val="21"/>
              </w:rPr>
              <w:t>。</w:t>
            </w:r>
            <w:bookmarkEnd w:id="166"/>
          </w:p>
        </w:tc>
      </w:tr>
      <w:tr w14:paraId="27BC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jc w:val="center"/>
        </w:trPr>
        <w:tc>
          <w:tcPr>
            <w:tcW w:w="105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069E19C">
            <w:pPr>
              <w:spacing w:line="440" w:lineRule="exact"/>
              <w:ind w:firstLine="0" w:firstLineChars="0"/>
              <w:jc w:val="center"/>
              <w:rPr>
                <w:rFonts w:hint="eastAsia" w:ascii="华文宋体" w:hAnsi="华文宋体" w:cs="华文宋体"/>
                <w:sz w:val="21"/>
                <w:szCs w:val="21"/>
              </w:rPr>
            </w:pPr>
            <w:r>
              <w:rPr>
                <w:rFonts w:hint="eastAsia" w:ascii="华文宋体" w:hAnsi="华文宋体" w:cs="华文宋体"/>
                <w:sz w:val="21"/>
                <w:szCs w:val="21"/>
              </w:rPr>
              <w:t>10</w:t>
            </w:r>
          </w:p>
        </w:tc>
        <w:tc>
          <w:tcPr>
            <w:tcW w:w="238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4BBB147">
            <w:pPr>
              <w:spacing w:line="440" w:lineRule="exact"/>
              <w:ind w:firstLine="0" w:firstLineChars="0"/>
              <w:jc w:val="center"/>
              <w:rPr>
                <w:rFonts w:hint="eastAsia" w:ascii="华文宋体" w:hAnsi="华文宋体" w:cs="华文宋体"/>
                <w:sz w:val="21"/>
                <w:szCs w:val="21"/>
              </w:rPr>
            </w:pPr>
            <w:r>
              <w:rPr>
                <w:rFonts w:hint="eastAsia" w:ascii="华文宋体" w:hAnsi="华文宋体" w:cs="华文宋体"/>
                <w:sz w:val="21"/>
                <w:szCs w:val="21"/>
              </w:rPr>
              <w:t>需要补充的其他内容</w:t>
            </w:r>
          </w:p>
        </w:tc>
        <w:tc>
          <w:tcPr>
            <w:tcW w:w="508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41A9555">
            <w:pPr>
              <w:spacing w:line="440" w:lineRule="exact"/>
              <w:ind w:firstLine="0" w:firstLineChars="0"/>
              <w:rPr>
                <w:rFonts w:hint="eastAsia" w:ascii="华文宋体" w:hAnsi="华文宋体" w:cs="华文宋体"/>
                <w:sz w:val="21"/>
                <w:szCs w:val="21"/>
              </w:rPr>
            </w:pPr>
            <w:r>
              <w:rPr>
                <w:rFonts w:hint="eastAsia" w:ascii="华文宋体" w:hAnsi="华文宋体" w:cs="华文宋体"/>
                <w:sz w:val="21"/>
                <w:szCs w:val="21"/>
              </w:rPr>
              <w:t>/。</w:t>
            </w:r>
          </w:p>
        </w:tc>
      </w:tr>
    </w:tbl>
    <w:p w14:paraId="7723B014">
      <w:pPr>
        <w:ind w:firstLine="720"/>
        <w:rPr>
          <w:rFonts w:hint="eastAsia" w:ascii="华文宋体" w:hAnsi="华文宋体"/>
          <w:sz w:val="36"/>
        </w:rPr>
      </w:pPr>
      <w:bookmarkStart w:id="167" w:name="_Toc895938592"/>
      <w:bookmarkStart w:id="168" w:name="_Toc1263638490"/>
      <w:bookmarkStart w:id="169" w:name="_Toc1796107289"/>
      <w:bookmarkStart w:id="170" w:name="_Toc730465774"/>
      <w:bookmarkStart w:id="171" w:name="_Toc14528"/>
      <w:bookmarkStart w:id="172" w:name="_Toc1756809703"/>
      <w:bookmarkStart w:id="173" w:name="_Toc1662558987"/>
      <w:bookmarkStart w:id="174" w:name="_Toc289128699"/>
      <w:bookmarkStart w:id="175" w:name="_Toc995551660"/>
      <w:bookmarkStart w:id="176" w:name="_Toc945576023"/>
      <w:r>
        <w:rPr>
          <w:rFonts w:hint="eastAsia" w:ascii="华文宋体" w:hAnsi="华文宋体"/>
          <w:sz w:val="36"/>
        </w:rPr>
        <w:br w:type="page"/>
      </w:r>
    </w:p>
    <w:p w14:paraId="31A1C0BE">
      <w:pPr>
        <w:ind w:firstLine="0" w:firstLineChars="0"/>
        <w:jc w:val="center"/>
        <w:rPr>
          <w:rFonts w:hint="eastAsia" w:ascii="华文宋体" w:hAnsi="华文宋体"/>
          <w:sz w:val="36"/>
        </w:rPr>
      </w:pPr>
      <w:r>
        <w:rPr>
          <w:rFonts w:hint="eastAsia" w:ascii="华文宋体" w:hAnsi="华文宋体"/>
          <w:sz w:val="36"/>
        </w:rPr>
        <w:t>电子招标投标流程介绍</w:t>
      </w:r>
      <w:bookmarkEnd w:id="167"/>
      <w:bookmarkEnd w:id="168"/>
      <w:bookmarkEnd w:id="169"/>
      <w:bookmarkEnd w:id="170"/>
      <w:bookmarkEnd w:id="171"/>
      <w:bookmarkEnd w:id="172"/>
      <w:bookmarkEnd w:id="173"/>
      <w:bookmarkEnd w:id="174"/>
      <w:bookmarkEnd w:id="175"/>
      <w:bookmarkEnd w:id="176"/>
    </w:p>
    <w:p w14:paraId="7F732FF1">
      <w:pPr>
        <w:ind w:firstLine="480"/>
        <w:rPr>
          <w:strike/>
        </w:rPr>
      </w:pPr>
      <w:r>
        <w:rPr>
          <w:rFonts w:hint="eastAsia"/>
        </w:rPr>
        <w:t>1.投标流程</w:t>
      </w:r>
    </w:p>
    <w:p w14:paraId="22947396">
      <w:pPr>
        <w:ind w:firstLine="480"/>
      </w:pPr>
      <w:r>
        <w:rPr>
          <w:rFonts w:hint="eastAsia"/>
        </w:rPr>
        <w:t>如有意向参与项目投标，投标人根据下载路径（【中国煤科电子采购平台首页】—【客服中心】—【投标指南】），下载并仔细阅读投标指南，自主学习投标流程。</w:t>
      </w:r>
    </w:p>
    <w:p w14:paraId="5D4CA322">
      <w:pPr>
        <w:ind w:firstLine="480"/>
      </w:pPr>
      <w:r>
        <w:rPr>
          <w:rFonts w:hint="eastAsia"/>
        </w:rPr>
        <w:t>2.标书购买及下载</w:t>
      </w:r>
    </w:p>
    <w:p w14:paraId="72F4CBDD">
      <w:pPr>
        <w:ind w:firstLine="480"/>
      </w:pPr>
      <w:r>
        <w:rPr>
          <w:rFonts w:hint="eastAsia"/>
        </w:rPr>
        <w:t>登录供应商账号—招标采购管理—购买文件—选择项目放入购物车—去购物车结算—下订单—付款方式（现金）—附件上传标书费汇款凭证—提交—等待电子采购平台审核（审核需1个工作日内）—标书费用支付成功后，在左侧菜单栏“文件下载”中，及时下载招标文件zip数据包。</w:t>
      </w:r>
    </w:p>
    <w:p w14:paraId="6BB13214">
      <w:pPr>
        <w:ind w:firstLine="480"/>
      </w:pPr>
      <w:r>
        <w:rPr>
          <w:rFonts w:hint="eastAsia"/>
        </w:rPr>
        <w:t>3.编制投标文件</w:t>
      </w:r>
    </w:p>
    <w:p w14:paraId="6EF52B96">
      <w:pPr>
        <w:ind w:firstLine="480"/>
      </w:pPr>
      <w:r>
        <w:rPr>
          <w:rFonts w:hint="eastAsia"/>
        </w:rPr>
        <w:t>下载并安装投标文件编制客户端后，导入所下载招标文件数据包中EBID格式的文件，开始编制投标文件。通过客户端生成的投标文件才能递交并进行开标解密。</w:t>
      </w:r>
    </w:p>
    <w:p w14:paraId="7028E78B">
      <w:pPr>
        <w:ind w:firstLine="480"/>
      </w:pPr>
      <w:r>
        <w:rPr>
          <w:rFonts w:hint="eastAsia"/>
        </w:rPr>
        <w:t>文件编辑完成后，生成加密的过程需要使用CA证书。投标文件生成过程中，请关注“测试解密成功”字样。为防止CA解密出现异常，在投标文件生成过程中需设置文件加密密码（即开标大厅中密码信封），以作解密备用。请注意生成后投标文件后缀格式为ETND，只有这个格式投标文件才能递交成功。</w:t>
      </w:r>
    </w:p>
    <w:p w14:paraId="5A9E7DA2">
      <w:pPr>
        <w:ind w:firstLine="480"/>
      </w:pPr>
      <w:r>
        <w:rPr>
          <w:rFonts w:hint="eastAsia"/>
        </w:rPr>
        <w:t>制作投标文件的过程中，如果对招标文件项目信息存在疑问，请及时联系招标公告中的项目联系人。</w:t>
      </w:r>
    </w:p>
    <w:p w14:paraId="5936C08C">
      <w:pPr>
        <w:ind w:firstLine="480"/>
      </w:pPr>
      <w:r>
        <w:rPr>
          <w:rFonts w:hint="eastAsia"/>
        </w:rPr>
        <w:t>4.缴纳投标保证金</w:t>
      </w:r>
    </w:p>
    <w:p w14:paraId="1941F48D">
      <w:pPr>
        <w:ind w:firstLine="480"/>
      </w:pPr>
      <w:r>
        <w:rPr>
          <w:rFonts w:hint="eastAsia"/>
        </w:rPr>
        <w:t>请在投标截止时间前，及时缴纳投标保证金。投标保证金缴纳后，需将保证金支付凭证及时上传至“中国煤科电子采购平台”。</w:t>
      </w:r>
    </w:p>
    <w:p w14:paraId="25BA2439">
      <w:pPr>
        <w:ind w:firstLine="480"/>
      </w:pPr>
      <w:r>
        <w:rPr>
          <w:rFonts w:hint="eastAsia"/>
        </w:rPr>
        <w:t>5.递交投标文件</w:t>
      </w:r>
    </w:p>
    <w:p w14:paraId="2BD78600">
      <w:pPr>
        <w:ind w:firstLine="480"/>
      </w:pPr>
      <w:r>
        <w:rPr>
          <w:rFonts w:hint="eastAsia"/>
        </w:rPr>
        <w:t>制作好投标文件后，登录平台绑定CA。如果递交的投标文件需要修改，也可以撤销后再次编辑。由于网络或文件大小因素，文件在线上传需要一定时间。为保证投标文件递交成功，请投标人至少在投标截止时间2小时前上传并递交投标文件。</w:t>
      </w:r>
    </w:p>
    <w:p w14:paraId="6CCE4ED3">
      <w:pPr>
        <w:ind w:firstLine="480"/>
      </w:pPr>
      <w:r>
        <w:rPr>
          <w:rFonts w:hint="eastAsia"/>
        </w:rPr>
        <w:t>到达投标截止时间，如投标人未成功递交投标文件，视为放弃投标。</w:t>
      </w:r>
    </w:p>
    <w:p w14:paraId="20004E56">
      <w:pPr>
        <w:ind w:firstLine="480"/>
      </w:pPr>
      <w:r>
        <w:rPr>
          <w:rFonts w:hint="eastAsia"/>
        </w:rPr>
        <w:t>6.开标</w:t>
      </w:r>
    </w:p>
    <w:p w14:paraId="31D5909D">
      <w:pPr>
        <w:ind w:firstLine="480"/>
      </w:pPr>
      <w:r>
        <w:rPr>
          <w:rFonts w:hint="eastAsia"/>
        </w:rPr>
        <w:t>上述工作完成后，在所参加项目开标时间前30分钟进入网上开标大厅等待开标。开标启动后，在规定时间内按照指令完成解密、签名环节。开标期间不要进行其他操作，并务必保持联系人手机畅通。</w:t>
      </w:r>
    </w:p>
    <w:p w14:paraId="16F05C19">
      <w:pPr>
        <w:ind w:firstLine="480"/>
      </w:pPr>
      <w:r>
        <w:rPr>
          <w:rFonts w:hint="eastAsia"/>
        </w:rPr>
        <w:t>开标解密时间规定为30分钟。</w:t>
      </w:r>
    </w:p>
    <w:p w14:paraId="67AC9047">
      <w:pPr>
        <w:ind w:firstLine="480"/>
        <w:rPr>
          <w:b/>
          <w:bCs/>
        </w:rPr>
      </w:pPr>
      <w:r>
        <w:rPr>
          <w:rFonts w:hint="eastAsia"/>
          <w:b/>
          <w:bCs/>
        </w:rPr>
        <w:t>根据《电子招标投标办法》第三十一条规定，宣布开标后，在规定开标解密时间内，因投标人原因造成投标文件未解密的，视为投标人撤销其投标文件；因投标人之外的原因造成投标文件未解密的，视为撤回其投标文件。部分投标文件未解密的，其他投标文件的开标可以继续进行。</w:t>
      </w:r>
    </w:p>
    <w:p w14:paraId="2884828D">
      <w:pPr>
        <w:ind w:firstLine="480"/>
      </w:pPr>
      <w:r>
        <w:rPr>
          <w:rFonts w:hint="eastAsia"/>
        </w:rPr>
        <w:t>7.电子签章</w:t>
      </w:r>
    </w:p>
    <w:p w14:paraId="0D9C9DD0">
      <w:pPr>
        <w:ind w:firstLine="480"/>
      </w:pPr>
      <w:r>
        <w:rPr>
          <w:rFonts w:hint="eastAsia"/>
        </w:rPr>
        <w:t>投标文件编制客户端支持单页签章和批量签章功能。</w:t>
      </w:r>
    </w:p>
    <w:p w14:paraId="318F0522">
      <w:pPr>
        <w:ind w:firstLine="480"/>
      </w:pPr>
      <w:r>
        <w:rPr>
          <w:rFonts w:hint="eastAsia"/>
        </w:rPr>
        <w:t>请在制作投标文件时确保按照招标文件要求签章位置加盖CA电子签章，并且在生成加密电子投标文件前仔细查看，确保文件无误。</w:t>
      </w:r>
    </w:p>
    <w:p w14:paraId="295242D0">
      <w:pPr>
        <w:ind w:firstLine="480"/>
      </w:pPr>
      <w:r>
        <w:rPr>
          <w:rFonts w:hint="eastAsia"/>
        </w:rPr>
        <w:t>8.系统适用环境</w:t>
      </w:r>
    </w:p>
    <w:p w14:paraId="127E76E2">
      <w:pPr>
        <w:ind w:firstLine="480"/>
      </w:pPr>
      <w:r>
        <w:rPr>
          <w:rFonts w:hint="eastAsia"/>
        </w:rPr>
        <w:t>操作系统要求：建议使用Windows7或Windows10的64位操作系统；</w:t>
      </w:r>
    </w:p>
    <w:p w14:paraId="5C1ADB9F">
      <w:pPr>
        <w:ind w:firstLine="480"/>
      </w:pPr>
      <w:r>
        <w:rPr>
          <w:rFonts w:hint="eastAsia"/>
        </w:rPr>
        <w:t>浏览器要求：建议使用搜狗浏览器兼容模式或IE8版本；</w:t>
      </w:r>
    </w:p>
    <w:p w14:paraId="6EFAF4AD">
      <w:pPr>
        <w:ind w:firstLine="480"/>
      </w:pPr>
      <w:r>
        <w:rPr>
          <w:rFonts w:hint="eastAsia"/>
        </w:rPr>
        <w:t>投标文件编制客户端要求：使用网站首页投标文件编制客户端；</w:t>
      </w:r>
    </w:p>
    <w:p w14:paraId="6362837B">
      <w:pPr>
        <w:ind w:firstLine="480"/>
      </w:pPr>
      <w:r>
        <w:rPr>
          <w:rFonts w:hint="eastAsia"/>
        </w:rPr>
        <w:t>CA驱动要求：使用网站首页CA驱动。</w:t>
      </w:r>
    </w:p>
    <w:p w14:paraId="57642C35">
      <w:pPr>
        <w:ind w:firstLine="480"/>
      </w:pPr>
      <w:r>
        <w:rPr>
          <w:rFonts w:hint="eastAsia"/>
        </w:rPr>
        <w:t>9.应急与响应</w:t>
      </w:r>
    </w:p>
    <w:p w14:paraId="0736D2D2">
      <w:pPr>
        <w:ind w:firstLine="480"/>
      </w:pPr>
      <w:r>
        <w:rPr>
          <w:rFonts w:hint="eastAsia"/>
        </w:rPr>
        <w:t>在网上开标期间，如有问题请及时联系招标代理机构对应项目经理寻求支持，但无法确保所有问题都能得到成功解决。</w:t>
      </w:r>
    </w:p>
    <w:p w14:paraId="6E032498">
      <w:pPr>
        <w:ind w:firstLine="480"/>
      </w:pPr>
      <w:r>
        <w:br w:type="page"/>
      </w:r>
      <w:bookmarkEnd w:id="157"/>
      <w:bookmarkStart w:id="177" w:name="_Toc917230761"/>
      <w:bookmarkStart w:id="178" w:name="_Toc1761"/>
      <w:bookmarkStart w:id="179" w:name="_Toc25818"/>
      <w:bookmarkStart w:id="180" w:name="_Toc1191655843"/>
      <w:bookmarkStart w:id="181" w:name="_Toc1719163392"/>
      <w:bookmarkStart w:id="182" w:name="_Toc1921737366"/>
      <w:bookmarkStart w:id="183" w:name="_Toc1506316247"/>
      <w:bookmarkStart w:id="184" w:name="_Toc1778034579"/>
      <w:bookmarkStart w:id="185" w:name="_Toc24798"/>
      <w:bookmarkStart w:id="186" w:name="_Toc948015718"/>
      <w:bookmarkStart w:id="187" w:name="_Toc2032066627"/>
      <w:bookmarkStart w:id="188" w:name="_Toc2145063991"/>
      <w:r>
        <w:t>1.总则</w:t>
      </w:r>
      <w:bookmarkEnd w:id="177"/>
      <w:bookmarkEnd w:id="178"/>
      <w:bookmarkEnd w:id="179"/>
      <w:bookmarkEnd w:id="180"/>
      <w:bookmarkEnd w:id="181"/>
      <w:bookmarkEnd w:id="182"/>
      <w:bookmarkEnd w:id="183"/>
      <w:bookmarkEnd w:id="184"/>
      <w:bookmarkEnd w:id="185"/>
      <w:bookmarkEnd w:id="186"/>
      <w:bookmarkEnd w:id="187"/>
      <w:bookmarkEnd w:id="188"/>
    </w:p>
    <w:p w14:paraId="1B28376B">
      <w:pPr>
        <w:pStyle w:val="5"/>
        <w:spacing w:line="240" w:lineRule="auto"/>
        <w:ind w:firstLine="561"/>
      </w:pPr>
      <w:bookmarkStart w:id="189" w:name="_Toc16312"/>
      <w:bookmarkStart w:id="190" w:name="_Toc1734142606"/>
      <w:bookmarkStart w:id="191" w:name="_Toc21679"/>
      <w:bookmarkStart w:id="192" w:name="_Toc5781"/>
      <w:bookmarkStart w:id="193" w:name="_Toc1192221248"/>
      <w:bookmarkStart w:id="194" w:name="_Toc1511361748"/>
      <w:bookmarkStart w:id="195" w:name="_Toc135030901"/>
      <w:bookmarkStart w:id="196" w:name="_Toc442"/>
      <w:bookmarkStart w:id="197" w:name="_Toc727261379"/>
      <w:bookmarkStart w:id="198" w:name="_Toc28871"/>
      <w:bookmarkStart w:id="199" w:name="_Toc27689"/>
      <w:bookmarkStart w:id="200" w:name="_Toc1118995333"/>
      <w:bookmarkStart w:id="201" w:name="_Toc2119932493"/>
      <w:bookmarkStart w:id="202" w:name="_Toc11712"/>
      <w:bookmarkStart w:id="203" w:name="_Toc485859482"/>
      <w:r>
        <w:t>1.1招标项目概况</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35A24574">
      <w:pPr>
        <w:ind w:firstLine="480"/>
      </w:pPr>
      <w:r>
        <w:t>1.1.1根据《中华人民共和国招标投标法》《中华人民共和国招标投标法实施条例》《中国煤炭科工集团有限公司招标管理办法》等有关</w:t>
      </w:r>
      <w:r>
        <w:rPr>
          <w:rFonts w:hint="eastAsia"/>
        </w:rPr>
        <w:t>法律法规</w:t>
      </w:r>
      <w:r>
        <w:t>、规章和相关规定，本招标项目已具备招标条件，现对</w:t>
      </w:r>
      <w:r>
        <w:rPr>
          <w:rFonts w:hint="eastAsia"/>
        </w:rPr>
        <w:t>钻探劳务分包</w:t>
      </w:r>
      <w:r>
        <w:t>进行招标。</w:t>
      </w:r>
    </w:p>
    <w:p w14:paraId="2858E6BF">
      <w:pPr>
        <w:ind w:firstLine="480"/>
      </w:pPr>
      <w:r>
        <w:t>1.1.2招标人：见投标人须知前附表。</w:t>
      </w:r>
    </w:p>
    <w:p w14:paraId="71B2EBF0">
      <w:pPr>
        <w:ind w:firstLine="480"/>
      </w:pPr>
      <w:r>
        <w:t>1.1.3招标代理机构：见投标人须知前附表。</w:t>
      </w:r>
    </w:p>
    <w:p w14:paraId="28539A4A">
      <w:pPr>
        <w:ind w:firstLine="480"/>
      </w:pPr>
      <w:r>
        <w:t>1.1.4招标项目名称：见投标人须知前附表。</w:t>
      </w:r>
    </w:p>
    <w:p w14:paraId="34A46922">
      <w:pPr>
        <w:pStyle w:val="5"/>
        <w:spacing w:line="240" w:lineRule="auto"/>
        <w:ind w:firstLine="561"/>
      </w:pPr>
      <w:bookmarkStart w:id="204" w:name="_Toc3247"/>
      <w:bookmarkStart w:id="205" w:name="_Toc86721958"/>
      <w:bookmarkStart w:id="206" w:name="_Toc1020321920"/>
      <w:bookmarkStart w:id="207" w:name="_Toc31129"/>
      <w:bookmarkStart w:id="208" w:name="_Toc1640088626"/>
      <w:bookmarkStart w:id="209" w:name="_Toc17772"/>
      <w:bookmarkStart w:id="210" w:name="_Toc1752561776"/>
      <w:bookmarkStart w:id="211" w:name="_Toc1721621875"/>
      <w:bookmarkStart w:id="212" w:name="_Toc1440264952"/>
      <w:bookmarkStart w:id="213" w:name="_Toc29348"/>
      <w:bookmarkStart w:id="214" w:name="_Toc804222474"/>
      <w:bookmarkStart w:id="215" w:name="_Toc18510"/>
      <w:bookmarkStart w:id="216" w:name="_Toc16159"/>
      <w:bookmarkStart w:id="217" w:name="_Toc31259"/>
      <w:bookmarkStart w:id="218" w:name="_Toc1107488080"/>
      <w:r>
        <w:t>1.2招标项目的资金来源和落实情况</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52BF0431">
      <w:pPr>
        <w:ind w:firstLine="480"/>
      </w:pPr>
      <w:r>
        <w:t>1.2.1资金来源及比例：见投标人须知前附表。</w:t>
      </w:r>
    </w:p>
    <w:p w14:paraId="0E4F16DC">
      <w:pPr>
        <w:ind w:firstLine="480"/>
      </w:pPr>
      <w:r>
        <w:t>1.2.2资金落实情况：见投标人须知前附表。</w:t>
      </w:r>
    </w:p>
    <w:p w14:paraId="63B9ED4D">
      <w:pPr>
        <w:pStyle w:val="5"/>
        <w:spacing w:line="240" w:lineRule="auto"/>
        <w:ind w:firstLine="561"/>
      </w:pPr>
      <w:bookmarkStart w:id="219" w:name="_Toc32375"/>
      <w:bookmarkStart w:id="220" w:name="_Toc1311392011"/>
      <w:bookmarkStart w:id="221" w:name="_Toc17188"/>
      <w:bookmarkStart w:id="222" w:name="_Toc420066980"/>
      <w:bookmarkStart w:id="223" w:name="_Toc2016927937"/>
      <w:bookmarkStart w:id="224" w:name="_Toc305046300"/>
      <w:bookmarkStart w:id="225" w:name="_Toc5103"/>
      <w:bookmarkStart w:id="226" w:name="_Toc1542035440"/>
      <w:bookmarkStart w:id="227" w:name="_Toc23721"/>
      <w:bookmarkStart w:id="228" w:name="_Toc3418"/>
      <w:bookmarkStart w:id="229" w:name="_Toc21665"/>
      <w:bookmarkStart w:id="230" w:name="_Toc97379280"/>
      <w:bookmarkStart w:id="231" w:name="_Toc893588145"/>
      <w:bookmarkStart w:id="232" w:name="_Toc104193447"/>
      <w:bookmarkStart w:id="233" w:name="_Toc11508"/>
      <w:r>
        <w:t>1.3招标范围、</w:t>
      </w:r>
      <w:r>
        <w:rPr>
          <w:rFonts w:hint="eastAsia"/>
        </w:rPr>
        <w:t>服务期</w:t>
      </w:r>
      <w:r>
        <w:t>、</w:t>
      </w:r>
      <w:r>
        <w:rPr>
          <w:rFonts w:hint="eastAsia"/>
        </w:rPr>
        <w:t>服务地点</w:t>
      </w:r>
      <w:r>
        <w:t>和</w:t>
      </w:r>
      <w:bookmarkEnd w:id="219"/>
      <w:bookmarkEnd w:id="220"/>
      <w:bookmarkEnd w:id="221"/>
      <w:bookmarkEnd w:id="222"/>
      <w:bookmarkEnd w:id="223"/>
      <w:r>
        <w:rPr>
          <w:rFonts w:hint="eastAsia"/>
        </w:rPr>
        <w:t>服务质量及标准</w:t>
      </w:r>
      <w:bookmarkEnd w:id="224"/>
      <w:bookmarkEnd w:id="225"/>
      <w:bookmarkEnd w:id="226"/>
      <w:bookmarkEnd w:id="227"/>
      <w:bookmarkEnd w:id="228"/>
      <w:bookmarkEnd w:id="229"/>
      <w:bookmarkEnd w:id="230"/>
      <w:bookmarkEnd w:id="231"/>
      <w:bookmarkEnd w:id="232"/>
      <w:bookmarkEnd w:id="233"/>
    </w:p>
    <w:p w14:paraId="052CA0EC">
      <w:pPr>
        <w:ind w:firstLine="480"/>
      </w:pPr>
      <w:r>
        <w:t>1.3.1招标范围：见投标人须知前附表。</w:t>
      </w:r>
    </w:p>
    <w:p w14:paraId="566C8983">
      <w:pPr>
        <w:ind w:firstLine="480"/>
      </w:pPr>
      <w:r>
        <w:t>1.3.2</w:t>
      </w:r>
      <w:r>
        <w:rPr>
          <w:rFonts w:hint="eastAsia"/>
        </w:rPr>
        <w:t>服务期</w:t>
      </w:r>
      <w:r>
        <w:t>：见投标人须知前附表。</w:t>
      </w:r>
    </w:p>
    <w:p w14:paraId="3BD0BA99">
      <w:pPr>
        <w:ind w:firstLine="480"/>
      </w:pPr>
      <w:r>
        <w:t>1.3.3</w:t>
      </w:r>
      <w:r>
        <w:rPr>
          <w:rFonts w:hint="eastAsia"/>
        </w:rPr>
        <w:t>服务地点</w:t>
      </w:r>
      <w:r>
        <w:t>：见投标人须知前附表。</w:t>
      </w:r>
    </w:p>
    <w:p w14:paraId="05D0B5C8">
      <w:pPr>
        <w:ind w:firstLine="480"/>
      </w:pPr>
      <w:r>
        <w:t>1.3.4</w:t>
      </w:r>
      <w:r>
        <w:rPr>
          <w:rFonts w:hint="eastAsia"/>
        </w:rPr>
        <w:t>服务质量及标准</w:t>
      </w:r>
      <w:r>
        <w:t>：见投标人须知前附表。</w:t>
      </w:r>
    </w:p>
    <w:p w14:paraId="3BEF1B75">
      <w:pPr>
        <w:pStyle w:val="5"/>
        <w:spacing w:line="240" w:lineRule="auto"/>
        <w:ind w:firstLine="561"/>
      </w:pPr>
      <w:bookmarkStart w:id="234" w:name="_Toc1286985171"/>
      <w:bookmarkStart w:id="235" w:name="_Toc27955"/>
      <w:bookmarkStart w:id="236" w:name="_Toc20749"/>
      <w:bookmarkStart w:id="237" w:name="_Toc19587"/>
      <w:bookmarkStart w:id="238" w:name="_Toc29754"/>
      <w:bookmarkStart w:id="239" w:name="_Toc271019946"/>
      <w:bookmarkStart w:id="240" w:name="_Toc980091424"/>
      <w:bookmarkStart w:id="241" w:name="_Toc1156988084"/>
      <w:bookmarkStart w:id="242" w:name="_Toc28754"/>
      <w:bookmarkStart w:id="243" w:name="_Toc1182809544"/>
      <w:bookmarkStart w:id="244" w:name="_Toc869698711"/>
      <w:bookmarkStart w:id="245" w:name="_Toc940859716"/>
      <w:bookmarkStart w:id="246" w:name="_Toc12588"/>
      <w:bookmarkStart w:id="247" w:name="_Toc4979"/>
      <w:bookmarkStart w:id="248" w:name="_Toc478469264"/>
      <w:r>
        <w:t>1.4投标人资格要求</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5378AAED">
      <w:pPr>
        <w:ind w:firstLine="480"/>
      </w:pPr>
      <w:r>
        <w:t>1.4.1投标人资格要求：见投标人须知前附表。</w:t>
      </w:r>
    </w:p>
    <w:p w14:paraId="200E8CEB">
      <w:pPr>
        <w:ind w:firstLine="480"/>
      </w:pPr>
      <w:r>
        <w:t>1.4.2投标人须知前附表规定接受联合体投标的，联合体除应符合本章第1.4.1项和投标人须知前附表的要求外，还应遵守以下规定：</w:t>
      </w:r>
    </w:p>
    <w:p w14:paraId="5C734FD9">
      <w:pPr>
        <w:ind w:firstLine="480"/>
      </w:pPr>
      <w:r>
        <w:t>（1）联合体各方应按招标文件提供的格式签订联合体协议书，明确联合体牵头人和各方权利义务，并承诺就中标项目向招标人承担连带责任；</w:t>
      </w:r>
    </w:p>
    <w:p w14:paraId="24EF3685">
      <w:pPr>
        <w:ind w:firstLine="480"/>
      </w:pPr>
      <w:r>
        <w:t>（2）由同一专业的单位组成的联合体，按照资质等级较低的单位确定资质等级；</w:t>
      </w:r>
    </w:p>
    <w:p w14:paraId="2AE416D8">
      <w:pPr>
        <w:ind w:firstLine="480"/>
      </w:pPr>
      <w:r>
        <w:t>（3）联合体各方不得再以自己名义单独或参加其他联合体在本招标项目中投标，否则各相关投标均无效。</w:t>
      </w:r>
    </w:p>
    <w:p w14:paraId="31EFF2DF">
      <w:pPr>
        <w:ind w:firstLine="480"/>
      </w:pPr>
      <w:r>
        <w:t>1.4.3投标人不得存在下列情形之一：</w:t>
      </w:r>
    </w:p>
    <w:p w14:paraId="073A4F79">
      <w:pPr>
        <w:ind w:firstLine="480"/>
      </w:pPr>
      <w:bookmarkStart w:id="249" w:name="_Toc30824"/>
      <w:r>
        <w:t>（1）为招标人不具有独立法人资格的附属机构（单位）；</w:t>
      </w:r>
    </w:p>
    <w:p w14:paraId="23908179">
      <w:pPr>
        <w:ind w:firstLine="480"/>
      </w:pPr>
      <w:r>
        <w:t>（2）与招标人存在利害关系且可能影响招标公正性；</w:t>
      </w:r>
    </w:p>
    <w:p w14:paraId="76BD2E27">
      <w:pPr>
        <w:ind w:firstLine="480"/>
      </w:pPr>
      <w:r>
        <w:t>（3）与本招标项目的其他投标人为同一个单位负责人；</w:t>
      </w:r>
    </w:p>
    <w:p w14:paraId="02941D61">
      <w:pPr>
        <w:ind w:firstLine="480"/>
      </w:pPr>
      <w:r>
        <w:t>（4）与本招标项目的其他投标人存在控股、管理关系；</w:t>
      </w:r>
    </w:p>
    <w:p w14:paraId="0BDA8AD5">
      <w:pPr>
        <w:ind w:firstLine="480"/>
      </w:pPr>
      <w:r>
        <w:t>（5）为本招标项目的代建人；</w:t>
      </w:r>
    </w:p>
    <w:p w14:paraId="3CB47F57">
      <w:pPr>
        <w:ind w:firstLine="452"/>
      </w:pPr>
      <w:r>
        <w:rPr>
          <w:spacing w:val="-7"/>
          <w:szCs w:val="21"/>
        </w:rPr>
        <w:t>（6）作为本招标项目的招标代理机构；</w:t>
      </w:r>
    </w:p>
    <w:p w14:paraId="4B8431D2">
      <w:pPr>
        <w:ind w:firstLine="480"/>
      </w:pPr>
      <w:r>
        <w:t>（7）与本工程项目的监理人或本招标项目的代建人或招标代理机构同为一个法定代表人；</w:t>
      </w:r>
    </w:p>
    <w:p w14:paraId="27C79E9F">
      <w:pPr>
        <w:ind w:firstLine="480"/>
      </w:pPr>
      <w:r>
        <w:t>（8）与本工程项目的监理人或本招标项目的代建人或招标代理机构存在控股或参股关系；</w:t>
      </w:r>
    </w:p>
    <w:p w14:paraId="6B832834">
      <w:pPr>
        <w:ind w:firstLine="480"/>
      </w:pPr>
      <w:r>
        <w:t>（9）被依法暂停或者取消投标资格；</w:t>
      </w:r>
    </w:p>
    <w:p w14:paraId="620D6EDD">
      <w:pPr>
        <w:ind w:firstLine="480"/>
      </w:pPr>
      <w:r>
        <w:t>（10）被责令停产停业，暂扣或者吊销许可证，暂扣或者吊销执照；</w:t>
      </w:r>
    </w:p>
    <w:p w14:paraId="6DE39FB2">
      <w:pPr>
        <w:ind w:firstLine="480"/>
      </w:pPr>
      <w:r>
        <w:t>（11）进入清算程序，或被宣告破产，或其他丧失履约能力的情形；</w:t>
      </w:r>
    </w:p>
    <w:p w14:paraId="434F588E">
      <w:pPr>
        <w:ind w:firstLine="480"/>
      </w:pPr>
      <w:r>
        <w:t>（12）在近三年内发生重大质量问题（以相关行业主管部门的行政处罚决定或司法机关出具的有关法律文书为准）；</w:t>
      </w:r>
    </w:p>
    <w:p w14:paraId="659EE506">
      <w:pPr>
        <w:ind w:firstLine="480"/>
      </w:pPr>
      <w:r>
        <w:t>（13）被国家市场监督管理总局国家企业信用信息公示系统网站（www.gsxt.gov.cn）列入严重违法失信企业名单；</w:t>
      </w:r>
    </w:p>
    <w:p w14:paraId="5357BD94">
      <w:pPr>
        <w:ind w:firstLine="480"/>
      </w:pPr>
      <w:r>
        <w:t>（14）被最高人民法院在“信用中国”网站（www.creditchina.gov.cn）或各级信用信息共享平台中列入失信被执行人名单；</w:t>
      </w:r>
    </w:p>
    <w:p w14:paraId="223405EF">
      <w:pPr>
        <w:ind w:firstLine="480"/>
      </w:pPr>
      <w:r>
        <w:t>（15）在近三年内投标人或其法定代表人（单位负责人）有行贿犯罪行为的（以中国裁判文书网（wenshu.court.gov.cn）查询结果为准）；</w:t>
      </w:r>
    </w:p>
    <w:p w14:paraId="6949DD28">
      <w:pPr>
        <w:ind w:firstLine="480"/>
      </w:pPr>
      <w:r>
        <w:t>（16）被</w:t>
      </w:r>
      <w:r>
        <w:rPr>
          <w:rFonts w:hint="eastAsia"/>
        </w:rPr>
        <w:t>中国煤炭科工</w:t>
      </w:r>
      <w:r>
        <w:t>集团列入“失信供应商”或“黑名单供应商”名单，且正在处置期的；</w:t>
      </w:r>
    </w:p>
    <w:p w14:paraId="6D1A47E6">
      <w:pPr>
        <w:ind w:firstLine="480"/>
      </w:pPr>
      <w:r>
        <w:t>（17）法律法规或投标人须知前附表规定的其他情形。</w:t>
      </w:r>
    </w:p>
    <w:p w14:paraId="32A11C61">
      <w:pPr>
        <w:pStyle w:val="5"/>
        <w:spacing w:line="240" w:lineRule="auto"/>
        <w:ind w:firstLine="561"/>
      </w:pPr>
      <w:bookmarkStart w:id="250" w:name="_Toc219417135"/>
      <w:bookmarkStart w:id="251" w:name="_Toc34304203"/>
      <w:bookmarkStart w:id="252" w:name="_Toc24773"/>
      <w:bookmarkStart w:id="253" w:name="_Toc904476413"/>
      <w:bookmarkStart w:id="254" w:name="_Toc3556"/>
      <w:bookmarkStart w:id="255" w:name="_Toc1196990678"/>
      <w:bookmarkStart w:id="256" w:name="_Toc1252534295"/>
      <w:bookmarkStart w:id="257" w:name="_Toc1107153951"/>
      <w:bookmarkStart w:id="258" w:name="_Toc3276"/>
      <w:bookmarkStart w:id="259" w:name="_Toc1454145680"/>
      <w:bookmarkStart w:id="260" w:name="_Toc5294"/>
      <w:bookmarkStart w:id="261" w:name="_Toc11159"/>
      <w:bookmarkStart w:id="262" w:name="_Toc223885729"/>
      <w:bookmarkStart w:id="263" w:name="_Toc6081"/>
      <w:r>
        <w:t>1.5费用承担</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47A61437">
      <w:pPr>
        <w:ind w:firstLine="480"/>
      </w:pPr>
      <w:r>
        <w:rPr>
          <w:rFonts w:hint="eastAsia"/>
        </w:rPr>
        <w:t>1.5.1</w:t>
      </w:r>
      <w:r>
        <w:t>投标人准备和参加投标活动发生的费用自理，自行承担编制投标文件与递交投标文件所涉及的一切费用。不管投标结果如何，招标人对上述费用不负任何责任。</w:t>
      </w:r>
    </w:p>
    <w:p w14:paraId="44843DF2">
      <w:pPr>
        <w:spacing w:line="360" w:lineRule="auto"/>
        <w:ind w:firstLine="480"/>
      </w:pPr>
      <w:r>
        <w:rPr>
          <w:rFonts w:hint="eastAsia"/>
        </w:rPr>
        <w:t>1.5</w:t>
      </w:r>
      <w:r>
        <w:t>.</w:t>
      </w:r>
      <w:r>
        <w:rPr>
          <w:rFonts w:hint="eastAsia"/>
        </w:rPr>
        <w:t>2</w:t>
      </w:r>
      <w:r>
        <w:t>中标人须根据招标文件要求向招标代理机构交纳</w:t>
      </w:r>
      <w:r>
        <w:rPr>
          <w:rFonts w:hint="eastAsia"/>
        </w:rPr>
        <w:t>代理服务费</w:t>
      </w:r>
      <w:r>
        <w:t>。</w:t>
      </w:r>
    </w:p>
    <w:p w14:paraId="1059F1B8">
      <w:pPr>
        <w:spacing w:line="360" w:lineRule="auto"/>
        <w:ind w:firstLine="480"/>
      </w:pPr>
      <w:r>
        <w:t>参照国家发展改革委《招标代理服务收费管理暂行办法》（〔2002〕1980号）及《关于降低部分建设项目收费标准规范收费行为等有关问题的通知》（〔2011〕534号）。招标代理费用以中标人的投标报价（含税）为基数，按差额定率累进法计算，除投标人须知前附表另有规定外，按照如下计费标准由中标人一次性支付招标代理机构：</w:t>
      </w:r>
    </w:p>
    <w:tbl>
      <w:tblPr>
        <w:tblStyle w:val="2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6"/>
        <w:gridCol w:w="1658"/>
        <w:gridCol w:w="1658"/>
        <w:gridCol w:w="1658"/>
      </w:tblGrid>
      <w:tr w14:paraId="0631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0" w:type="auto"/>
            <w:vAlign w:val="center"/>
          </w:tcPr>
          <w:p w14:paraId="66FA7B06">
            <w:pPr>
              <w:spacing w:line="360" w:lineRule="auto"/>
              <w:ind w:firstLine="0" w:firstLineChars="0"/>
              <w:jc w:val="center"/>
              <w:rPr>
                <w:b/>
                <w:bCs/>
              </w:rPr>
            </w:pPr>
            <w:r>
              <w:rPr>
                <w:rFonts w:hint="eastAsia"/>
                <w:b/>
                <w:bCs/>
              </w:rPr>
              <w:t>项目金额</w:t>
            </w:r>
          </w:p>
        </w:tc>
        <w:tc>
          <w:tcPr>
            <w:tcW w:w="0" w:type="auto"/>
            <w:vAlign w:val="center"/>
          </w:tcPr>
          <w:p w14:paraId="1E473BB3">
            <w:pPr>
              <w:spacing w:line="360" w:lineRule="auto"/>
              <w:ind w:firstLine="0" w:firstLineChars="0"/>
              <w:jc w:val="center"/>
              <w:rPr>
                <w:b/>
                <w:bCs/>
              </w:rPr>
            </w:pPr>
            <w:r>
              <w:rPr>
                <w:rFonts w:hint="eastAsia"/>
                <w:b/>
                <w:bCs/>
              </w:rPr>
              <w:t>货物招标费率</w:t>
            </w:r>
          </w:p>
        </w:tc>
        <w:tc>
          <w:tcPr>
            <w:tcW w:w="0" w:type="auto"/>
            <w:vAlign w:val="center"/>
          </w:tcPr>
          <w:p w14:paraId="5A0ADFA9">
            <w:pPr>
              <w:spacing w:line="360" w:lineRule="auto"/>
              <w:ind w:firstLine="0" w:firstLineChars="0"/>
              <w:jc w:val="center"/>
              <w:rPr>
                <w:b/>
                <w:bCs/>
              </w:rPr>
            </w:pPr>
            <w:r>
              <w:rPr>
                <w:rFonts w:hint="eastAsia"/>
                <w:b/>
                <w:bCs/>
              </w:rPr>
              <w:t>服务招标费率</w:t>
            </w:r>
          </w:p>
        </w:tc>
        <w:tc>
          <w:tcPr>
            <w:tcW w:w="0" w:type="auto"/>
            <w:vAlign w:val="center"/>
          </w:tcPr>
          <w:p w14:paraId="4EA2DF3B">
            <w:pPr>
              <w:spacing w:line="360" w:lineRule="auto"/>
              <w:ind w:firstLine="0" w:firstLineChars="0"/>
              <w:jc w:val="center"/>
              <w:rPr>
                <w:b/>
                <w:bCs/>
              </w:rPr>
            </w:pPr>
            <w:r>
              <w:rPr>
                <w:rFonts w:hint="eastAsia"/>
                <w:b/>
                <w:bCs/>
              </w:rPr>
              <w:t>工程招标费率</w:t>
            </w:r>
          </w:p>
        </w:tc>
      </w:tr>
      <w:tr w14:paraId="1CC3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0" w:type="auto"/>
            <w:vAlign w:val="center"/>
          </w:tcPr>
          <w:p w14:paraId="1E9CBFFF">
            <w:pPr>
              <w:spacing w:line="360" w:lineRule="auto"/>
              <w:ind w:firstLine="0" w:firstLineChars="0"/>
              <w:jc w:val="center"/>
            </w:pPr>
            <w:r>
              <w:rPr>
                <w:rFonts w:hint="eastAsia"/>
              </w:rPr>
              <w:t>100万以下（第一段）</w:t>
            </w:r>
          </w:p>
        </w:tc>
        <w:tc>
          <w:tcPr>
            <w:tcW w:w="0" w:type="auto"/>
            <w:vAlign w:val="center"/>
          </w:tcPr>
          <w:p w14:paraId="11666E96">
            <w:pPr>
              <w:spacing w:line="360" w:lineRule="auto"/>
              <w:ind w:firstLine="0" w:firstLineChars="0"/>
              <w:jc w:val="center"/>
            </w:pPr>
            <w:r>
              <w:rPr>
                <w:rFonts w:hint="eastAsia"/>
              </w:rPr>
              <w:t>1.5%</w:t>
            </w:r>
          </w:p>
        </w:tc>
        <w:tc>
          <w:tcPr>
            <w:tcW w:w="0" w:type="auto"/>
            <w:vAlign w:val="center"/>
          </w:tcPr>
          <w:p w14:paraId="036E5C7D">
            <w:pPr>
              <w:spacing w:line="360" w:lineRule="auto"/>
              <w:ind w:firstLine="0" w:firstLineChars="0"/>
              <w:jc w:val="center"/>
            </w:pPr>
            <w:r>
              <w:rPr>
                <w:rFonts w:hint="eastAsia"/>
              </w:rPr>
              <w:t>1.5%</w:t>
            </w:r>
          </w:p>
        </w:tc>
        <w:tc>
          <w:tcPr>
            <w:tcW w:w="0" w:type="auto"/>
            <w:vAlign w:val="center"/>
          </w:tcPr>
          <w:p w14:paraId="651DEFD2">
            <w:pPr>
              <w:spacing w:line="360" w:lineRule="auto"/>
              <w:ind w:firstLine="0" w:firstLineChars="0"/>
              <w:jc w:val="center"/>
            </w:pPr>
            <w:r>
              <w:rPr>
                <w:rFonts w:hint="eastAsia"/>
              </w:rPr>
              <w:t>1.0%</w:t>
            </w:r>
          </w:p>
        </w:tc>
      </w:tr>
      <w:tr w14:paraId="61DF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0" w:type="auto"/>
            <w:vAlign w:val="center"/>
          </w:tcPr>
          <w:p w14:paraId="1BB9B1C0">
            <w:pPr>
              <w:spacing w:line="360" w:lineRule="auto"/>
              <w:ind w:firstLine="0" w:firstLineChars="0"/>
              <w:jc w:val="center"/>
            </w:pPr>
            <w:r>
              <w:rPr>
                <w:rFonts w:hint="eastAsia"/>
              </w:rPr>
              <w:t>100万-500万（第二段）</w:t>
            </w:r>
          </w:p>
        </w:tc>
        <w:tc>
          <w:tcPr>
            <w:tcW w:w="0" w:type="auto"/>
            <w:vAlign w:val="center"/>
          </w:tcPr>
          <w:p w14:paraId="5AE7696A">
            <w:pPr>
              <w:spacing w:line="360" w:lineRule="auto"/>
              <w:ind w:firstLine="0" w:firstLineChars="0"/>
              <w:jc w:val="center"/>
            </w:pPr>
            <w:r>
              <w:rPr>
                <w:rFonts w:hint="eastAsia"/>
              </w:rPr>
              <w:t>1.1%</w:t>
            </w:r>
          </w:p>
        </w:tc>
        <w:tc>
          <w:tcPr>
            <w:tcW w:w="0" w:type="auto"/>
            <w:vAlign w:val="center"/>
          </w:tcPr>
          <w:p w14:paraId="2FDEB085">
            <w:pPr>
              <w:spacing w:line="360" w:lineRule="auto"/>
              <w:ind w:firstLine="0" w:firstLineChars="0"/>
              <w:jc w:val="center"/>
            </w:pPr>
            <w:r>
              <w:rPr>
                <w:rFonts w:hint="eastAsia"/>
              </w:rPr>
              <w:t>0.8%</w:t>
            </w:r>
          </w:p>
        </w:tc>
        <w:tc>
          <w:tcPr>
            <w:tcW w:w="0" w:type="auto"/>
            <w:vAlign w:val="center"/>
          </w:tcPr>
          <w:p w14:paraId="1F21847E">
            <w:pPr>
              <w:spacing w:line="360" w:lineRule="auto"/>
              <w:ind w:firstLine="0" w:firstLineChars="0"/>
              <w:jc w:val="center"/>
            </w:pPr>
            <w:r>
              <w:rPr>
                <w:rFonts w:hint="eastAsia"/>
              </w:rPr>
              <w:t>0.7%</w:t>
            </w:r>
          </w:p>
        </w:tc>
      </w:tr>
      <w:tr w14:paraId="3BB1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0" w:type="auto"/>
            <w:vAlign w:val="center"/>
          </w:tcPr>
          <w:p w14:paraId="038BDF54">
            <w:pPr>
              <w:spacing w:line="360" w:lineRule="auto"/>
              <w:ind w:firstLine="0" w:firstLineChars="0"/>
              <w:jc w:val="center"/>
            </w:pPr>
            <w:r>
              <w:rPr>
                <w:rFonts w:hint="eastAsia"/>
              </w:rPr>
              <w:t>500万-1000万（第三段）</w:t>
            </w:r>
          </w:p>
        </w:tc>
        <w:tc>
          <w:tcPr>
            <w:tcW w:w="0" w:type="auto"/>
            <w:vAlign w:val="center"/>
          </w:tcPr>
          <w:p w14:paraId="782039DB">
            <w:pPr>
              <w:spacing w:line="360" w:lineRule="auto"/>
              <w:ind w:firstLine="0" w:firstLineChars="0"/>
              <w:jc w:val="center"/>
            </w:pPr>
            <w:r>
              <w:rPr>
                <w:rFonts w:hint="eastAsia"/>
              </w:rPr>
              <w:t>0.8%</w:t>
            </w:r>
          </w:p>
        </w:tc>
        <w:tc>
          <w:tcPr>
            <w:tcW w:w="0" w:type="auto"/>
            <w:vAlign w:val="center"/>
          </w:tcPr>
          <w:p w14:paraId="4465FBF7">
            <w:pPr>
              <w:spacing w:line="360" w:lineRule="auto"/>
              <w:ind w:firstLine="0" w:firstLineChars="0"/>
              <w:jc w:val="center"/>
            </w:pPr>
            <w:r>
              <w:rPr>
                <w:rFonts w:hint="eastAsia"/>
              </w:rPr>
              <w:t>0.45%</w:t>
            </w:r>
          </w:p>
        </w:tc>
        <w:tc>
          <w:tcPr>
            <w:tcW w:w="0" w:type="auto"/>
            <w:vAlign w:val="center"/>
          </w:tcPr>
          <w:p w14:paraId="466009F3">
            <w:pPr>
              <w:spacing w:line="360" w:lineRule="auto"/>
              <w:ind w:firstLine="0" w:firstLineChars="0"/>
              <w:jc w:val="center"/>
            </w:pPr>
            <w:r>
              <w:rPr>
                <w:rFonts w:hint="eastAsia"/>
              </w:rPr>
              <w:t>0.55%</w:t>
            </w:r>
          </w:p>
        </w:tc>
      </w:tr>
      <w:tr w14:paraId="5E88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0" w:type="auto"/>
            <w:vAlign w:val="center"/>
          </w:tcPr>
          <w:p w14:paraId="3F6EBF1B">
            <w:pPr>
              <w:spacing w:line="360" w:lineRule="auto"/>
              <w:ind w:firstLine="0" w:firstLineChars="0"/>
              <w:jc w:val="center"/>
            </w:pPr>
            <w:r>
              <w:rPr>
                <w:rFonts w:hint="eastAsia"/>
              </w:rPr>
              <w:t>1000万-3000万（第四段）</w:t>
            </w:r>
          </w:p>
        </w:tc>
        <w:tc>
          <w:tcPr>
            <w:tcW w:w="0" w:type="auto"/>
            <w:vAlign w:val="center"/>
          </w:tcPr>
          <w:p w14:paraId="733CA561">
            <w:pPr>
              <w:spacing w:line="360" w:lineRule="auto"/>
              <w:ind w:firstLine="0" w:firstLineChars="0"/>
              <w:jc w:val="center"/>
            </w:pPr>
            <w:r>
              <w:rPr>
                <w:rFonts w:hint="eastAsia"/>
              </w:rPr>
              <w:t>0.4%</w:t>
            </w:r>
          </w:p>
        </w:tc>
        <w:tc>
          <w:tcPr>
            <w:tcW w:w="0" w:type="auto"/>
            <w:vAlign w:val="center"/>
          </w:tcPr>
          <w:p w14:paraId="78AAFD62">
            <w:pPr>
              <w:spacing w:line="360" w:lineRule="auto"/>
              <w:ind w:firstLine="0" w:firstLineChars="0"/>
              <w:jc w:val="center"/>
            </w:pPr>
            <w:r>
              <w:rPr>
                <w:rFonts w:hint="eastAsia"/>
              </w:rPr>
              <w:t>0.2%</w:t>
            </w:r>
          </w:p>
        </w:tc>
        <w:tc>
          <w:tcPr>
            <w:tcW w:w="0" w:type="auto"/>
            <w:vAlign w:val="center"/>
          </w:tcPr>
          <w:p w14:paraId="5E51CBC6">
            <w:pPr>
              <w:spacing w:line="360" w:lineRule="auto"/>
              <w:ind w:firstLine="0" w:firstLineChars="0"/>
              <w:jc w:val="center"/>
            </w:pPr>
            <w:r>
              <w:rPr>
                <w:rFonts w:hint="eastAsia"/>
              </w:rPr>
              <w:t>0.28%</w:t>
            </w:r>
          </w:p>
        </w:tc>
      </w:tr>
      <w:tr w14:paraId="0CA5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0" w:type="auto"/>
            <w:vAlign w:val="center"/>
          </w:tcPr>
          <w:p w14:paraId="5DD1432D">
            <w:pPr>
              <w:spacing w:line="360" w:lineRule="auto"/>
              <w:ind w:firstLine="0" w:firstLineChars="0"/>
              <w:jc w:val="center"/>
            </w:pPr>
            <w:r>
              <w:rPr>
                <w:rFonts w:hint="eastAsia"/>
              </w:rPr>
              <w:t>3000万-5000万（第五段）</w:t>
            </w:r>
          </w:p>
        </w:tc>
        <w:tc>
          <w:tcPr>
            <w:tcW w:w="0" w:type="auto"/>
            <w:vAlign w:val="center"/>
          </w:tcPr>
          <w:p w14:paraId="5DA4DF71">
            <w:pPr>
              <w:spacing w:line="360" w:lineRule="auto"/>
              <w:ind w:firstLine="0" w:firstLineChars="0"/>
              <w:jc w:val="center"/>
            </w:pPr>
            <w:r>
              <w:rPr>
                <w:rFonts w:hint="eastAsia"/>
              </w:rPr>
              <w:t>0.3%</w:t>
            </w:r>
          </w:p>
        </w:tc>
        <w:tc>
          <w:tcPr>
            <w:tcW w:w="0" w:type="auto"/>
            <w:vAlign w:val="center"/>
          </w:tcPr>
          <w:p w14:paraId="06550EF3">
            <w:pPr>
              <w:spacing w:line="360" w:lineRule="auto"/>
              <w:ind w:firstLine="0" w:firstLineChars="0"/>
              <w:jc w:val="center"/>
            </w:pPr>
            <w:r>
              <w:rPr>
                <w:rFonts w:hint="eastAsia"/>
              </w:rPr>
              <w:t>0.15%</w:t>
            </w:r>
          </w:p>
        </w:tc>
        <w:tc>
          <w:tcPr>
            <w:tcW w:w="0" w:type="auto"/>
            <w:vAlign w:val="center"/>
          </w:tcPr>
          <w:p w14:paraId="07289EAC">
            <w:pPr>
              <w:spacing w:line="360" w:lineRule="auto"/>
              <w:ind w:firstLine="0" w:firstLineChars="0"/>
              <w:jc w:val="center"/>
            </w:pPr>
            <w:r>
              <w:rPr>
                <w:rFonts w:hint="eastAsia"/>
              </w:rPr>
              <w:t>0.21%</w:t>
            </w:r>
          </w:p>
        </w:tc>
      </w:tr>
      <w:tr w14:paraId="52CB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Align w:val="center"/>
          </w:tcPr>
          <w:p w14:paraId="48C82CCD">
            <w:pPr>
              <w:spacing w:line="360" w:lineRule="auto"/>
              <w:ind w:firstLine="0" w:firstLineChars="0"/>
              <w:jc w:val="center"/>
            </w:pPr>
            <w:r>
              <w:rPr>
                <w:rFonts w:hint="eastAsia"/>
              </w:rPr>
              <w:t>5000万-10000万（第六段）</w:t>
            </w:r>
          </w:p>
        </w:tc>
        <w:tc>
          <w:tcPr>
            <w:tcW w:w="0" w:type="auto"/>
            <w:vAlign w:val="center"/>
          </w:tcPr>
          <w:p w14:paraId="1550F747">
            <w:pPr>
              <w:spacing w:line="360" w:lineRule="auto"/>
              <w:ind w:firstLine="0" w:firstLineChars="0"/>
              <w:jc w:val="center"/>
            </w:pPr>
            <w:r>
              <w:rPr>
                <w:rFonts w:hint="eastAsia"/>
              </w:rPr>
              <w:t>0.15%</w:t>
            </w:r>
          </w:p>
        </w:tc>
        <w:tc>
          <w:tcPr>
            <w:tcW w:w="0" w:type="auto"/>
            <w:vAlign w:val="center"/>
          </w:tcPr>
          <w:p w14:paraId="207220B6">
            <w:pPr>
              <w:spacing w:line="360" w:lineRule="auto"/>
              <w:ind w:firstLine="0" w:firstLineChars="0"/>
              <w:jc w:val="center"/>
            </w:pPr>
            <w:r>
              <w:rPr>
                <w:rFonts w:hint="eastAsia"/>
              </w:rPr>
              <w:t>0.06%</w:t>
            </w:r>
          </w:p>
        </w:tc>
        <w:tc>
          <w:tcPr>
            <w:tcW w:w="0" w:type="auto"/>
            <w:vAlign w:val="center"/>
          </w:tcPr>
          <w:p w14:paraId="5BAFE168">
            <w:pPr>
              <w:spacing w:line="360" w:lineRule="auto"/>
              <w:ind w:firstLine="0" w:firstLineChars="0"/>
              <w:jc w:val="center"/>
            </w:pPr>
            <w:r>
              <w:rPr>
                <w:rFonts w:hint="eastAsia"/>
              </w:rPr>
              <w:t>0.12%</w:t>
            </w:r>
          </w:p>
        </w:tc>
      </w:tr>
    </w:tbl>
    <w:p w14:paraId="41F1AD4F">
      <w:pPr>
        <w:spacing w:line="360" w:lineRule="auto"/>
        <w:ind w:firstLine="480"/>
      </w:pPr>
      <w:r>
        <w:rPr>
          <w:rFonts w:hint="eastAsia"/>
        </w:rPr>
        <w:t>例如：若服务类项目中标金额为6000万元，计算中标服务收费额如下，其他标的物类型除取费费率不同外，计算方法相同：</w:t>
      </w:r>
    </w:p>
    <w:p w14:paraId="18334D21">
      <w:pPr>
        <w:spacing w:line="360" w:lineRule="auto"/>
        <w:ind w:firstLine="480"/>
      </w:pPr>
      <w:r>
        <w:rPr>
          <w:rFonts w:hint="eastAsia"/>
        </w:rPr>
        <w:t>0---100万元部分：100×1.5％（第一段费率）=1.5万元</w:t>
      </w:r>
    </w:p>
    <w:p w14:paraId="59FB154E">
      <w:pPr>
        <w:spacing w:line="360" w:lineRule="auto"/>
        <w:ind w:firstLine="480"/>
      </w:pPr>
      <w:r>
        <w:rPr>
          <w:rFonts w:hint="eastAsia"/>
        </w:rPr>
        <w:t>100---500万元部分：400×0.8％（第二段费率）=3.2万元</w:t>
      </w:r>
    </w:p>
    <w:p w14:paraId="38AED502">
      <w:pPr>
        <w:spacing w:line="360" w:lineRule="auto"/>
        <w:ind w:firstLine="480"/>
      </w:pPr>
      <w:r>
        <w:rPr>
          <w:rFonts w:hint="eastAsia"/>
        </w:rPr>
        <w:t>500---1000万元部分：500×0.45％（第三段费率）=2.25万元</w:t>
      </w:r>
    </w:p>
    <w:p w14:paraId="358DA97B">
      <w:pPr>
        <w:spacing w:line="360" w:lineRule="auto"/>
        <w:ind w:firstLine="480"/>
      </w:pPr>
      <w:r>
        <w:rPr>
          <w:rFonts w:hint="eastAsia"/>
        </w:rPr>
        <w:t>1000---3000万元部分：2000×0.2％（第四段费率）=4万元</w:t>
      </w:r>
    </w:p>
    <w:p w14:paraId="5FF822E9">
      <w:pPr>
        <w:spacing w:line="360" w:lineRule="auto"/>
        <w:ind w:firstLine="480"/>
      </w:pPr>
      <w:r>
        <w:rPr>
          <w:rFonts w:hint="eastAsia"/>
        </w:rPr>
        <w:t>3000---5000万元部分：2000×0.15％（第五段费率）=3万元</w:t>
      </w:r>
    </w:p>
    <w:p w14:paraId="0675CD75">
      <w:pPr>
        <w:spacing w:line="360" w:lineRule="auto"/>
        <w:ind w:firstLine="480"/>
      </w:pPr>
      <w:r>
        <w:rPr>
          <w:rFonts w:hint="eastAsia"/>
        </w:rPr>
        <w:t>5000---6000万元部分：1000×0.06％（第六段费率）=0.6万元</w:t>
      </w:r>
    </w:p>
    <w:p w14:paraId="3BE9E3AD">
      <w:pPr>
        <w:spacing w:line="360" w:lineRule="auto"/>
        <w:ind w:firstLine="480"/>
      </w:pPr>
      <w:r>
        <w:rPr>
          <w:rFonts w:hint="eastAsia"/>
        </w:rPr>
        <w:t>合计收费为：1.5+3.2+2.25+4+3+0.6=14.55万元</w:t>
      </w:r>
    </w:p>
    <w:p w14:paraId="0C696025">
      <w:pPr>
        <w:ind w:firstLine="480"/>
      </w:pPr>
      <w:r>
        <w:rPr>
          <w:rFonts w:hint="eastAsia"/>
        </w:rPr>
        <w:t>1</w:t>
      </w:r>
      <w:r>
        <w:t>.</w:t>
      </w:r>
      <w:r>
        <w:rPr>
          <w:rFonts w:hint="eastAsia"/>
        </w:rPr>
        <w:t>5</w:t>
      </w:r>
      <w:r>
        <w:t>.</w:t>
      </w:r>
      <w:r>
        <w:rPr>
          <w:rFonts w:hint="eastAsia"/>
        </w:rPr>
        <w:t>3</w:t>
      </w:r>
      <w:r>
        <w:t>本项目招标类别：见投标人须知前附表。</w:t>
      </w:r>
    </w:p>
    <w:p w14:paraId="53A71E33">
      <w:pPr>
        <w:pStyle w:val="5"/>
        <w:spacing w:line="240" w:lineRule="auto"/>
        <w:ind w:firstLine="561"/>
      </w:pPr>
      <w:bookmarkStart w:id="264" w:name="_Toc31236"/>
      <w:bookmarkStart w:id="265" w:name="_Toc1025122425"/>
      <w:bookmarkStart w:id="266" w:name="_Toc1462540900"/>
      <w:bookmarkStart w:id="267" w:name="_Toc456097759"/>
      <w:bookmarkStart w:id="268" w:name="_Toc16737"/>
      <w:bookmarkStart w:id="269" w:name="_Toc514366046"/>
      <w:bookmarkStart w:id="270" w:name="_Toc16214"/>
      <w:bookmarkStart w:id="271" w:name="_Toc16631"/>
      <w:bookmarkStart w:id="272" w:name="_Toc7735"/>
      <w:bookmarkStart w:id="273" w:name="_Toc1645819825"/>
      <w:bookmarkStart w:id="274" w:name="_Toc18176"/>
      <w:bookmarkStart w:id="275" w:name="_Toc2138136849"/>
      <w:bookmarkStart w:id="276" w:name="_Toc195520050"/>
      <w:bookmarkStart w:id="277" w:name="_Toc1709188171"/>
      <w:bookmarkStart w:id="278" w:name="_Toc3316"/>
      <w:r>
        <w:t>1.6保密</w:t>
      </w:r>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3B8E8398">
      <w:pPr>
        <w:ind w:firstLine="480"/>
      </w:pPr>
      <w:r>
        <w:t>参与招标投标活动的各方应对招标文件和投标文件中</w:t>
      </w:r>
      <w:bookmarkStart w:id="279" w:name="_Toc352691477"/>
      <w:bookmarkStart w:id="280" w:name="_Toc5326"/>
      <w:bookmarkStart w:id="281" w:name="_Toc369531519"/>
      <w:bookmarkStart w:id="282" w:name="_Toc384308214"/>
      <w:bookmarkStart w:id="283" w:name="_Toc361508589"/>
      <w:r>
        <w:t>的商业和技术等秘密保密</w:t>
      </w:r>
      <w:bookmarkEnd w:id="279"/>
      <w:bookmarkEnd w:id="280"/>
      <w:bookmarkEnd w:id="281"/>
      <w:bookmarkEnd w:id="282"/>
      <w:bookmarkEnd w:id="283"/>
      <w:r>
        <w:t>，否则应承担相应的法律责任。</w:t>
      </w:r>
    </w:p>
    <w:p w14:paraId="1D5D1C66">
      <w:pPr>
        <w:pStyle w:val="5"/>
        <w:spacing w:line="240" w:lineRule="auto"/>
        <w:ind w:firstLine="561"/>
      </w:pPr>
      <w:bookmarkStart w:id="284" w:name="_Toc1822155892"/>
      <w:bookmarkStart w:id="285" w:name="_Toc455500440"/>
      <w:bookmarkStart w:id="286" w:name="_Toc2118780741"/>
      <w:bookmarkStart w:id="287" w:name="_Toc5438"/>
      <w:bookmarkStart w:id="288" w:name="_Toc1265899370"/>
      <w:bookmarkStart w:id="289" w:name="_Toc4427"/>
      <w:bookmarkStart w:id="290" w:name="_Toc1584327725"/>
      <w:bookmarkStart w:id="291" w:name="_Toc1704425415"/>
      <w:bookmarkStart w:id="292" w:name="_Toc21561"/>
      <w:bookmarkStart w:id="293" w:name="_Toc26437"/>
      <w:bookmarkStart w:id="294" w:name="_Toc30858"/>
      <w:bookmarkStart w:id="295" w:name="_Toc19058"/>
      <w:bookmarkStart w:id="296" w:name="_Toc827082738"/>
      <w:bookmarkStart w:id="297" w:name="_Toc1328455947"/>
      <w:bookmarkStart w:id="298" w:name="_Toc14724"/>
      <w:r>
        <w:t>1.7语言文字</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40EAB3EC">
      <w:pPr>
        <w:ind w:firstLine="480"/>
      </w:pPr>
      <w:r>
        <w:t>招标投标文件使用的语言文字为中文。专用术语使用外文的，应附有中文注释。如有差异以中文为准。</w:t>
      </w:r>
    </w:p>
    <w:p w14:paraId="20DD469B">
      <w:pPr>
        <w:pStyle w:val="5"/>
        <w:spacing w:line="240" w:lineRule="auto"/>
        <w:ind w:firstLine="561"/>
      </w:pPr>
      <w:bookmarkStart w:id="299" w:name="_Toc5374"/>
      <w:bookmarkStart w:id="300" w:name="_Toc1857270624"/>
      <w:bookmarkStart w:id="301" w:name="_Toc993582572"/>
      <w:bookmarkStart w:id="302" w:name="_Toc117930535"/>
      <w:bookmarkStart w:id="303" w:name="_Toc27864"/>
      <w:bookmarkStart w:id="304" w:name="_Toc1080"/>
      <w:bookmarkStart w:id="305" w:name="_Toc19558"/>
      <w:bookmarkStart w:id="306" w:name="_Toc25452"/>
      <w:bookmarkStart w:id="307" w:name="_Toc850220761"/>
      <w:bookmarkStart w:id="308" w:name="_Toc1146334922"/>
      <w:bookmarkStart w:id="309" w:name="_Toc21674"/>
      <w:bookmarkStart w:id="310" w:name="_Toc774079433"/>
      <w:bookmarkStart w:id="311" w:name="_Toc641"/>
      <w:bookmarkStart w:id="312" w:name="_Toc1964177172"/>
      <w:bookmarkStart w:id="313" w:name="_Toc2119107017"/>
      <w:r>
        <w:t>1.8计量单位</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1246549D">
      <w:pPr>
        <w:ind w:firstLine="480"/>
      </w:pPr>
      <w:r>
        <w:t>所有计量均采用中华人民共和国法定计量单位。</w:t>
      </w:r>
    </w:p>
    <w:p w14:paraId="5FA611D1">
      <w:pPr>
        <w:pStyle w:val="5"/>
        <w:spacing w:line="240" w:lineRule="auto"/>
        <w:ind w:firstLine="561"/>
      </w:pPr>
      <w:bookmarkStart w:id="314" w:name="_Toc25185"/>
      <w:bookmarkStart w:id="315" w:name="_Toc309448532"/>
      <w:bookmarkStart w:id="316" w:name="_Toc1472568423"/>
      <w:bookmarkStart w:id="317" w:name="_Toc1962832871"/>
      <w:bookmarkStart w:id="318" w:name="_Toc1375236817"/>
      <w:bookmarkStart w:id="319" w:name="_Toc807108120"/>
      <w:bookmarkStart w:id="320" w:name="_Toc7828"/>
      <w:bookmarkStart w:id="321" w:name="_Toc6164"/>
      <w:bookmarkStart w:id="322" w:name="_Toc2078579211"/>
      <w:bookmarkStart w:id="323" w:name="_Toc485303284"/>
      <w:bookmarkStart w:id="324" w:name="_Toc497096905"/>
      <w:bookmarkStart w:id="325" w:name="_Toc9997"/>
      <w:bookmarkStart w:id="326" w:name="_Toc304142989"/>
      <w:bookmarkStart w:id="327" w:name="_Toc15998"/>
      <w:bookmarkStart w:id="328" w:name="_Toc2086"/>
      <w:bookmarkStart w:id="329" w:name="_Toc16724"/>
      <w:r>
        <w:t>1.9投标预备会</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161AE1C9">
      <w:pPr>
        <w:ind w:firstLine="480"/>
      </w:pPr>
      <w:r>
        <w:t>1.9.1投标人须知前附表规定召开投标预备会的，招标人按投标人须知前附表规定的时间和地点召开投标预备会，澄清投标人提出的问题。</w:t>
      </w:r>
    </w:p>
    <w:p w14:paraId="3C0A3733">
      <w:pPr>
        <w:ind w:firstLine="480"/>
      </w:pPr>
      <w:r>
        <w:t>1.9.2投标人应按投标人须知前附表规定的时间和形式将提出的问题送达招标人，以便招标人在会议期间澄清。</w:t>
      </w:r>
    </w:p>
    <w:p w14:paraId="6FF514EC">
      <w:pPr>
        <w:ind w:firstLine="480"/>
      </w:pPr>
      <w:r>
        <w:t>1.9.3投标预备会后，招标人将对投标人所提问题的澄清，以投标人须知前附表规定的形式通知所有购买招标文件的投标人。该澄清内容为招标文件的组成部分。</w:t>
      </w:r>
    </w:p>
    <w:p w14:paraId="1A21F75E">
      <w:pPr>
        <w:pStyle w:val="5"/>
        <w:spacing w:line="240" w:lineRule="auto"/>
        <w:ind w:firstLine="561"/>
      </w:pPr>
      <w:bookmarkStart w:id="330" w:name="_Toc1559458388"/>
      <w:bookmarkStart w:id="331" w:name="_Toc26923"/>
      <w:bookmarkStart w:id="332" w:name="_Toc26740"/>
      <w:bookmarkStart w:id="333" w:name="_Toc996295505"/>
      <w:bookmarkStart w:id="334" w:name="_Toc238690658"/>
      <w:bookmarkStart w:id="335" w:name="_Toc32329"/>
      <w:bookmarkStart w:id="336" w:name="_Toc12218"/>
      <w:bookmarkStart w:id="337" w:name="_Toc21039"/>
      <w:bookmarkStart w:id="338" w:name="_Toc1835761330"/>
      <w:bookmarkStart w:id="339" w:name="_Toc482"/>
      <w:bookmarkStart w:id="340" w:name="_Toc720136263"/>
      <w:bookmarkStart w:id="341" w:name="_Toc1564313528"/>
      <w:bookmarkStart w:id="342" w:name="_Toc1855937333"/>
      <w:bookmarkStart w:id="343" w:name="_Toc1843567937"/>
      <w:bookmarkStart w:id="344" w:name="_Toc6026"/>
      <w:r>
        <w:t>1.10分包</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10188DD9">
      <w:pPr>
        <w:ind w:firstLine="452"/>
      </w:pPr>
      <w:r>
        <w:rPr>
          <w:spacing w:val="-7"/>
          <w:szCs w:val="21"/>
        </w:rPr>
        <w:t>1.10.1本项目不允许分包。</w:t>
      </w:r>
    </w:p>
    <w:p w14:paraId="1A388930">
      <w:pPr>
        <w:ind w:firstLine="480"/>
      </w:pPr>
      <w:r>
        <w:t>1.10.2中标人不得向他人转让中标项目，接受分包的人不得再次分包。中标人应当就分包项目向招标人负责，接受分包的人就分包项目承担连带责任。</w:t>
      </w:r>
    </w:p>
    <w:p w14:paraId="3C395F40">
      <w:pPr>
        <w:pStyle w:val="5"/>
        <w:spacing w:line="240" w:lineRule="auto"/>
        <w:ind w:firstLine="561"/>
      </w:pPr>
      <w:bookmarkStart w:id="345" w:name="_Toc31701"/>
      <w:bookmarkStart w:id="346" w:name="_Toc174436410"/>
      <w:bookmarkStart w:id="347" w:name="_Toc112337749"/>
      <w:bookmarkStart w:id="348" w:name="_Toc743116861"/>
      <w:bookmarkStart w:id="349" w:name="_Toc538783056"/>
      <w:bookmarkStart w:id="350" w:name="_Toc808556876"/>
      <w:bookmarkStart w:id="351" w:name="_Toc644"/>
      <w:bookmarkStart w:id="352" w:name="_Toc8080"/>
      <w:bookmarkStart w:id="353" w:name="_Toc5368"/>
      <w:bookmarkStart w:id="354" w:name="_Toc952258243"/>
      <w:bookmarkStart w:id="355" w:name="_Toc1926699128"/>
      <w:bookmarkStart w:id="356" w:name="_Toc345"/>
      <w:bookmarkStart w:id="357" w:name="_Toc31931"/>
      <w:bookmarkStart w:id="358" w:name="_Toc7327"/>
      <w:bookmarkStart w:id="359" w:name="_Toc1922658522"/>
      <w:r>
        <w:t>1.11响应和偏差</w:t>
      </w:r>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1EEC8FFC">
      <w:pPr>
        <w:ind w:firstLine="480"/>
      </w:pPr>
      <w:r>
        <w:t>1.11.1投标文件应当对招标文件的实质性要求和条件作出满足性或更有利于招标人的响应，否则，投标人的投标将被否决。实质性要求和条件见投标人须知前附表。</w:t>
      </w:r>
    </w:p>
    <w:p w14:paraId="0FD0C303">
      <w:pPr>
        <w:ind w:firstLine="480"/>
      </w:pPr>
      <w:r>
        <w:t>1.11.2投标人应根据招标文件的要求提供投标</w:t>
      </w:r>
      <w:r>
        <w:rPr>
          <w:rFonts w:hint="eastAsia"/>
        </w:rPr>
        <w:t>项目的服务质量及标准</w:t>
      </w:r>
      <w:r>
        <w:t>的详细描述、技术支持资料及技术服务和质保期服务计划等内容以对招标文件作出响应。</w:t>
      </w:r>
    </w:p>
    <w:p w14:paraId="4B1D1769">
      <w:pPr>
        <w:ind w:firstLine="480"/>
      </w:pPr>
      <w:r>
        <w:t>1.11.3投标文件中应针对实质性要求和条件中列明的技术要求提供技术支持资料，具体要求见投标人须知前附表。</w:t>
      </w:r>
    </w:p>
    <w:p w14:paraId="33934A84">
      <w:pPr>
        <w:ind w:firstLine="480"/>
      </w:pPr>
      <w:r>
        <w:t>1.11.4投标人须知前附表规定了可以偏差的范围和最高偏差项数的，偏差应当符合投标人须知前附表规定的偏差范围和最高项数，超出偏差范围和最高偏差项数的投标将被否决。</w:t>
      </w:r>
    </w:p>
    <w:p w14:paraId="146D7A68">
      <w:pPr>
        <w:ind w:firstLine="480"/>
      </w:pPr>
      <w:r>
        <w:t>1.11.5投标文件对招标文件的全部偏差，均应在投标文件的商务和技术偏差表中列明，除列明的内容外，视为投标人响应招标文件的全部要求。</w:t>
      </w:r>
    </w:p>
    <w:p w14:paraId="131700D7">
      <w:pPr>
        <w:pStyle w:val="4"/>
        <w:spacing w:before="312" w:after="312"/>
        <w:ind w:firstLine="641"/>
        <w:rPr>
          <w:rFonts w:hint="eastAsia" w:ascii="华文宋体" w:hAnsi="华文宋体" w:cs="华文宋体"/>
        </w:rPr>
      </w:pPr>
      <w:bookmarkStart w:id="360" w:name="_Toc126331183"/>
      <w:bookmarkStart w:id="361" w:name="_Toc1259781961"/>
      <w:bookmarkStart w:id="362" w:name="_Toc9307"/>
      <w:bookmarkStart w:id="363" w:name="_Toc437564715"/>
      <w:bookmarkStart w:id="364" w:name="_Toc1535766440"/>
      <w:bookmarkStart w:id="365" w:name="_Toc27189"/>
      <w:bookmarkStart w:id="366" w:name="_Toc1947675522"/>
      <w:bookmarkStart w:id="367" w:name="_Toc935342845"/>
      <w:bookmarkStart w:id="368" w:name="_Toc16587"/>
      <w:bookmarkStart w:id="369" w:name="_Toc422421730"/>
      <w:bookmarkStart w:id="370" w:name="_Toc1556152657"/>
      <w:bookmarkStart w:id="371" w:name="_Toc26552"/>
      <w:bookmarkStart w:id="372" w:name="_Toc20178"/>
      <w:bookmarkStart w:id="373" w:name="_Toc8824"/>
      <w:bookmarkStart w:id="374" w:name="_Toc206"/>
      <w:bookmarkStart w:id="375" w:name="_Toc138896716"/>
      <w:r>
        <w:rPr>
          <w:rFonts w:hint="eastAsia" w:ascii="华文宋体" w:hAnsi="华文宋体" w:cs="华文宋体"/>
        </w:rPr>
        <w:t>2.招标文件</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14:paraId="1AE59265">
      <w:pPr>
        <w:pStyle w:val="5"/>
        <w:spacing w:line="240" w:lineRule="auto"/>
        <w:ind w:firstLine="561"/>
      </w:pPr>
      <w:bookmarkStart w:id="376" w:name="_Toc8263"/>
      <w:bookmarkStart w:id="377" w:name="_Toc27360"/>
      <w:bookmarkStart w:id="378" w:name="_Toc489267033"/>
      <w:bookmarkStart w:id="379" w:name="_Toc122381523"/>
      <w:bookmarkStart w:id="380" w:name="_Toc1166157677"/>
      <w:bookmarkStart w:id="381" w:name="_Toc17257"/>
      <w:bookmarkStart w:id="382" w:name="_Toc1534349445"/>
      <w:bookmarkStart w:id="383" w:name="_Toc26723"/>
      <w:bookmarkStart w:id="384" w:name="_Toc61079128"/>
      <w:bookmarkStart w:id="385" w:name="_Toc1020603787"/>
      <w:bookmarkStart w:id="386" w:name="_Toc54369386"/>
      <w:bookmarkStart w:id="387" w:name="_Toc726899875"/>
      <w:bookmarkStart w:id="388" w:name="_Toc16478"/>
      <w:bookmarkStart w:id="389" w:name="_Toc26744"/>
      <w:bookmarkStart w:id="390" w:name="_Toc15311"/>
      <w:r>
        <w:t>2.1招标文件的组成</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28D8190C">
      <w:pPr>
        <w:ind w:firstLine="480"/>
      </w:pPr>
      <w:r>
        <w:t>本招标文件包括：</w:t>
      </w:r>
    </w:p>
    <w:p w14:paraId="63124579">
      <w:pPr>
        <w:ind w:firstLine="480"/>
      </w:pPr>
      <w:r>
        <w:t>（1）招标公告；</w:t>
      </w:r>
    </w:p>
    <w:p w14:paraId="662C045D">
      <w:pPr>
        <w:ind w:firstLine="480"/>
      </w:pPr>
      <w:r>
        <w:t>（2）投标人须知；</w:t>
      </w:r>
    </w:p>
    <w:p w14:paraId="6B311C3E">
      <w:pPr>
        <w:ind w:firstLine="480"/>
      </w:pPr>
      <w:r>
        <w:t>（3）评标办法；</w:t>
      </w:r>
    </w:p>
    <w:p w14:paraId="7C0E664B">
      <w:pPr>
        <w:ind w:firstLine="480"/>
      </w:pPr>
      <w:r>
        <w:t>（4）合同条款及格式；</w:t>
      </w:r>
    </w:p>
    <w:p w14:paraId="797100A0">
      <w:pPr>
        <w:ind w:firstLine="480"/>
      </w:pPr>
      <w:r>
        <w:t>（5）</w:t>
      </w:r>
      <w:r>
        <w:rPr>
          <w:rFonts w:hint="eastAsia"/>
        </w:rPr>
        <w:t>用户需求书</w:t>
      </w:r>
      <w:r>
        <w:t>；</w:t>
      </w:r>
    </w:p>
    <w:p w14:paraId="2369FE24">
      <w:pPr>
        <w:ind w:firstLine="480"/>
      </w:pPr>
      <w:r>
        <w:t>（6）投标文件格式；</w:t>
      </w:r>
    </w:p>
    <w:p w14:paraId="3A5455C3">
      <w:pPr>
        <w:ind w:firstLine="480"/>
      </w:pPr>
      <w:r>
        <w:t>（7）投标人须知前附表规定的其他资料（如有）。</w:t>
      </w:r>
    </w:p>
    <w:p w14:paraId="3D5E7B4F">
      <w:pPr>
        <w:ind w:firstLine="480"/>
      </w:pPr>
      <w:r>
        <w:t>根据本章第1.9款、第2.2款和第2.3款对招标文件所做的澄清、修改，构成招标文件的组成部分。</w:t>
      </w:r>
    </w:p>
    <w:p w14:paraId="5313E718">
      <w:pPr>
        <w:pStyle w:val="5"/>
        <w:spacing w:line="240" w:lineRule="auto"/>
        <w:ind w:firstLine="561"/>
      </w:pPr>
      <w:bookmarkStart w:id="391" w:name="_Toc8583"/>
      <w:bookmarkStart w:id="392" w:name="_Toc59721030"/>
      <w:bookmarkStart w:id="393" w:name="_Toc17542"/>
      <w:bookmarkStart w:id="394" w:name="_Toc1724406882"/>
      <w:bookmarkStart w:id="395" w:name="_Toc827488939"/>
      <w:bookmarkStart w:id="396" w:name="_Toc20139"/>
      <w:bookmarkStart w:id="397" w:name="_Toc14300"/>
      <w:bookmarkStart w:id="398" w:name="_Toc485303289"/>
      <w:bookmarkStart w:id="399" w:name="_Toc2119214989"/>
      <w:bookmarkStart w:id="400" w:name="_Toc396139268"/>
      <w:bookmarkStart w:id="401" w:name="_Toc1335959520"/>
      <w:bookmarkStart w:id="402" w:name="_Toc12279"/>
      <w:bookmarkStart w:id="403" w:name="_Toc1105720527"/>
      <w:bookmarkStart w:id="404" w:name="_Toc1676314817"/>
      <w:bookmarkStart w:id="405" w:name="_Toc31629"/>
      <w:bookmarkStart w:id="406" w:name="_Toc13691"/>
      <w:bookmarkStart w:id="407" w:name="_Toc352691484"/>
      <w:bookmarkStart w:id="408" w:name="_Toc16623"/>
      <w:bookmarkStart w:id="409" w:name="_Toc361508595"/>
      <w:bookmarkStart w:id="410" w:name="_Toc384308220"/>
      <w:bookmarkStart w:id="411" w:name="_Toc152045540"/>
      <w:bookmarkStart w:id="412" w:name="_Toc247527564"/>
      <w:bookmarkStart w:id="413" w:name="_Toc144974508"/>
      <w:bookmarkStart w:id="414" w:name="_Toc247513963"/>
      <w:bookmarkStart w:id="415" w:name="_Toc152042316"/>
      <w:bookmarkStart w:id="416" w:name="_Toc369531526"/>
      <w:bookmarkStart w:id="417" w:name="_Toc300834960"/>
      <w:r>
        <w:t>2.2招标文件的澄清</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0FC1ACEA">
      <w:pPr>
        <w:ind w:firstLine="480"/>
      </w:pPr>
      <w:bookmarkStart w:id="418" w:name="_Toc485303290"/>
      <w:bookmarkStart w:id="419" w:name="_Toc352691479"/>
      <w:r>
        <w:t>2.2.1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14:paraId="317457E2">
      <w:pPr>
        <w:ind w:firstLine="480"/>
      </w:pPr>
      <w:r>
        <w:t>2.2.2招标文件的澄清以投标人须知前附表规定的形式发给所有购买招标文件的投标人，但不指明澄清问题的来源。澄清发出的时间距本章第4.2.1项规定的投标截止时间不足15日的，并且澄清内容可能影响投标文件编制的，将相应延长投标截止时间。</w:t>
      </w:r>
    </w:p>
    <w:p w14:paraId="1238EF88">
      <w:pPr>
        <w:ind w:firstLine="480"/>
      </w:pPr>
      <w:r>
        <w:t>2.2.3投标人在收到澄清后，应按投标人须知前附表规定确认已收到该澄清。</w:t>
      </w:r>
    </w:p>
    <w:p w14:paraId="11DF2775">
      <w:pPr>
        <w:ind w:firstLine="480"/>
      </w:pPr>
      <w:r>
        <w:t>2.2.4除非招标人认为确有必要答复，否则，招标人有权拒绝回复投标人在本章第2.2.1项规定的时间后提出的任何澄清要求。</w:t>
      </w:r>
    </w:p>
    <w:bookmarkEnd w:id="418"/>
    <w:bookmarkEnd w:id="419"/>
    <w:p w14:paraId="7D71FABE">
      <w:pPr>
        <w:pStyle w:val="5"/>
        <w:spacing w:line="240" w:lineRule="auto"/>
        <w:ind w:firstLine="561"/>
      </w:pPr>
      <w:bookmarkStart w:id="420" w:name="_Toc25033_ai"/>
      <w:bookmarkStart w:id="421" w:name="_Toc713371576_ai"/>
      <w:bookmarkStart w:id="422" w:name="_Toc1530123255_ai"/>
      <w:bookmarkStart w:id="423" w:name="_Toc1668899798_ai"/>
      <w:bookmarkStart w:id="424" w:name="_Toc15843"/>
      <w:bookmarkStart w:id="425" w:name="_Toc29263_ai"/>
      <w:bookmarkStart w:id="426" w:name="_Toc1814649509_ai"/>
      <w:bookmarkStart w:id="427" w:name="_Toc24797"/>
      <w:bookmarkStart w:id="428" w:name="_Toc28149"/>
      <w:bookmarkStart w:id="429" w:name="_Toc502499801_ai"/>
      <w:bookmarkStart w:id="430" w:name="_Toc856488061_ai"/>
      <w:bookmarkStart w:id="431" w:name="_Toc4062"/>
      <w:bookmarkStart w:id="432" w:name="_Toc1630034628_ai"/>
      <w:bookmarkStart w:id="433" w:name="_Toc19080_ai"/>
      <w:bookmarkStart w:id="434" w:name="_Toc985164326_ai"/>
      <w:bookmarkStart w:id="435" w:name="_Toc8391_ai"/>
      <w:r>
        <w:rPr>
          <w:rFonts w:hint="eastAsia"/>
        </w:rPr>
        <w:t>2.3招标文件的修改</w:t>
      </w:r>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Start w:id="436" w:name="_Toc485303290_ai"/>
      <w:bookmarkEnd w:id="436"/>
    </w:p>
    <w:p w14:paraId="18BF104B">
      <w:pPr>
        <w:ind w:firstLine="480"/>
      </w:pPr>
      <w:r>
        <w:t>2.3.1招标人以投标人须知前附表规定的形式修改招标文件，并通知所有已购买招标文件的投标人。修改招标文件的时间距本章第4.2.1项规定的投标截止时间不足15日的，并且修改内容可能影响投标文件编制的，将相应延长投标截止时间。</w:t>
      </w:r>
    </w:p>
    <w:p w14:paraId="1BCC1545">
      <w:pPr>
        <w:ind w:firstLine="480"/>
      </w:pPr>
      <w:r>
        <w:t>2.3.2投标人收到修改内容</w:t>
      </w:r>
      <w:bookmarkStart w:id="437" w:name="_Toc152045538"/>
      <w:bookmarkStart w:id="438" w:name="_Toc152042314"/>
      <w:bookmarkStart w:id="439" w:name="_Toc361508593"/>
      <w:bookmarkStart w:id="440" w:name="_Toc247513961"/>
      <w:bookmarkStart w:id="441" w:name="_Toc300834958"/>
      <w:bookmarkStart w:id="442" w:name="_Toc144974506"/>
      <w:bookmarkStart w:id="443" w:name="_Toc24632"/>
      <w:bookmarkStart w:id="444" w:name="_Toc384308218"/>
      <w:bookmarkStart w:id="445" w:name="_Toc352691482"/>
      <w:bookmarkStart w:id="446" w:name="_Toc247527562"/>
      <w:bookmarkStart w:id="447" w:name="_Toc369531524"/>
      <w:r>
        <w:t>后，</w:t>
      </w:r>
      <w:bookmarkEnd w:id="437"/>
      <w:bookmarkEnd w:id="438"/>
      <w:bookmarkEnd w:id="439"/>
      <w:bookmarkEnd w:id="440"/>
      <w:bookmarkEnd w:id="441"/>
      <w:bookmarkEnd w:id="442"/>
      <w:bookmarkEnd w:id="443"/>
      <w:bookmarkEnd w:id="444"/>
      <w:bookmarkEnd w:id="445"/>
      <w:bookmarkEnd w:id="446"/>
      <w:bookmarkEnd w:id="447"/>
      <w:r>
        <w:t>应按投标人须知前附表规定确认已收到该修改。</w:t>
      </w:r>
    </w:p>
    <w:p w14:paraId="0C58C692">
      <w:pPr>
        <w:pStyle w:val="5"/>
        <w:spacing w:line="240" w:lineRule="auto"/>
        <w:ind w:firstLine="561"/>
      </w:pPr>
      <w:bookmarkStart w:id="448" w:name="_Toc21968"/>
      <w:bookmarkStart w:id="449" w:name="_Toc7809"/>
      <w:bookmarkStart w:id="450" w:name="_Toc13233"/>
      <w:bookmarkStart w:id="451" w:name="_Toc10719"/>
      <w:bookmarkStart w:id="452" w:name="_Toc234876631"/>
      <w:bookmarkStart w:id="453" w:name="_Toc1608455403"/>
      <w:bookmarkStart w:id="454" w:name="_Toc557908712"/>
      <w:bookmarkStart w:id="455" w:name="_Toc251543069"/>
      <w:bookmarkStart w:id="456" w:name="_Toc664873960"/>
      <w:bookmarkStart w:id="457" w:name="_Toc914991519"/>
      <w:bookmarkStart w:id="458" w:name="_Toc12928"/>
      <w:bookmarkStart w:id="459" w:name="_Toc9327"/>
      <w:bookmarkStart w:id="460" w:name="_Toc411955386"/>
      <w:bookmarkStart w:id="461" w:name="_Toc543108017"/>
      <w:bookmarkStart w:id="462" w:name="_Toc28391"/>
      <w:r>
        <w:t>2.</w:t>
      </w:r>
      <w:bookmarkEnd w:id="407"/>
      <w:bookmarkEnd w:id="408"/>
      <w:bookmarkEnd w:id="409"/>
      <w:bookmarkEnd w:id="410"/>
      <w:bookmarkEnd w:id="411"/>
      <w:bookmarkEnd w:id="412"/>
      <w:bookmarkEnd w:id="413"/>
      <w:bookmarkEnd w:id="414"/>
      <w:bookmarkEnd w:id="415"/>
      <w:bookmarkEnd w:id="416"/>
      <w:bookmarkEnd w:id="417"/>
      <w:r>
        <w:t>4招标文件的异议</w:t>
      </w:r>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54CB9F68">
      <w:pPr>
        <w:ind w:firstLine="480"/>
      </w:pPr>
      <w:r>
        <w:t>投标人或者其他利害关系人对招标文件有异议的，应当在投标截止时间10日前在</w:t>
      </w:r>
      <w:r>
        <w:rPr>
          <w:rFonts w:hint="eastAsia"/>
        </w:rPr>
        <w:t>中国煤科电子采购平台</w:t>
      </w:r>
      <w:r>
        <w:t>提出。招标人将在收到异议之日起3日内作出答复</w:t>
      </w:r>
      <w:r>
        <w:rPr>
          <w:rFonts w:hint="eastAsia"/>
        </w:rPr>
        <w:t>；</w:t>
      </w:r>
      <w:r>
        <w:t>作出答复前，将暂停招标投标活动。</w:t>
      </w:r>
    </w:p>
    <w:p w14:paraId="08D16072">
      <w:pPr>
        <w:pStyle w:val="4"/>
        <w:spacing w:before="312" w:after="312"/>
        <w:ind w:firstLine="641"/>
        <w:rPr>
          <w:rFonts w:ascii="Times New Roman" w:hAnsi="Times New Roman"/>
        </w:rPr>
      </w:pPr>
      <w:bookmarkStart w:id="463" w:name="_Toc858119782"/>
      <w:bookmarkStart w:id="464" w:name="_Toc1436543387"/>
      <w:bookmarkStart w:id="465" w:name="_Toc496594031"/>
      <w:bookmarkStart w:id="466" w:name="_Toc1114142754"/>
      <w:bookmarkStart w:id="467" w:name="_Toc22243"/>
      <w:bookmarkStart w:id="468" w:name="_Toc246894574"/>
      <w:bookmarkStart w:id="469" w:name="_Toc16580"/>
      <w:bookmarkStart w:id="470" w:name="_Toc12261"/>
      <w:bookmarkStart w:id="471" w:name="_Toc28534"/>
      <w:bookmarkStart w:id="472" w:name="_Toc3274"/>
      <w:bookmarkStart w:id="473" w:name="_Toc132063666"/>
      <w:bookmarkStart w:id="474" w:name="_Toc1630"/>
      <w:bookmarkStart w:id="475" w:name="_Toc785809785"/>
      <w:bookmarkStart w:id="476" w:name="_Toc1179230379"/>
      <w:bookmarkStart w:id="477" w:name="_Toc26411"/>
      <w:bookmarkStart w:id="478" w:name="_Toc1210941969"/>
      <w:r>
        <w:rPr>
          <w:rFonts w:ascii="Times New Roman" w:hAnsi="Times New Roman"/>
        </w:rPr>
        <w:t>3.投标文件</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7B17EBBB">
      <w:pPr>
        <w:pStyle w:val="5"/>
        <w:spacing w:line="240" w:lineRule="auto"/>
        <w:ind w:firstLine="561"/>
      </w:pPr>
      <w:bookmarkStart w:id="479" w:name="_Toc618699214"/>
      <w:bookmarkStart w:id="480" w:name="_Toc80627445"/>
      <w:bookmarkStart w:id="481" w:name="_Toc2066486469"/>
      <w:bookmarkStart w:id="482" w:name="_Toc1305"/>
      <w:bookmarkStart w:id="483" w:name="_Toc198401690"/>
      <w:bookmarkStart w:id="484" w:name="_Toc599150364"/>
      <w:bookmarkStart w:id="485" w:name="_Toc1973545735"/>
      <w:bookmarkStart w:id="486" w:name="_Toc1243427111"/>
      <w:bookmarkStart w:id="487" w:name="_Toc1134426775"/>
      <w:bookmarkStart w:id="488" w:name="_Toc24793"/>
      <w:bookmarkStart w:id="489" w:name="_Toc9214"/>
      <w:bookmarkStart w:id="490" w:name="_Toc1762"/>
      <w:bookmarkStart w:id="491" w:name="_Toc28588"/>
      <w:bookmarkStart w:id="492" w:name="_Toc8182"/>
      <w:bookmarkStart w:id="493" w:name="_Toc6288"/>
      <w:r>
        <w:t>3.1投标文件的组成</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14:paraId="510FD233">
      <w:pPr>
        <w:ind w:firstLine="480"/>
      </w:pPr>
      <w:r>
        <w:t>3.1.1投标文件应包括下列内容：</w:t>
      </w:r>
    </w:p>
    <w:p w14:paraId="4321E2A3">
      <w:pPr>
        <w:ind w:firstLine="480"/>
      </w:pPr>
      <w:r>
        <w:t>（1）投标</w:t>
      </w:r>
      <w:r>
        <w:rPr>
          <w:rFonts w:hint="eastAsia"/>
        </w:rPr>
        <w:t>函</w:t>
      </w:r>
      <w:r>
        <w:t>；</w:t>
      </w:r>
    </w:p>
    <w:p w14:paraId="1D4BFB4E">
      <w:pPr>
        <w:ind w:firstLine="480"/>
      </w:pPr>
      <w:r>
        <w:t>（2）</w:t>
      </w:r>
      <w:r>
        <w:rPr>
          <w:rFonts w:hint="eastAsia"/>
        </w:rPr>
        <w:t>分项报价表</w:t>
      </w:r>
      <w:r>
        <w:t>；</w:t>
      </w:r>
    </w:p>
    <w:p w14:paraId="265C2310">
      <w:pPr>
        <w:ind w:firstLine="480"/>
      </w:pPr>
      <w:r>
        <w:t>（3）</w:t>
      </w:r>
      <w:r>
        <w:rPr>
          <w:rFonts w:hint="eastAsia"/>
        </w:rPr>
        <w:t>投标人法定代表人授权委托书</w:t>
      </w:r>
      <w:r>
        <w:t>；</w:t>
      </w:r>
    </w:p>
    <w:p w14:paraId="153FFE41">
      <w:pPr>
        <w:ind w:firstLine="480"/>
      </w:pPr>
      <w:r>
        <w:t>（4）</w:t>
      </w:r>
      <w:r>
        <w:rPr>
          <w:rFonts w:hint="eastAsia"/>
        </w:rPr>
        <w:t>投标人资格证明文件</w:t>
      </w:r>
      <w:r>
        <w:t>；</w:t>
      </w:r>
    </w:p>
    <w:p w14:paraId="6B56239A">
      <w:pPr>
        <w:ind w:firstLine="480"/>
      </w:pPr>
      <w:r>
        <w:t>（</w:t>
      </w:r>
      <w:r>
        <w:rPr>
          <w:rFonts w:hint="eastAsia"/>
        </w:rPr>
        <w:t>6</w:t>
      </w:r>
      <w:r>
        <w:t>）投标</w:t>
      </w:r>
      <w:r>
        <w:rPr>
          <w:rFonts w:hint="eastAsia"/>
        </w:rPr>
        <w:t>保证金缴纳凭证</w:t>
      </w:r>
      <w:r>
        <w:t>；</w:t>
      </w:r>
    </w:p>
    <w:p w14:paraId="0C4E9FF2">
      <w:pPr>
        <w:ind w:firstLine="480"/>
      </w:pPr>
      <w:r>
        <w:t>（</w:t>
      </w:r>
      <w:r>
        <w:rPr>
          <w:rFonts w:hint="eastAsia"/>
        </w:rPr>
        <w:t>7</w:t>
      </w:r>
      <w:r>
        <w:t>）</w:t>
      </w:r>
      <w:r>
        <w:rPr>
          <w:rFonts w:hint="eastAsia"/>
        </w:rPr>
        <w:t>企业综合实力</w:t>
      </w:r>
      <w:r>
        <w:t>；</w:t>
      </w:r>
    </w:p>
    <w:p w14:paraId="265AAD1F">
      <w:pPr>
        <w:ind w:firstLine="480"/>
      </w:pPr>
      <w:r>
        <w:t>（</w:t>
      </w:r>
      <w:r>
        <w:rPr>
          <w:rFonts w:hint="eastAsia"/>
        </w:rPr>
        <w:t>8</w:t>
      </w:r>
      <w:r>
        <w:t>）投标人</w:t>
      </w:r>
      <w:r>
        <w:rPr>
          <w:rFonts w:hint="eastAsia"/>
        </w:rPr>
        <w:t>财务状况表</w:t>
      </w:r>
      <w:r>
        <w:t>；</w:t>
      </w:r>
    </w:p>
    <w:p w14:paraId="3C5439CD">
      <w:pPr>
        <w:ind w:firstLine="480"/>
      </w:pPr>
      <w:r>
        <w:t>（</w:t>
      </w:r>
      <w:r>
        <w:rPr>
          <w:rFonts w:hint="eastAsia"/>
        </w:rPr>
        <w:t>9</w:t>
      </w:r>
      <w:r>
        <w:t>）</w:t>
      </w:r>
      <w:r>
        <w:rPr>
          <w:rFonts w:hint="eastAsia"/>
        </w:rPr>
        <w:t>业绩证明文件</w:t>
      </w:r>
      <w:r>
        <w:t>；</w:t>
      </w:r>
    </w:p>
    <w:p w14:paraId="5EAD483B">
      <w:pPr>
        <w:ind w:firstLine="480"/>
      </w:pPr>
      <w:r>
        <w:rPr>
          <w:rFonts w:hint="eastAsia"/>
        </w:rPr>
        <w:t>（10）项目团队人员组成表；</w:t>
      </w:r>
    </w:p>
    <w:p w14:paraId="1BE5905E">
      <w:pPr>
        <w:ind w:firstLine="480"/>
      </w:pPr>
      <w:r>
        <w:rPr>
          <w:rFonts w:hint="eastAsia"/>
        </w:rPr>
        <w:t>（11）技术/服务方案；</w:t>
      </w:r>
    </w:p>
    <w:p w14:paraId="39BFB7AE">
      <w:pPr>
        <w:ind w:firstLine="480"/>
      </w:pPr>
      <w:r>
        <w:rPr>
          <w:rFonts w:hint="eastAsia"/>
        </w:rPr>
        <w:t>（12）投标人拟提供的其他资料；</w:t>
      </w:r>
    </w:p>
    <w:p w14:paraId="37F8769F">
      <w:pPr>
        <w:ind w:firstLine="480"/>
      </w:pPr>
      <w:r>
        <w:t>（1</w:t>
      </w:r>
      <w:r>
        <w:rPr>
          <w:rFonts w:hint="eastAsia"/>
        </w:rPr>
        <w:t>3</w:t>
      </w:r>
      <w:r>
        <w:t>）商务和技术差异表</w:t>
      </w:r>
    </w:p>
    <w:p w14:paraId="019A362C">
      <w:pPr>
        <w:ind w:firstLine="480"/>
      </w:pPr>
      <w:r>
        <w:t>投标人在评标过程中作出的符合法律法规和招标文件规定的澄清确认，构成投标文件的组成部分。</w:t>
      </w:r>
    </w:p>
    <w:p w14:paraId="3E325BAE">
      <w:pPr>
        <w:ind w:firstLine="480"/>
      </w:pPr>
      <w:r>
        <w:t>3.1.3投标人须知前附表未要求提交投标保证金的，投标文件不包括本章第3.1.1（</w:t>
      </w:r>
      <w:r>
        <w:rPr>
          <w:rFonts w:hint="eastAsia"/>
        </w:rPr>
        <w:t>6</w:t>
      </w:r>
      <w:r>
        <w:t>）目所指的投标保证金。</w:t>
      </w:r>
    </w:p>
    <w:p w14:paraId="79043AE8">
      <w:pPr>
        <w:pStyle w:val="5"/>
        <w:spacing w:line="240" w:lineRule="auto"/>
        <w:ind w:firstLine="561"/>
      </w:pPr>
      <w:bookmarkStart w:id="494" w:name="_Toc1498240230"/>
      <w:bookmarkStart w:id="495" w:name="_Toc950989359"/>
      <w:bookmarkStart w:id="496" w:name="_Toc185061552"/>
      <w:bookmarkStart w:id="497" w:name="_Toc7071"/>
      <w:bookmarkStart w:id="498" w:name="_Toc361870924"/>
      <w:bookmarkStart w:id="499" w:name="_Toc1116085620"/>
      <w:bookmarkStart w:id="500" w:name="_Toc18893"/>
      <w:bookmarkStart w:id="501" w:name="_Toc12908"/>
      <w:bookmarkStart w:id="502" w:name="_Toc15268"/>
      <w:bookmarkStart w:id="503" w:name="_Toc5718"/>
      <w:bookmarkStart w:id="504" w:name="_Toc369346965"/>
      <w:bookmarkStart w:id="505" w:name="_Toc29889"/>
      <w:bookmarkStart w:id="506" w:name="_Toc43286858"/>
      <w:bookmarkStart w:id="507" w:name="_Toc30798"/>
      <w:bookmarkStart w:id="508" w:name="_Toc1642583686"/>
      <w:r>
        <w:t>3.2投标报价</w:t>
      </w:r>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p>
    <w:p w14:paraId="64CB66B2">
      <w:pPr>
        <w:ind w:firstLine="480"/>
      </w:pPr>
      <w:r>
        <w:t>3.2.1投标报价应包括国家规定的增值税税金</w:t>
      </w:r>
      <w:r>
        <w:rPr>
          <w:rFonts w:hint="eastAsia"/>
        </w:rPr>
        <w:t>及行业要求的2.5%安全生产费</w:t>
      </w:r>
      <w:r>
        <w:t>，除投标人须知前附表另有规定外，增值税税金按一般计税方法计算。投标人应按第六章“投标文件格式”的要求在投标函中进行报价并填写分项报价表。</w:t>
      </w:r>
    </w:p>
    <w:p w14:paraId="39E9B4C4">
      <w:pPr>
        <w:ind w:firstLine="480"/>
      </w:pPr>
      <w:r>
        <w:t>3.2.2投标人应充分了解该项目的总体情况以及影响投标报价的其他要素。</w:t>
      </w:r>
    </w:p>
    <w:p w14:paraId="63CA08A8">
      <w:pPr>
        <w:ind w:firstLine="480"/>
      </w:pPr>
      <w:r>
        <w:t>3.2.3</w:t>
      </w:r>
      <w:bookmarkStart w:id="509" w:name="_Toc15242"/>
      <w:bookmarkEnd w:id="509"/>
      <w:bookmarkStart w:id="510" w:name="_Toc384308224"/>
      <w:bookmarkEnd w:id="510"/>
      <w:bookmarkStart w:id="511" w:name="_Toc369531530"/>
      <w:bookmarkEnd w:id="511"/>
      <w:bookmarkStart w:id="512" w:name="_Toc361508599"/>
      <w:bookmarkEnd w:id="512"/>
      <w:bookmarkStart w:id="513" w:name="_Toc152042319"/>
      <w:bookmarkEnd w:id="513"/>
      <w:bookmarkStart w:id="514" w:name="_Toc144974511"/>
      <w:bookmarkEnd w:id="514"/>
      <w:bookmarkStart w:id="515" w:name="_Toc300834964"/>
      <w:bookmarkEnd w:id="515"/>
      <w:bookmarkStart w:id="516" w:name="_Toc247513967"/>
      <w:bookmarkEnd w:id="516"/>
      <w:bookmarkStart w:id="517" w:name="_Toc152045543"/>
      <w:bookmarkEnd w:id="517"/>
      <w:bookmarkStart w:id="518" w:name="_Toc247527568"/>
      <w:bookmarkEnd w:id="518"/>
      <w:bookmarkStart w:id="519" w:name="_Toc352691487"/>
      <w:bookmarkEnd w:id="519"/>
      <w:r>
        <w:t>投标报价为各分项报价金额之和，如分项报价中存在缺漏项，按照第三章评分办法前附表3.1.3的要求执行。投标人在投标截止时间前修改投标函中的投标报价总额，应同时修改投标文件“分项报价表”中的相应报价。此修改须符合本章第4.3款的有关要求。</w:t>
      </w:r>
    </w:p>
    <w:p w14:paraId="190E30B5">
      <w:pPr>
        <w:ind w:firstLine="480"/>
      </w:pPr>
      <w:r>
        <w:t>3.2.4招标人设有最高投标限价的，投标人的投标报价不得超过最高投标限价，</w:t>
      </w:r>
      <w:r>
        <w:rPr>
          <w:rFonts w:hint="eastAsia"/>
        </w:rPr>
        <w:t>超过最高投标限价的投标将被否决，</w:t>
      </w:r>
      <w:r>
        <w:t>最高投标限价在投标</w:t>
      </w:r>
      <w:bookmarkStart w:id="520" w:name="_Toc152042320"/>
      <w:bookmarkStart w:id="521" w:name="_Toc361508600"/>
      <w:bookmarkStart w:id="522" w:name="_Toc369531531"/>
      <w:bookmarkStart w:id="523" w:name="_Toc352691488"/>
      <w:bookmarkStart w:id="524" w:name="_Toc384308225"/>
      <w:bookmarkStart w:id="525" w:name="_Toc152045544"/>
      <w:bookmarkStart w:id="526" w:name="_Toc300834965"/>
      <w:bookmarkStart w:id="527" w:name="_Toc10429"/>
      <w:bookmarkStart w:id="528" w:name="_Toc247513968"/>
      <w:bookmarkStart w:id="529" w:name="_Toc247527569"/>
      <w:bookmarkStart w:id="530" w:name="_Toc144974512"/>
      <w:r>
        <w:t>人须知前附表中载明。</w:t>
      </w:r>
      <w:bookmarkEnd w:id="520"/>
      <w:bookmarkEnd w:id="521"/>
      <w:bookmarkEnd w:id="522"/>
      <w:bookmarkEnd w:id="523"/>
      <w:bookmarkEnd w:id="524"/>
      <w:bookmarkEnd w:id="525"/>
      <w:bookmarkEnd w:id="526"/>
      <w:bookmarkEnd w:id="527"/>
      <w:bookmarkEnd w:id="528"/>
      <w:bookmarkEnd w:id="529"/>
      <w:bookmarkEnd w:id="530"/>
    </w:p>
    <w:p w14:paraId="0F04955E">
      <w:pPr>
        <w:ind w:firstLine="480"/>
      </w:pPr>
      <w:r>
        <w:t>3.2.5投标报价的其他要求见投标人须知前附表。</w:t>
      </w:r>
    </w:p>
    <w:p w14:paraId="0F7AA504">
      <w:pPr>
        <w:pStyle w:val="5"/>
        <w:spacing w:line="240" w:lineRule="auto"/>
        <w:ind w:firstLine="561"/>
      </w:pPr>
      <w:bookmarkStart w:id="531" w:name="_Toc1928842442"/>
      <w:bookmarkStart w:id="532" w:name="_Toc1001728417"/>
      <w:bookmarkStart w:id="533" w:name="_Toc27082"/>
      <w:bookmarkStart w:id="534" w:name="_Toc773183608"/>
      <w:bookmarkStart w:id="535" w:name="_Toc1386700925"/>
      <w:bookmarkStart w:id="536" w:name="_Toc290931364"/>
      <w:bookmarkStart w:id="537" w:name="_Toc14956"/>
      <w:bookmarkStart w:id="538" w:name="_Toc5613"/>
      <w:bookmarkStart w:id="539" w:name="_Toc1677784535"/>
      <w:bookmarkStart w:id="540" w:name="_Toc19248"/>
      <w:bookmarkStart w:id="541" w:name="_Toc31884"/>
      <w:bookmarkStart w:id="542" w:name="_Toc1672749720"/>
      <w:bookmarkStart w:id="543" w:name="_Toc5354"/>
      <w:bookmarkStart w:id="544" w:name="_Toc1704855739"/>
      <w:bookmarkStart w:id="545" w:name="_Toc28683"/>
      <w:r>
        <w:t>3.3投标有效期</w:t>
      </w:r>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p>
    <w:p w14:paraId="034448D6">
      <w:pPr>
        <w:ind w:firstLine="480"/>
      </w:pPr>
      <w:r>
        <w:t>3.3.1除投标人须知前附表另有规定外，投标有效期为</w:t>
      </w:r>
      <w:r>
        <w:rPr>
          <w:rFonts w:hint="eastAsia"/>
        </w:rPr>
        <w:t>90</w:t>
      </w:r>
      <w:r>
        <w:t>日。</w:t>
      </w:r>
    </w:p>
    <w:p w14:paraId="3A896506">
      <w:pPr>
        <w:ind w:firstLine="480"/>
      </w:pPr>
      <w:r>
        <w:t>3.3.2在投标有效期内，投标人撤销投标文件的，应承担招标文件和法律规定的责任。</w:t>
      </w:r>
    </w:p>
    <w:p w14:paraId="35B6E94C">
      <w:pPr>
        <w:ind w:firstLine="480"/>
      </w:pPr>
      <w:r>
        <w:t>3.3.3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w:t>
      </w:r>
    </w:p>
    <w:p w14:paraId="4B826C18">
      <w:pPr>
        <w:pStyle w:val="5"/>
        <w:spacing w:line="240" w:lineRule="auto"/>
        <w:ind w:firstLine="561"/>
      </w:pPr>
      <w:bookmarkStart w:id="546" w:name="_Toc5212"/>
      <w:bookmarkStart w:id="547" w:name="_Toc1783587099"/>
      <w:bookmarkStart w:id="548" w:name="_Toc1773"/>
      <w:bookmarkStart w:id="549" w:name="_Toc2064394635"/>
      <w:bookmarkStart w:id="550" w:name="_Toc25022"/>
      <w:bookmarkStart w:id="551" w:name="_Toc473351659"/>
      <w:bookmarkStart w:id="552" w:name="_Toc1196121163"/>
      <w:bookmarkStart w:id="553" w:name="_Toc20071"/>
      <w:bookmarkStart w:id="554" w:name="_Toc5223"/>
      <w:bookmarkStart w:id="555" w:name="_Toc2010654176"/>
      <w:bookmarkStart w:id="556" w:name="_Toc1789271229"/>
      <w:bookmarkStart w:id="557" w:name="_Toc1925195686"/>
      <w:bookmarkStart w:id="558" w:name="_Toc1789909231"/>
      <w:bookmarkStart w:id="559" w:name="_Toc3877"/>
      <w:bookmarkStart w:id="560" w:name="_Toc12926"/>
      <w:r>
        <w:t>3.4投标保证金</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10C03F5A">
      <w:pPr>
        <w:ind w:firstLine="452"/>
      </w:pPr>
      <w:r>
        <w:rPr>
          <w:spacing w:val="-7"/>
          <w:szCs w:val="21"/>
        </w:rPr>
        <w:t>3.4.1投标人在递交投标文件的同时，应按投标人须知前附表规定的金额、形式、缴纳账户和按照第六章“投标文件格式”中投标保证金缴纳凭证的规定的格式递交投标保证金，并作为其投标文件的组成部分。境内投标人的投标保证金，应当从其公司账户转出并在投标文件中附汇款凭证。</w:t>
      </w:r>
    </w:p>
    <w:p w14:paraId="402DB02E">
      <w:pPr>
        <w:ind w:firstLine="480"/>
        <w:jc w:val="left"/>
      </w:pPr>
      <w:r>
        <w:t>3.4.2投标人不按本章第3.4.1项</w:t>
      </w:r>
      <w:bookmarkStart w:id="561" w:name="_Toc361508602"/>
      <w:bookmarkStart w:id="562" w:name="_Toc384308227"/>
      <w:bookmarkStart w:id="563" w:name="_Toc369531533"/>
      <w:bookmarkStart w:id="564" w:name="_Toc29025"/>
      <w:bookmarkStart w:id="565" w:name="_Toc352691490"/>
      <w:r>
        <w:t>要求提交投标保证金的，</w:t>
      </w:r>
      <w:bookmarkEnd w:id="561"/>
      <w:bookmarkEnd w:id="562"/>
      <w:bookmarkEnd w:id="563"/>
      <w:bookmarkEnd w:id="564"/>
      <w:bookmarkEnd w:id="565"/>
      <w:r>
        <w:t>评标委员会将否决其投标。</w:t>
      </w:r>
    </w:p>
    <w:p w14:paraId="0CF650E9">
      <w:pPr>
        <w:ind w:firstLine="480"/>
      </w:pPr>
      <w:r>
        <w:t>3.4.3招标人将在与中标人</w:t>
      </w:r>
      <w:bookmarkStart w:id="566" w:name="_Toc384308228"/>
      <w:bookmarkStart w:id="567" w:name="_Toc361508603"/>
      <w:bookmarkStart w:id="568" w:name="_Toc369531534"/>
      <w:bookmarkStart w:id="569" w:name="_Toc152042322"/>
      <w:bookmarkStart w:id="570" w:name="_Toc144974514"/>
      <w:bookmarkStart w:id="571" w:name="_Toc247527571"/>
      <w:bookmarkStart w:id="572" w:name="_Toc14751"/>
      <w:bookmarkStart w:id="573" w:name="_Toc247513970"/>
      <w:bookmarkStart w:id="574" w:name="_Toc352691491"/>
      <w:bookmarkStart w:id="575" w:name="_Toc152045546"/>
      <w:bookmarkStart w:id="576" w:name="_Toc300834967"/>
      <w:r>
        <w:t>签订合同后5日</w:t>
      </w:r>
      <w:bookmarkEnd w:id="566"/>
      <w:bookmarkEnd w:id="567"/>
      <w:bookmarkEnd w:id="568"/>
      <w:bookmarkEnd w:id="569"/>
      <w:bookmarkEnd w:id="570"/>
      <w:bookmarkEnd w:id="571"/>
      <w:bookmarkEnd w:id="572"/>
      <w:bookmarkEnd w:id="573"/>
      <w:bookmarkEnd w:id="574"/>
      <w:bookmarkEnd w:id="575"/>
      <w:bookmarkEnd w:id="576"/>
      <w:bookmarkStart w:id="577" w:name="_Toc369531535"/>
      <w:bookmarkStart w:id="578" w:name="_Toc352691492"/>
      <w:bookmarkStart w:id="579" w:name="_Toc247513971"/>
      <w:bookmarkStart w:id="580" w:name="_Toc152045547"/>
      <w:bookmarkStart w:id="581" w:name="_Toc144974515"/>
      <w:bookmarkStart w:id="582" w:name="_Toc300834968"/>
      <w:bookmarkStart w:id="583" w:name="_Toc361508604"/>
      <w:bookmarkStart w:id="584" w:name="_Toc384308229"/>
      <w:bookmarkStart w:id="585" w:name="_Toc247527572"/>
      <w:bookmarkStart w:id="586" w:name="_Toc152042323"/>
      <w:bookmarkStart w:id="587" w:name="_Toc17952"/>
      <w:r>
        <w:t>，向未中标的投标人和中</w:t>
      </w:r>
      <w:bookmarkEnd w:id="577"/>
      <w:bookmarkEnd w:id="578"/>
      <w:bookmarkEnd w:id="579"/>
      <w:bookmarkEnd w:id="580"/>
      <w:bookmarkEnd w:id="581"/>
      <w:bookmarkEnd w:id="582"/>
      <w:bookmarkEnd w:id="583"/>
      <w:bookmarkEnd w:id="584"/>
      <w:bookmarkEnd w:id="585"/>
      <w:bookmarkEnd w:id="586"/>
      <w:bookmarkEnd w:id="587"/>
      <w:r>
        <w:t>标人退还投标保证金。</w:t>
      </w:r>
    </w:p>
    <w:p w14:paraId="3656E60A">
      <w:pPr>
        <w:ind w:firstLine="480"/>
      </w:pPr>
      <w:r>
        <w:t>3.4.4有下列情形之一的，投标保证金将不予退还：</w:t>
      </w:r>
    </w:p>
    <w:p w14:paraId="45C8A3AC">
      <w:pPr>
        <w:ind w:firstLine="480"/>
      </w:pPr>
      <w:r>
        <w:t>（1）投标截止后投标人撤销投标文件的；</w:t>
      </w:r>
    </w:p>
    <w:p w14:paraId="539FE939">
      <w:pPr>
        <w:ind w:firstLine="480"/>
      </w:pPr>
      <w:r>
        <w:t>（2）中标人无正当理由不与招标人订立合同的；</w:t>
      </w:r>
    </w:p>
    <w:p w14:paraId="5C433C19">
      <w:pPr>
        <w:ind w:firstLine="480"/>
      </w:pPr>
      <w:r>
        <w:t>（3）中标人在签订合同时向招标人提出附加条件的；</w:t>
      </w:r>
    </w:p>
    <w:p w14:paraId="698E137B">
      <w:pPr>
        <w:ind w:firstLine="480"/>
      </w:pPr>
      <w:r>
        <w:t>（4）中标人不按照招标文件要求提交履约保证金的；</w:t>
      </w:r>
    </w:p>
    <w:p w14:paraId="3D0527B7">
      <w:pPr>
        <w:ind w:firstLine="480"/>
      </w:pPr>
      <w:r>
        <w:t>（5）投标人须知前附表3.4.4规定的其他情形。</w:t>
      </w:r>
    </w:p>
    <w:p w14:paraId="2F4450FF">
      <w:pPr>
        <w:pStyle w:val="5"/>
        <w:spacing w:line="240" w:lineRule="auto"/>
        <w:ind w:firstLine="561"/>
      </w:pPr>
      <w:bookmarkStart w:id="588" w:name="_Toc627785253_ai"/>
      <w:bookmarkStart w:id="589" w:name="_Toc613966974_ai"/>
      <w:bookmarkStart w:id="590" w:name="_Toc29637"/>
      <w:bookmarkStart w:id="591" w:name="_Toc15199"/>
      <w:bookmarkStart w:id="592" w:name="_Toc1341904325_ai"/>
      <w:bookmarkStart w:id="593" w:name="_Toc262066840_ai"/>
      <w:bookmarkStart w:id="594" w:name="_Toc32044_ai"/>
      <w:bookmarkStart w:id="595" w:name="_Toc1534829513_ai"/>
      <w:bookmarkStart w:id="596" w:name="_Toc1940_ai"/>
      <w:bookmarkStart w:id="597" w:name="_Toc1068036862_ai"/>
      <w:bookmarkStart w:id="598" w:name="_Toc8743_ai"/>
      <w:bookmarkStart w:id="599" w:name="_Toc12762"/>
      <w:bookmarkStart w:id="600" w:name="_Toc1053518241_ai"/>
      <w:bookmarkStart w:id="601" w:name="_Toc16806_ai"/>
      <w:bookmarkStart w:id="602" w:name="_Toc28806"/>
      <w:bookmarkStart w:id="603" w:name="_Toc24144420_ai"/>
      <w:r>
        <w:rPr>
          <w:rFonts w:hint="eastAsia"/>
        </w:rPr>
        <w:t>3.5资格审查资料（适用于资格后审的）</w:t>
      </w:r>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5B6780E6">
      <w:pPr>
        <w:ind w:firstLine="480"/>
        <w:jc w:val="left"/>
      </w:pPr>
      <w:r>
        <w:t>投标人在递交投标文件前，发生可能影响其投标资格的新情况的，应更新或补充其在申请资格预审时提供的资料，以证实其各项资格条件仍能继续满足资格预审文件的要求，且没有影响招标公正性。</w:t>
      </w:r>
    </w:p>
    <w:p w14:paraId="698EE0D8">
      <w:pPr>
        <w:pStyle w:val="5"/>
        <w:spacing w:line="240" w:lineRule="auto"/>
        <w:ind w:firstLine="561"/>
      </w:pPr>
      <w:bookmarkStart w:id="604" w:name="_Toc478406972_ai"/>
      <w:bookmarkStart w:id="605" w:name="_Toc16595"/>
      <w:bookmarkStart w:id="606" w:name="_Toc1827218008_ai"/>
      <w:bookmarkStart w:id="607" w:name="_Toc18143_ai"/>
      <w:bookmarkStart w:id="608" w:name="_Toc11731"/>
      <w:bookmarkStart w:id="609" w:name="_Toc2068341304_ai"/>
      <w:bookmarkStart w:id="610" w:name="_Toc22296_ai"/>
      <w:bookmarkStart w:id="611" w:name="_Toc68419883_ai"/>
      <w:bookmarkStart w:id="612" w:name="_Toc31648"/>
      <w:bookmarkStart w:id="613" w:name="_Toc22054_ai"/>
      <w:bookmarkStart w:id="614" w:name="_Toc599589460_ai"/>
      <w:bookmarkStart w:id="615" w:name="_Toc284008183_ai"/>
      <w:bookmarkStart w:id="616" w:name="_Toc306057227_ai"/>
      <w:bookmarkStart w:id="617" w:name="_Toc512729481_ai"/>
      <w:bookmarkStart w:id="618" w:name="_Toc26427"/>
      <w:bookmarkStart w:id="619" w:name="_Toc10594_ai"/>
      <w:r>
        <w:rPr>
          <w:rFonts w:hint="eastAsia"/>
        </w:rPr>
        <w:t>3.6资格审查资料（适用于未进行资格预审的）</w:t>
      </w:r>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267E1DE6">
      <w:pPr>
        <w:ind w:firstLine="480"/>
      </w:pPr>
      <w:r>
        <w:t>除投标人须知前附表另有规定外，投标人应按下列规定提供资格审查资料，以证明其满足本章第1.4款规定的投标人资格要求。</w:t>
      </w:r>
    </w:p>
    <w:p w14:paraId="6197F4F3">
      <w:pPr>
        <w:ind w:firstLine="480"/>
      </w:pPr>
      <w:r>
        <w:t>3.5.1“投标人基本情况表”应附投标人及（或）其制造商（适用于代理经销商投标的情形）资格或者资质证书副本以及：</w:t>
      </w:r>
    </w:p>
    <w:p w14:paraId="7F99D35A">
      <w:pPr>
        <w:ind w:firstLine="480"/>
      </w:pPr>
      <w:r>
        <w:t>（1）投标人为企业的，应提交营业执照和组织机构代码证的扫描件（按照“三证合一”或“五证合一”登记制度进行登记的，可仅提供营业执照扫描件）；</w:t>
      </w:r>
    </w:p>
    <w:p w14:paraId="7A51AA77">
      <w:pPr>
        <w:ind w:firstLine="480"/>
      </w:pPr>
      <w:r>
        <w:t>（2）投标人为依法允许经营的事业单位的，应提交事业单位法人证书和组织机构代码证的扫描件（按照“三证合一”或“五证合一”登记制度进行登记的，可仅提供事业单位法人证书）。</w:t>
      </w:r>
    </w:p>
    <w:p w14:paraId="2570F53B">
      <w:pPr>
        <w:ind w:firstLine="480"/>
      </w:pPr>
      <w:r>
        <w:t>3.5.2投标人证明满足本章第1.4.1项规定的资格要求应提供的资格审查资料：见投标人须知前附表。</w:t>
      </w:r>
    </w:p>
    <w:p w14:paraId="0C06DC28">
      <w:pPr>
        <w:ind w:firstLine="480"/>
      </w:pPr>
      <w:r>
        <w:t>3.5.3投标人须知前附表规定接受联合体投标的，本章第3.5.1项至第3.5.2项规定的表格和资料应包括联合体各方相关情况。</w:t>
      </w:r>
    </w:p>
    <w:p w14:paraId="34E24281">
      <w:pPr>
        <w:pStyle w:val="5"/>
        <w:spacing w:line="240" w:lineRule="auto"/>
        <w:ind w:firstLine="561"/>
      </w:pPr>
      <w:bookmarkStart w:id="620" w:name="_Toc1306782496"/>
      <w:bookmarkStart w:id="621" w:name="_Toc12525"/>
      <w:bookmarkStart w:id="622" w:name="_Toc1036908356"/>
      <w:bookmarkStart w:id="623" w:name="_Toc7340"/>
      <w:bookmarkStart w:id="624" w:name="_Toc13875"/>
      <w:bookmarkStart w:id="625" w:name="_Toc24364"/>
      <w:bookmarkStart w:id="626" w:name="_Toc13006"/>
      <w:bookmarkStart w:id="627" w:name="_Toc2713"/>
      <w:bookmarkStart w:id="628" w:name="_Toc1029222436"/>
      <w:bookmarkStart w:id="629" w:name="_Toc680479624"/>
      <w:bookmarkStart w:id="630" w:name="_Toc20182"/>
      <w:bookmarkStart w:id="631" w:name="_Toc407204036"/>
      <w:bookmarkStart w:id="632" w:name="_Toc1616868047"/>
      <w:bookmarkStart w:id="633" w:name="_Toc1739995403"/>
      <w:bookmarkStart w:id="634" w:name="_Toc1294502339"/>
      <w:r>
        <w:t>3.6备选投标方案</w:t>
      </w:r>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p w14:paraId="4423EAE2">
      <w:pPr>
        <w:ind w:firstLine="480"/>
      </w:pPr>
      <w:r>
        <w:t>3.6.1除投标人须知前附表规定允许外，投标人不得递交备选投标方案，否则其投标将被否决。</w:t>
      </w:r>
    </w:p>
    <w:p w14:paraId="3CD0A027">
      <w:pPr>
        <w:ind w:firstLine="480"/>
      </w:pPr>
      <w:r>
        <w:t>3.6.2允许投标人递交备选投标方案的，只有中标人所递交的备选投标方案方可予以考虑。评标委员会认为中标人的备选投标方案优于其按照招标文件要求编制的投标方案的，招标人可以接受该备选投标方案。</w:t>
      </w:r>
    </w:p>
    <w:p w14:paraId="779D81D8">
      <w:pPr>
        <w:ind w:firstLine="480"/>
      </w:pPr>
      <w:r>
        <w:t>3.6.3投标人提供两个或两个以上投标报价，或者在投标文件中提供一个报价，但同时提供两个或两个以上</w:t>
      </w:r>
      <w:bookmarkStart w:id="635" w:name="_Toc144974518"/>
      <w:bookmarkStart w:id="636" w:name="_Toc369531538"/>
      <w:bookmarkStart w:id="637" w:name="_Toc152045550"/>
      <w:bookmarkStart w:id="638" w:name="_Toc352691495"/>
      <w:bookmarkStart w:id="639" w:name="_Toc247527575"/>
      <w:bookmarkStart w:id="640" w:name="_Toc361508607"/>
      <w:bookmarkStart w:id="641" w:name="_Toc152042326"/>
      <w:bookmarkStart w:id="642" w:name="_Toc29902"/>
      <w:bookmarkStart w:id="643" w:name="_Toc384308232"/>
      <w:bookmarkStart w:id="644" w:name="_Toc300834971"/>
      <w:bookmarkStart w:id="645" w:name="_Toc247513974"/>
      <w:r>
        <w:t>方案的</w:t>
      </w:r>
      <w:bookmarkEnd w:id="635"/>
      <w:bookmarkEnd w:id="636"/>
      <w:bookmarkEnd w:id="637"/>
      <w:bookmarkEnd w:id="638"/>
      <w:bookmarkEnd w:id="639"/>
      <w:bookmarkEnd w:id="640"/>
      <w:bookmarkEnd w:id="641"/>
      <w:bookmarkEnd w:id="642"/>
      <w:bookmarkEnd w:id="643"/>
      <w:bookmarkEnd w:id="644"/>
      <w:bookmarkEnd w:id="645"/>
      <w:r>
        <w:t>，视为提供备选方案。</w:t>
      </w:r>
    </w:p>
    <w:p w14:paraId="151DC312">
      <w:pPr>
        <w:pStyle w:val="5"/>
        <w:spacing w:line="240" w:lineRule="auto"/>
        <w:ind w:firstLine="561"/>
      </w:pPr>
      <w:bookmarkStart w:id="646" w:name="_Toc9545"/>
      <w:bookmarkStart w:id="647" w:name="_Toc543983816"/>
      <w:bookmarkStart w:id="648" w:name="_Toc2869"/>
      <w:bookmarkStart w:id="649" w:name="_Toc30345"/>
      <w:bookmarkStart w:id="650" w:name="_Toc443196791"/>
      <w:bookmarkStart w:id="651" w:name="_Toc1995333710"/>
      <w:bookmarkStart w:id="652" w:name="_Toc25769"/>
      <w:bookmarkStart w:id="653" w:name="_Toc4400"/>
      <w:bookmarkStart w:id="654" w:name="_Toc778152403"/>
      <w:bookmarkStart w:id="655" w:name="_Toc28139"/>
      <w:bookmarkStart w:id="656" w:name="_Toc28881"/>
      <w:bookmarkStart w:id="657" w:name="_Toc1817917022"/>
      <w:bookmarkStart w:id="658" w:name="_Toc1470620293"/>
      <w:bookmarkStart w:id="659" w:name="_Toc488943887"/>
      <w:bookmarkStart w:id="660" w:name="_Toc160705267"/>
      <w:r>
        <w:t>3.7投标文件的编制</w:t>
      </w:r>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3354C868">
      <w:pPr>
        <w:ind w:firstLine="480"/>
      </w:pPr>
      <w:r>
        <w:t>3.7.1投标文件应按第六章“投标文件格式”进行编写，如有必要，可以增加附页，作为投标文件的组成部分。</w:t>
      </w:r>
    </w:p>
    <w:p w14:paraId="3F69C35F">
      <w:pPr>
        <w:ind w:firstLine="480"/>
      </w:pPr>
      <w:r>
        <w:t>3.7.2投标文件应当对招标文件有关投标有效期、</w:t>
      </w:r>
      <w:r>
        <w:rPr>
          <w:rFonts w:hint="eastAsia"/>
        </w:rPr>
        <w:t>分包</w:t>
      </w:r>
      <w:r>
        <w:t>要求、招标范围等实质性内容作出响应，具体详见第三章评分办法前附表。投标文件在满足招标文件实质性要求的基础上，可以提出比招标文件要求更有利于招标人的承诺。</w:t>
      </w:r>
    </w:p>
    <w:p w14:paraId="53A83834">
      <w:pPr>
        <w:ind w:firstLine="480"/>
      </w:pPr>
      <w:r>
        <w:t>3.7.3投标文件全部采用电子文档，签字或盖章的具体要求见投标人须知前附表。</w:t>
      </w:r>
    </w:p>
    <w:p w14:paraId="20D25C87">
      <w:pPr>
        <w:pStyle w:val="4"/>
        <w:spacing w:before="312" w:after="312"/>
        <w:ind w:firstLine="641"/>
        <w:rPr>
          <w:rFonts w:ascii="Times New Roman" w:hAnsi="Times New Roman"/>
        </w:rPr>
      </w:pPr>
      <w:bookmarkStart w:id="661" w:name="_Toc26105"/>
      <w:bookmarkStart w:id="662" w:name="_Toc1335178541"/>
      <w:bookmarkStart w:id="663" w:name="_Toc1586478190"/>
      <w:bookmarkStart w:id="664" w:name="_Toc1481542885"/>
      <w:bookmarkStart w:id="665" w:name="_Toc2320"/>
      <w:bookmarkStart w:id="666" w:name="_Toc13618"/>
      <w:bookmarkStart w:id="667" w:name="_Toc23606"/>
      <w:bookmarkStart w:id="668" w:name="_Toc1487348285"/>
      <w:bookmarkStart w:id="669" w:name="_Toc1407475387"/>
      <w:bookmarkStart w:id="670" w:name="_Toc8633"/>
      <w:bookmarkStart w:id="671" w:name="_Toc1325971128"/>
      <w:bookmarkStart w:id="672" w:name="_Toc18343"/>
      <w:bookmarkStart w:id="673" w:name="_Toc232026991"/>
      <w:bookmarkStart w:id="674" w:name="_Toc469032418"/>
      <w:bookmarkStart w:id="675" w:name="_Toc898110233"/>
      <w:r>
        <w:rPr>
          <w:rFonts w:ascii="Times New Roman" w:hAnsi="Times New Roman"/>
        </w:rPr>
        <w:t>4.投标</w:t>
      </w:r>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p>
    <w:p w14:paraId="3E63DFD7">
      <w:pPr>
        <w:pStyle w:val="5"/>
        <w:spacing w:line="240" w:lineRule="auto"/>
        <w:ind w:firstLine="561"/>
      </w:pPr>
      <w:bookmarkStart w:id="676" w:name="_Toc32385"/>
      <w:bookmarkStart w:id="677" w:name="_Toc31217"/>
      <w:bookmarkStart w:id="678" w:name="_Toc1158943377"/>
      <w:bookmarkStart w:id="679" w:name="_Toc25794"/>
      <w:bookmarkStart w:id="680" w:name="_Toc906457604"/>
      <w:bookmarkStart w:id="681" w:name="_Toc1289111084"/>
      <w:bookmarkStart w:id="682" w:name="_Toc7723"/>
      <w:bookmarkStart w:id="683" w:name="_Toc2023614915"/>
      <w:bookmarkStart w:id="684" w:name="_Toc11151"/>
      <w:bookmarkStart w:id="685" w:name="_Toc1762864836"/>
      <w:bookmarkStart w:id="686" w:name="_Toc2668"/>
      <w:bookmarkStart w:id="687" w:name="_Toc11923"/>
      <w:bookmarkStart w:id="688" w:name="_Toc218381230"/>
      <w:bookmarkStart w:id="689" w:name="_Toc781978178"/>
      <w:bookmarkStart w:id="690" w:name="_Toc1994818432"/>
      <w:r>
        <w:t>4.1投标文件的密封和标记</w:t>
      </w:r>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p>
    <w:p w14:paraId="0EF7B58A">
      <w:pPr>
        <w:ind w:firstLine="480"/>
      </w:pPr>
      <w:r>
        <w:t>投标人应当按照招标文件和电子招标投标交易平台的要求加密投标文件，投标人须将从电子招投标系统中下载的ebid格式招标文件导入投标文件客户端进行投标文件编制。在线递交电子版投标文件前，投标人应当使用中国煤科电子采购平台投标文件编制客户端及企业CA证书为投标文件加密，同一项目的所有投标文件必须使用同一</w:t>
      </w:r>
      <w:r>
        <w:rPr>
          <w:rFonts w:hint="eastAsia"/>
        </w:rPr>
        <w:t>套</w:t>
      </w:r>
      <w:r>
        <w:t>企业CA证书进行加密，否则导致的解密失败的责任由投标人自行承担。投标人未按规定加密的投标文件，招标人将拒绝接收。</w:t>
      </w:r>
    </w:p>
    <w:p w14:paraId="02A7B1D4">
      <w:pPr>
        <w:pStyle w:val="5"/>
        <w:spacing w:line="240" w:lineRule="auto"/>
        <w:ind w:firstLine="561"/>
      </w:pPr>
      <w:bookmarkStart w:id="691" w:name="_Toc398689660"/>
      <w:bookmarkStart w:id="692" w:name="_Toc4960"/>
      <w:bookmarkStart w:id="693" w:name="_Toc24501"/>
      <w:bookmarkStart w:id="694" w:name="_Toc127474205"/>
      <w:bookmarkStart w:id="695" w:name="_Toc14863"/>
      <w:bookmarkStart w:id="696" w:name="_Toc1197358866"/>
      <w:bookmarkStart w:id="697" w:name="_Toc18984"/>
      <w:bookmarkStart w:id="698" w:name="_Toc30363"/>
      <w:bookmarkStart w:id="699" w:name="_Toc283779887"/>
      <w:bookmarkStart w:id="700" w:name="_Toc684658949"/>
      <w:bookmarkStart w:id="701" w:name="_Toc583958610"/>
      <w:bookmarkStart w:id="702" w:name="_Toc107318006"/>
      <w:bookmarkStart w:id="703" w:name="_Toc17741"/>
      <w:bookmarkStart w:id="704" w:name="_Toc1784904640"/>
      <w:bookmarkStart w:id="705" w:name="_Toc30706"/>
      <w:r>
        <w:t>4.2投标文件的递交</w:t>
      </w:r>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14:paraId="4F6952D0">
      <w:pPr>
        <w:ind w:firstLine="480"/>
      </w:pPr>
      <w:r>
        <w:t>4.2.1投标人应在投标人须知前附表规定的投标截止时间前递交投标文件。</w:t>
      </w:r>
    </w:p>
    <w:p w14:paraId="3733D468">
      <w:pPr>
        <w:ind w:firstLine="480"/>
      </w:pPr>
      <w:r>
        <w:t>4.2.2投标人通过下载招标文件的</w:t>
      </w:r>
      <w:r>
        <w:rPr>
          <w:rFonts w:hint="eastAsia"/>
        </w:rPr>
        <w:t>中国煤科电子采购平台（https://cg.ccteg.cn）</w:t>
      </w:r>
      <w:r>
        <w:t>递交电子投标文件。</w:t>
      </w:r>
    </w:p>
    <w:p w14:paraId="55457AD1">
      <w:pPr>
        <w:ind w:firstLine="480"/>
      </w:pPr>
      <w:r>
        <w:t>4.2.3除投标人须知前附表另有规定外，投标人所递交的投标文件不予退还。</w:t>
      </w:r>
    </w:p>
    <w:p w14:paraId="123E3FE0">
      <w:pPr>
        <w:ind w:firstLine="480"/>
      </w:pPr>
      <w:r>
        <w:t>4.2.4投标人完成电子投标文件上传后，</w:t>
      </w:r>
      <w:r>
        <w:rPr>
          <w:rFonts w:hint="eastAsia"/>
        </w:rPr>
        <w:t>中国煤科电子采购平台</w:t>
      </w:r>
      <w:r>
        <w:t>即时向投标人发出递交回执通知。递交时间以递交回执通知载明的传输完成时间为准。</w:t>
      </w:r>
    </w:p>
    <w:p w14:paraId="1F597DFF">
      <w:pPr>
        <w:ind w:firstLine="452"/>
        <w:jc w:val="left"/>
      </w:pPr>
      <w:bookmarkStart w:id="706" w:name="_Toc1954947009"/>
      <w:bookmarkStart w:id="707" w:name="_Toc693219537"/>
      <w:bookmarkStart w:id="708" w:name="_Toc1417767376"/>
      <w:bookmarkStart w:id="709" w:name="_Toc2074864469"/>
      <w:bookmarkStart w:id="710" w:name="_Toc20711"/>
      <w:bookmarkStart w:id="711" w:name="_Toc845575217"/>
      <w:bookmarkStart w:id="712" w:name="_Toc628136980"/>
      <w:bookmarkStart w:id="713" w:name="_Toc2088688472"/>
      <w:bookmarkStart w:id="714" w:name="_Toc592091480"/>
      <w:bookmarkStart w:id="715" w:name="_Toc8320"/>
      <w:bookmarkStart w:id="716" w:name="_Toc21676"/>
      <w:r>
        <w:rPr>
          <w:spacing w:val="-7"/>
          <w:szCs w:val="21"/>
        </w:rPr>
        <w:t>4.2.5逾期送达的投标文件，中国煤科电子采购平台将予以拒收。</w:t>
      </w:r>
    </w:p>
    <w:p w14:paraId="0DC1F737">
      <w:pPr>
        <w:pStyle w:val="5"/>
        <w:spacing w:line="240" w:lineRule="auto"/>
        <w:ind w:firstLine="561"/>
      </w:pPr>
      <w:bookmarkStart w:id="717" w:name="_Toc20350"/>
      <w:bookmarkStart w:id="718" w:name="_Toc27329"/>
      <w:bookmarkStart w:id="719" w:name="_Toc10527"/>
      <w:bookmarkStart w:id="720" w:name="_Toc2085"/>
      <w:r>
        <w:t>4.3投标文件的修改与撤回</w:t>
      </w:r>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14:paraId="096A306F">
      <w:pPr>
        <w:ind w:firstLine="480"/>
      </w:pPr>
      <w:r>
        <w:t>4.3.1在本章第4.2.1项规定的投标截止时间前，投标人可以修改或撤回已递交的投标文件，但应以书面形式通知招标人。</w:t>
      </w:r>
    </w:p>
    <w:p w14:paraId="709A7E5E">
      <w:pPr>
        <w:ind w:firstLine="480"/>
      </w:pPr>
      <w:r>
        <w:t>4.3.2投标人修改或撤回已递交投标文件的通知，应按照本章第3.7.3项的要求加盖印章。电子招标投标平台收到通知后，即时向投标人发出确认回执通知。</w:t>
      </w:r>
    </w:p>
    <w:p w14:paraId="0247BE2A">
      <w:pPr>
        <w:ind w:firstLine="480"/>
      </w:pPr>
      <w:r>
        <w:t>4.3.3投标人撤回投标文件的，招标人自收到投标人书面撤回通知之日起5</w:t>
      </w:r>
      <w:r>
        <w:rPr>
          <w:rFonts w:hint="eastAsia"/>
        </w:rPr>
        <w:t>日内</w:t>
      </w:r>
      <w:r>
        <w:t>退还已收取的投标保证金。</w:t>
      </w:r>
    </w:p>
    <w:p w14:paraId="7B27DEC9">
      <w:pPr>
        <w:ind w:firstLine="452"/>
      </w:pPr>
      <w:bookmarkStart w:id="721" w:name="_Toc294581163"/>
      <w:bookmarkStart w:id="722" w:name="_Toc4372"/>
      <w:bookmarkStart w:id="723" w:name="_Toc1683379920"/>
      <w:bookmarkStart w:id="724" w:name="_Toc841973384"/>
      <w:bookmarkStart w:id="725" w:name="_Toc5700"/>
      <w:bookmarkStart w:id="726" w:name="_Toc1407670497"/>
      <w:bookmarkStart w:id="727" w:name="_Toc1989767809"/>
      <w:bookmarkStart w:id="728" w:name="_Toc16391"/>
      <w:bookmarkStart w:id="729" w:name="_Toc68614208"/>
      <w:bookmarkStart w:id="730" w:name="_Toc1819455042"/>
      <w:bookmarkStart w:id="731" w:name="_Toc2085224967"/>
      <w:bookmarkStart w:id="732" w:name="_Toc1152974915"/>
      <w:r>
        <w:rPr>
          <w:spacing w:val="-7"/>
          <w:szCs w:val="21"/>
        </w:rPr>
        <w:t>4.3.4修改的内容为投标文件的组成部分。修改的投标文件应按照本章第3条、第4条的规定进行编制和递交，并标明“修改”字样。</w:t>
      </w:r>
    </w:p>
    <w:p w14:paraId="202845D2">
      <w:pPr>
        <w:pStyle w:val="4"/>
        <w:spacing w:before="312" w:after="312"/>
        <w:ind w:firstLine="641"/>
        <w:rPr>
          <w:rFonts w:ascii="Times New Roman" w:hAnsi="Times New Roman"/>
        </w:rPr>
      </w:pPr>
      <w:bookmarkStart w:id="733" w:name="_Toc7781"/>
      <w:bookmarkStart w:id="734" w:name="_Toc368"/>
      <w:bookmarkStart w:id="735" w:name="_Toc30308"/>
      <w:bookmarkStart w:id="736" w:name="_Toc9207"/>
      <w:r>
        <w:rPr>
          <w:rFonts w:ascii="Times New Roman" w:hAnsi="Times New Roman"/>
        </w:rPr>
        <w:t>5.开标</w:t>
      </w:r>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3AF3A97D">
      <w:pPr>
        <w:pStyle w:val="5"/>
        <w:spacing w:line="240" w:lineRule="auto"/>
        <w:ind w:firstLine="561"/>
        <w:rPr>
          <w:rFonts w:eastAsia="方正公文小标宋"/>
        </w:rPr>
      </w:pPr>
      <w:bookmarkStart w:id="737" w:name="_Toc1590384976"/>
      <w:bookmarkStart w:id="738" w:name="_Toc15906"/>
      <w:bookmarkStart w:id="739" w:name="_Toc1616749862"/>
      <w:bookmarkStart w:id="740" w:name="_Toc8526"/>
      <w:bookmarkStart w:id="741" w:name="_Toc3934"/>
      <w:bookmarkStart w:id="742" w:name="_Toc28879"/>
      <w:bookmarkStart w:id="743" w:name="_Toc2038187727"/>
      <w:bookmarkStart w:id="744" w:name="_Toc1561241261"/>
      <w:bookmarkStart w:id="745" w:name="_Toc1276914805"/>
      <w:bookmarkStart w:id="746" w:name="_Toc1075800206"/>
      <w:bookmarkStart w:id="747" w:name="_Toc21065"/>
      <w:bookmarkStart w:id="748" w:name="_Toc2101"/>
      <w:bookmarkStart w:id="749" w:name="_Toc1412214779"/>
      <w:bookmarkStart w:id="750" w:name="_Toc28715"/>
      <w:bookmarkStart w:id="751" w:name="_Toc275417"/>
      <w:r>
        <w:t>5.1开标时间和地点</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314186D3">
      <w:pPr>
        <w:ind w:firstLine="480"/>
      </w:pPr>
      <w:r>
        <w:t>招标人在本章第4.2.1项规定的投标截止时间（开标时间），通过</w:t>
      </w:r>
      <w:r>
        <w:rPr>
          <w:rFonts w:hint="eastAsia"/>
        </w:rPr>
        <w:t>中国煤科电子采购平台</w:t>
      </w:r>
      <w:r>
        <w:t>公开开标，所有投标人的法定代表人（单位负责人）或其委托代理人应当准时参加。</w:t>
      </w:r>
    </w:p>
    <w:p w14:paraId="1AEC90B7">
      <w:pPr>
        <w:pStyle w:val="5"/>
        <w:spacing w:line="240" w:lineRule="auto"/>
        <w:ind w:firstLine="561"/>
        <w:rPr>
          <w:rFonts w:eastAsia="方正公文小标宋"/>
        </w:rPr>
      </w:pPr>
      <w:bookmarkStart w:id="752" w:name="_Toc28173"/>
      <w:bookmarkStart w:id="753" w:name="_Toc1104524009"/>
      <w:bookmarkStart w:id="754" w:name="_Toc1826674581"/>
      <w:bookmarkStart w:id="755" w:name="_Toc333966225"/>
      <w:bookmarkStart w:id="756" w:name="_Toc12575"/>
      <w:bookmarkStart w:id="757" w:name="_Toc1303043164"/>
      <w:bookmarkStart w:id="758" w:name="_Toc3852"/>
      <w:bookmarkStart w:id="759" w:name="_Toc2018821070"/>
      <w:bookmarkStart w:id="760" w:name="_Toc31073"/>
      <w:bookmarkStart w:id="761" w:name="_Toc29168"/>
      <w:bookmarkStart w:id="762" w:name="_Toc1309238149"/>
      <w:bookmarkStart w:id="763" w:name="_Toc604345143"/>
      <w:bookmarkStart w:id="764" w:name="_Toc1309474392"/>
      <w:bookmarkStart w:id="765" w:name="_Toc29663"/>
      <w:bookmarkStart w:id="766" w:name="_Toc32027"/>
      <w:r>
        <w:t>5.2开标程序</w:t>
      </w:r>
      <w:bookmarkEnd w:id="752"/>
      <w:r>
        <w:t>（适用于公开招标项目）</w:t>
      </w:r>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7222410D">
      <w:pPr>
        <w:ind w:firstLine="480"/>
      </w:pPr>
      <w:r>
        <w:t>5.2.1主持人按下列程序进行开标：</w:t>
      </w:r>
    </w:p>
    <w:p w14:paraId="1CCD5BBE">
      <w:pPr>
        <w:ind w:firstLine="480"/>
      </w:pPr>
      <w:r>
        <w:t>投标人请于投标截止时间前</w:t>
      </w:r>
      <w:r>
        <w:rPr>
          <w:rFonts w:hint="eastAsia"/>
        </w:rPr>
        <w:t>登录“</w:t>
      </w:r>
      <w:r>
        <w:t>中国煤科电子采购平台</w:t>
      </w:r>
      <w:r>
        <w:rPr>
          <w:rFonts w:hint="eastAsia"/>
        </w:rPr>
        <w:t>”</w:t>
      </w:r>
      <w:r>
        <w:t>进入开标大厅参加开标。所有投标人应提前在线签到并准时完成线上开标。投标人应自行准备参加开标的电脑和网络环境，因电脑或网络原因而导致开标解密失败的，后果由投标人自行承担。</w:t>
      </w:r>
    </w:p>
    <w:p w14:paraId="09666F8C">
      <w:pPr>
        <w:ind w:firstLine="480"/>
      </w:pPr>
      <w:r>
        <w:t>招标代理机构在线主持开标，各投标人在线解密各自投标文件。开标过程记录在案，以存档备查。</w:t>
      </w:r>
    </w:p>
    <w:p w14:paraId="54B64610">
      <w:pPr>
        <w:ind w:firstLine="480"/>
      </w:pPr>
      <w:r>
        <w:t>开标解密时间为30分钟。</w:t>
      </w:r>
    </w:p>
    <w:p w14:paraId="245A45E8">
      <w:pPr>
        <w:ind w:firstLine="480"/>
      </w:pPr>
      <w:r>
        <w:t>宣布开标后，在规定时间内因投标人自身原因，造成投标文件未解密的，视为投标人撤销其投标文件，招标代理机构保留扣除投标保证金的权力。</w:t>
      </w:r>
    </w:p>
    <w:p w14:paraId="0B7BCCC3">
      <w:pPr>
        <w:ind w:firstLine="480"/>
      </w:pPr>
      <w:r>
        <w:t>如遇自然灾害、硬件故障、网络故障、行政要求、外部攻击等非投标人原因平台无法顺利完成开标的，后续安排请等待通知，本平台不承担由此带来的任何责任。</w:t>
      </w:r>
    </w:p>
    <w:p w14:paraId="24754429">
      <w:pPr>
        <w:ind w:firstLine="480"/>
      </w:pPr>
      <w:r>
        <w:t>开标时，公布招标项目名称、投标人名称、投标报价及其他内容，并记录在案。</w:t>
      </w:r>
    </w:p>
    <w:p w14:paraId="0A38C629">
      <w:pPr>
        <w:ind w:firstLine="452"/>
      </w:pPr>
      <w:r>
        <w:rPr>
          <w:spacing w:val="-7"/>
          <w:szCs w:val="21"/>
        </w:rPr>
        <w:t>5.2.2首次招标开标时，投标截止时间前成功递交投标文件的投标人不少于三家，开标继续，否则应重新招标。</w:t>
      </w:r>
    </w:p>
    <w:p w14:paraId="7C88787D">
      <w:pPr>
        <w:ind w:firstLine="480"/>
      </w:pPr>
      <w:r>
        <w:t>5.2.3重新招标后，投标截止时间前成功递交投标文件的投标人不少于三家，开标继续；投标截止时间前成功递交投标文件的投标人少于三家</w:t>
      </w:r>
      <w:r>
        <w:rPr>
          <w:rFonts w:hint="eastAsia"/>
        </w:rPr>
        <w:t>时，按照《中国煤炭科工集团有限公司招标管理办法》第三十二条之规定执行</w:t>
      </w:r>
      <w:r>
        <w:t>。</w:t>
      </w:r>
    </w:p>
    <w:p w14:paraId="2C5B3600">
      <w:pPr>
        <w:pStyle w:val="5"/>
        <w:spacing w:line="240" w:lineRule="auto"/>
        <w:ind w:firstLine="561"/>
      </w:pPr>
      <w:bookmarkStart w:id="767" w:name="_Toc84100890"/>
      <w:bookmarkStart w:id="768" w:name="_Toc16441"/>
      <w:bookmarkStart w:id="769" w:name="_Toc6206"/>
      <w:bookmarkStart w:id="770" w:name="_Toc1778651738"/>
      <w:bookmarkStart w:id="771" w:name="_Toc886374595"/>
      <w:bookmarkStart w:id="772" w:name="_Toc1248123081"/>
      <w:bookmarkStart w:id="773" w:name="_Toc30271"/>
      <w:bookmarkStart w:id="774" w:name="_Toc493465355"/>
      <w:bookmarkStart w:id="775" w:name="_Toc208225242"/>
      <w:bookmarkStart w:id="776" w:name="_Toc31107"/>
      <w:bookmarkStart w:id="777" w:name="_Toc1595573964"/>
      <w:bookmarkStart w:id="778" w:name="_Toc9431"/>
      <w:bookmarkStart w:id="779" w:name="_Toc18890"/>
      <w:bookmarkStart w:id="780" w:name="_Toc923691888"/>
      <w:bookmarkStart w:id="781" w:name="_Toc14101"/>
      <w:r>
        <w:t>5.3开标异议</w:t>
      </w:r>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p>
    <w:p w14:paraId="19C0694B">
      <w:pPr>
        <w:ind w:firstLine="480"/>
      </w:pPr>
      <w:r>
        <w:t>投标人对开标有异议的，应当在开标现场提出，招标人当场作出答复，并制作记录。</w:t>
      </w:r>
    </w:p>
    <w:p w14:paraId="5A9A02E5">
      <w:pPr>
        <w:pStyle w:val="5"/>
        <w:spacing w:line="240" w:lineRule="auto"/>
        <w:ind w:firstLine="561"/>
      </w:pPr>
      <w:bookmarkStart w:id="782" w:name="_Toc18992"/>
      <w:bookmarkStart w:id="783" w:name="_Toc15077"/>
      <w:bookmarkStart w:id="784" w:name="_Toc18940"/>
      <w:bookmarkStart w:id="785" w:name="_Toc90376771"/>
      <w:bookmarkStart w:id="786" w:name="_Toc1390781331"/>
      <w:bookmarkStart w:id="787" w:name="_Toc827394326"/>
      <w:bookmarkStart w:id="788" w:name="_Toc439418504"/>
      <w:bookmarkStart w:id="789" w:name="_Toc584358471"/>
      <w:bookmarkStart w:id="790" w:name="_Toc330277453"/>
      <w:bookmarkStart w:id="791" w:name="_Toc203758926"/>
      <w:bookmarkStart w:id="792" w:name="_Toc1183312859"/>
      <w:bookmarkStart w:id="793" w:name="_Toc8685"/>
      <w:bookmarkStart w:id="794" w:name="_Toc12853"/>
      <w:r>
        <w:t>5.</w:t>
      </w:r>
      <w:r>
        <w:rPr>
          <w:rFonts w:hint="eastAsia"/>
        </w:rPr>
        <w:t>4</w:t>
      </w:r>
      <w:r>
        <w:t>述标</w:t>
      </w:r>
      <w:bookmarkEnd w:id="782"/>
      <w:bookmarkEnd w:id="783"/>
      <w:bookmarkEnd w:id="784"/>
      <w:bookmarkEnd w:id="785"/>
      <w:bookmarkEnd w:id="786"/>
      <w:bookmarkEnd w:id="787"/>
      <w:bookmarkEnd w:id="788"/>
      <w:bookmarkEnd w:id="789"/>
      <w:bookmarkEnd w:id="790"/>
      <w:bookmarkEnd w:id="791"/>
      <w:bookmarkEnd w:id="792"/>
      <w:bookmarkEnd w:id="793"/>
      <w:bookmarkEnd w:id="794"/>
    </w:p>
    <w:p w14:paraId="206D22AC">
      <w:pPr>
        <w:pStyle w:val="2"/>
        <w:ind w:firstLine="480"/>
        <w:rPr>
          <w:sz w:val="24"/>
          <w:szCs w:val="20"/>
        </w:rPr>
      </w:pPr>
      <w:r>
        <w:rPr>
          <w:sz w:val="24"/>
          <w:szCs w:val="20"/>
        </w:rPr>
        <w:t>5.</w:t>
      </w:r>
      <w:r>
        <w:rPr>
          <w:rFonts w:hint="eastAsia"/>
          <w:sz w:val="24"/>
          <w:szCs w:val="20"/>
        </w:rPr>
        <w:t>4</w:t>
      </w:r>
      <w:r>
        <w:rPr>
          <w:sz w:val="24"/>
          <w:szCs w:val="20"/>
        </w:rPr>
        <w:t>.1述标的方式：线下述标或线上述标。</w:t>
      </w:r>
    </w:p>
    <w:p w14:paraId="79B9186D">
      <w:pPr>
        <w:pStyle w:val="2"/>
        <w:ind w:firstLine="480"/>
        <w:rPr>
          <w:sz w:val="24"/>
          <w:szCs w:val="20"/>
        </w:rPr>
      </w:pPr>
      <w:r>
        <w:rPr>
          <w:sz w:val="24"/>
          <w:szCs w:val="20"/>
        </w:rPr>
        <w:t>5.</w:t>
      </w:r>
      <w:r>
        <w:rPr>
          <w:rFonts w:hint="eastAsia"/>
          <w:sz w:val="24"/>
          <w:szCs w:val="20"/>
        </w:rPr>
        <w:t>4</w:t>
      </w:r>
      <w:r>
        <w:rPr>
          <w:sz w:val="24"/>
          <w:szCs w:val="20"/>
        </w:rPr>
        <w:t>.1.1线下述标。投标人应在开标当日规定时间前到达文件中所规定的述标地点，具体述标时间和述标地址见投标人须知前附表。</w:t>
      </w:r>
    </w:p>
    <w:p w14:paraId="59128583">
      <w:pPr>
        <w:pStyle w:val="2"/>
        <w:ind w:firstLine="452"/>
        <w:rPr>
          <w:sz w:val="24"/>
          <w:szCs w:val="20"/>
        </w:rPr>
      </w:pPr>
      <w:r>
        <w:rPr>
          <w:spacing w:val="-7"/>
          <w:sz w:val="24"/>
          <w:szCs w:val="21"/>
        </w:rPr>
        <w:t>5.4.1.2线上述标。投标人将使用腾讯会议在线进行述标。具体述标时间及会议号码将在开标前24小时内由招标代理机构联系人电话通知。</w:t>
      </w:r>
    </w:p>
    <w:p w14:paraId="1FFEC9EA">
      <w:pPr>
        <w:pStyle w:val="2"/>
        <w:ind w:firstLine="452"/>
        <w:rPr>
          <w:sz w:val="24"/>
          <w:szCs w:val="20"/>
        </w:rPr>
      </w:pPr>
      <w:r>
        <w:rPr>
          <w:spacing w:val="-7"/>
          <w:sz w:val="24"/>
          <w:szCs w:val="21"/>
        </w:rPr>
        <w:t>5.4.2述标顺序：按照投标人在中国煤科电子采购平台成功上传投标文件的时间先后顺序排序。</w:t>
      </w:r>
    </w:p>
    <w:p w14:paraId="46C53B9D">
      <w:pPr>
        <w:pStyle w:val="2"/>
        <w:ind w:firstLine="480"/>
        <w:rPr>
          <w:sz w:val="24"/>
          <w:szCs w:val="20"/>
        </w:rPr>
      </w:pPr>
      <w:r>
        <w:rPr>
          <w:sz w:val="24"/>
          <w:szCs w:val="20"/>
        </w:rPr>
        <w:t>5.</w:t>
      </w:r>
      <w:r>
        <w:rPr>
          <w:rFonts w:hint="eastAsia"/>
          <w:sz w:val="24"/>
          <w:szCs w:val="20"/>
        </w:rPr>
        <w:t>4</w:t>
      </w:r>
      <w:r>
        <w:rPr>
          <w:sz w:val="24"/>
          <w:szCs w:val="20"/>
        </w:rPr>
        <w:t>.3述标时间：见投标人须知前附表。</w:t>
      </w:r>
    </w:p>
    <w:p w14:paraId="0DF3C0EF">
      <w:pPr>
        <w:pStyle w:val="2"/>
        <w:ind w:firstLine="480"/>
        <w:rPr>
          <w:sz w:val="24"/>
          <w:szCs w:val="20"/>
        </w:rPr>
      </w:pPr>
      <w:r>
        <w:rPr>
          <w:sz w:val="24"/>
          <w:szCs w:val="20"/>
        </w:rPr>
        <w:t>5.</w:t>
      </w:r>
      <w:r>
        <w:rPr>
          <w:rFonts w:hint="eastAsia"/>
          <w:sz w:val="24"/>
          <w:szCs w:val="20"/>
        </w:rPr>
        <w:t>4</w:t>
      </w:r>
      <w:r>
        <w:rPr>
          <w:sz w:val="24"/>
          <w:szCs w:val="20"/>
        </w:rPr>
        <w:t>.4述标人员：本项目投标人的</w:t>
      </w:r>
      <w:r>
        <w:rPr>
          <w:rFonts w:hint="eastAsia"/>
          <w:sz w:val="24"/>
          <w:szCs w:val="20"/>
        </w:rPr>
        <w:t>法定代表人或其委托代理人</w:t>
      </w:r>
      <w:r>
        <w:rPr>
          <w:sz w:val="24"/>
          <w:szCs w:val="20"/>
        </w:rPr>
        <w:t>必须在场或在线，委托</w:t>
      </w:r>
      <w:r>
        <w:rPr>
          <w:rFonts w:hint="eastAsia"/>
          <w:sz w:val="24"/>
          <w:szCs w:val="20"/>
        </w:rPr>
        <w:t>代理</w:t>
      </w:r>
      <w:r>
        <w:rPr>
          <w:sz w:val="24"/>
          <w:szCs w:val="20"/>
        </w:rPr>
        <w:t>人须提供本人身份证原件备查，具体述标人员要求见投标人须知前附表。</w:t>
      </w:r>
    </w:p>
    <w:p w14:paraId="54F30F85">
      <w:pPr>
        <w:pStyle w:val="5"/>
        <w:spacing w:line="240" w:lineRule="auto"/>
        <w:ind w:firstLine="561"/>
      </w:pPr>
      <w:bookmarkStart w:id="795" w:name="_Toc31664"/>
      <w:bookmarkStart w:id="796" w:name="_Toc870104366"/>
      <w:bookmarkStart w:id="797" w:name="_Toc11230"/>
      <w:bookmarkStart w:id="798" w:name="_Toc25098"/>
      <w:bookmarkStart w:id="799" w:name="_Toc1059822757"/>
      <w:bookmarkStart w:id="800" w:name="_Toc110534695"/>
      <w:bookmarkStart w:id="801" w:name="_Toc30703"/>
      <w:bookmarkStart w:id="802" w:name="_Toc3213"/>
      <w:bookmarkStart w:id="803" w:name="_Toc691451768"/>
      <w:bookmarkStart w:id="804" w:name="_Toc93166346"/>
      <w:bookmarkStart w:id="805" w:name="_Toc1487335964"/>
      <w:bookmarkStart w:id="806" w:name="_Toc1649816169"/>
      <w:bookmarkStart w:id="807" w:name="_Toc1875408723"/>
      <w:r>
        <w:rPr>
          <w:rFonts w:hint="eastAsia"/>
        </w:rPr>
        <w:t>5.5重新招标</w:t>
      </w:r>
      <w:bookmarkEnd w:id="795"/>
      <w:bookmarkEnd w:id="796"/>
      <w:bookmarkEnd w:id="797"/>
      <w:bookmarkEnd w:id="798"/>
      <w:bookmarkEnd w:id="799"/>
      <w:bookmarkEnd w:id="800"/>
      <w:bookmarkEnd w:id="801"/>
      <w:bookmarkEnd w:id="802"/>
      <w:bookmarkEnd w:id="803"/>
      <w:bookmarkEnd w:id="804"/>
      <w:bookmarkEnd w:id="805"/>
      <w:bookmarkEnd w:id="806"/>
      <w:bookmarkEnd w:id="807"/>
    </w:p>
    <w:p w14:paraId="2FC0DB15">
      <w:pPr>
        <w:pStyle w:val="2"/>
        <w:ind w:firstLine="480"/>
        <w:rPr>
          <w:sz w:val="24"/>
          <w:szCs w:val="20"/>
        </w:rPr>
      </w:pPr>
      <w:r>
        <w:rPr>
          <w:sz w:val="24"/>
          <w:szCs w:val="20"/>
        </w:rPr>
        <w:t>首次发布招标公告后，如出现以下情况之一，应当依法重新招标：</w:t>
      </w:r>
    </w:p>
    <w:p w14:paraId="6E288395">
      <w:pPr>
        <w:pStyle w:val="2"/>
        <w:ind w:firstLine="480"/>
        <w:rPr>
          <w:sz w:val="24"/>
          <w:szCs w:val="20"/>
        </w:rPr>
      </w:pPr>
      <w:r>
        <w:rPr>
          <w:sz w:val="24"/>
          <w:szCs w:val="20"/>
        </w:rPr>
        <w:t>（</w:t>
      </w:r>
      <w:r>
        <w:rPr>
          <w:rFonts w:hint="eastAsia"/>
          <w:sz w:val="24"/>
          <w:szCs w:val="20"/>
        </w:rPr>
        <w:t>1</w:t>
      </w:r>
      <w:r>
        <w:rPr>
          <w:sz w:val="24"/>
          <w:szCs w:val="20"/>
        </w:rPr>
        <w:t>）购买招标文件的潜在投标人少于三个的；</w:t>
      </w:r>
    </w:p>
    <w:p w14:paraId="3D631C38">
      <w:pPr>
        <w:pStyle w:val="2"/>
        <w:ind w:firstLine="480"/>
        <w:rPr>
          <w:sz w:val="24"/>
          <w:szCs w:val="20"/>
        </w:rPr>
      </w:pPr>
      <w:r>
        <w:rPr>
          <w:sz w:val="24"/>
          <w:szCs w:val="20"/>
        </w:rPr>
        <w:t>（</w:t>
      </w:r>
      <w:r>
        <w:rPr>
          <w:rFonts w:hint="eastAsia"/>
          <w:sz w:val="24"/>
          <w:szCs w:val="20"/>
        </w:rPr>
        <w:t>2</w:t>
      </w:r>
      <w:r>
        <w:rPr>
          <w:sz w:val="24"/>
          <w:szCs w:val="20"/>
        </w:rPr>
        <w:t>）按时递交投标文件的投标人少于三个的；</w:t>
      </w:r>
    </w:p>
    <w:p w14:paraId="73415F99">
      <w:pPr>
        <w:pStyle w:val="2"/>
        <w:ind w:firstLine="480"/>
        <w:rPr>
          <w:sz w:val="24"/>
          <w:szCs w:val="20"/>
        </w:rPr>
      </w:pPr>
      <w:r>
        <w:rPr>
          <w:sz w:val="24"/>
          <w:szCs w:val="20"/>
        </w:rPr>
        <w:t>（</w:t>
      </w:r>
      <w:r>
        <w:rPr>
          <w:rFonts w:hint="eastAsia"/>
          <w:sz w:val="24"/>
          <w:szCs w:val="20"/>
        </w:rPr>
        <w:t>3</w:t>
      </w:r>
      <w:r>
        <w:rPr>
          <w:sz w:val="24"/>
          <w:szCs w:val="20"/>
        </w:rPr>
        <w:t>）经评标委员会评审，所有投标人均不符合招标文件要求；</w:t>
      </w:r>
    </w:p>
    <w:p w14:paraId="17E2A74E">
      <w:pPr>
        <w:pStyle w:val="2"/>
        <w:ind w:firstLine="480"/>
        <w:rPr>
          <w:sz w:val="24"/>
          <w:szCs w:val="20"/>
        </w:rPr>
      </w:pPr>
      <w:r>
        <w:rPr>
          <w:sz w:val="24"/>
          <w:szCs w:val="20"/>
        </w:rPr>
        <w:t>（</w:t>
      </w:r>
      <w:r>
        <w:rPr>
          <w:rFonts w:hint="eastAsia"/>
          <w:sz w:val="24"/>
          <w:szCs w:val="20"/>
        </w:rPr>
        <w:t>4</w:t>
      </w:r>
      <w:r>
        <w:rPr>
          <w:sz w:val="24"/>
          <w:szCs w:val="20"/>
        </w:rPr>
        <w:t>）经评标委员会评审，仅有一个投标人满足招标文件要求；</w:t>
      </w:r>
    </w:p>
    <w:p w14:paraId="2A1FB4EC">
      <w:pPr>
        <w:pStyle w:val="2"/>
        <w:ind w:firstLine="480"/>
        <w:rPr>
          <w:sz w:val="24"/>
          <w:szCs w:val="20"/>
        </w:rPr>
      </w:pPr>
      <w:r>
        <w:rPr>
          <w:sz w:val="24"/>
          <w:szCs w:val="20"/>
        </w:rPr>
        <w:t>（</w:t>
      </w:r>
      <w:r>
        <w:rPr>
          <w:rFonts w:hint="eastAsia"/>
          <w:sz w:val="24"/>
          <w:szCs w:val="20"/>
        </w:rPr>
        <w:t>5</w:t>
      </w:r>
      <w:r>
        <w:rPr>
          <w:sz w:val="24"/>
          <w:szCs w:val="20"/>
        </w:rPr>
        <w:t>）经评标委员会评审，仅有两个投标人满足招标文件要求，但经评标委员会认定投标明显缺乏竞争性，不适宜继续评标。</w:t>
      </w:r>
    </w:p>
    <w:p w14:paraId="41B271C6">
      <w:pPr>
        <w:pStyle w:val="4"/>
        <w:spacing w:before="312" w:after="312"/>
        <w:ind w:firstLine="641"/>
        <w:rPr>
          <w:rFonts w:ascii="Times New Roman" w:hAnsi="Times New Roman"/>
        </w:rPr>
      </w:pPr>
      <w:bookmarkStart w:id="808" w:name="_Toc1195850859"/>
      <w:bookmarkStart w:id="809" w:name="_Toc1304449524"/>
      <w:bookmarkStart w:id="810" w:name="_Toc331198559"/>
      <w:bookmarkStart w:id="811" w:name="_Toc1627926939"/>
      <w:bookmarkStart w:id="812" w:name="_Toc1211708681"/>
      <w:bookmarkStart w:id="813" w:name="_Toc1376920442"/>
      <w:bookmarkStart w:id="814" w:name="_Toc183264210"/>
      <w:bookmarkStart w:id="815" w:name="_Toc28669"/>
      <w:bookmarkStart w:id="816" w:name="_Toc20842"/>
      <w:bookmarkStart w:id="817" w:name="_Toc32416"/>
      <w:bookmarkStart w:id="818" w:name="_Toc627"/>
      <w:bookmarkStart w:id="819" w:name="_Toc1944"/>
      <w:bookmarkStart w:id="820" w:name="_Toc16742"/>
      <w:bookmarkStart w:id="821" w:name="_Toc30637"/>
      <w:bookmarkStart w:id="822" w:name="_Toc151502319"/>
      <w:bookmarkStart w:id="823" w:name="_Toc945895868"/>
      <w:r>
        <w:rPr>
          <w:rFonts w:ascii="Times New Roman" w:hAnsi="Times New Roman"/>
        </w:rPr>
        <w:t>6.评标</w:t>
      </w:r>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p>
    <w:p w14:paraId="25B5F18C">
      <w:pPr>
        <w:pStyle w:val="5"/>
        <w:spacing w:line="240" w:lineRule="auto"/>
        <w:ind w:firstLine="561"/>
      </w:pPr>
      <w:bookmarkStart w:id="824" w:name="_Toc176568089"/>
      <w:bookmarkStart w:id="825" w:name="_Toc618088622"/>
      <w:bookmarkStart w:id="826" w:name="_Toc31982"/>
      <w:bookmarkStart w:id="827" w:name="_Toc1278"/>
      <w:bookmarkStart w:id="828" w:name="_Toc600377066"/>
      <w:bookmarkStart w:id="829" w:name="_Toc24211"/>
      <w:bookmarkStart w:id="830" w:name="_Toc13824"/>
      <w:bookmarkStart w:id="831" w:name="_Toc1626400993"/>
      <w:bookmarkStart w:id="832" w:name="_Toc1997898382"/>
      <w:bookmarkStart w:id="833" w:name="_Toc1531353738"/>
      <w:bookmarkStart w:id="834" w:name="_Toc630027672"/>
      <w:bookmarkStart w:id="835" w:name="_Toc31502"/>
      <w:bookmarkStart w:id="836" w:name="_Toc365934940"/>
      <w:bookmarkStart w:id="837" w:name="_Toc16099"/>
      <w:bookmarkStart w:id="838" w:name="_Toc11621"/>
      <w:r>
        <w:t>6.1评标委员会</w:t>
      </w:r>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p>
    <w:p w14:paraId="4974B177">
      <w:pPr>
        <w:ind w:firstLine="480"/>
      </w:pPr>
      <w:r>
        <w:t>6.1.1本项目评标委员会成员人数为5人，由1名招标人代表和4名经济技术方面的专家共同组成。经济和技术方面的专家评委不少于成员总数的三分之二。其中，经济和技术方面的专家评委在开标前24小时内由中国煤炭科工集团有限公司的评标专家库中随机抽取产生。</w:t>
      </w:r>
    </w:p>
    <w:p w14:paraId="798135DD">
      <w:pPr>
        <w:ind w:firstLine="480"/>
      </w:pPr>
      <w:r>
        <w:t>6.1.2评标委员会成员有下列情形之一的，应当回避：</w:t>
      </w:r>
    </w:p>
    <w:p w14:paraId="565B1421">
      <w:pPr>
        <w:ind w:firstLine="480"/>
      </w:pPr>
      <w:r>
        <w:t>（1）投标人或投标人主要负责人的近亲属；</w:t>
      </w:r>
    </w:p>
    <w:p w14:paraId="121E97B5">
      <w:pPr>
        <w:ind w:firstLine="480"/>
      </w:pPr>
      <w:r>
        <w:t>（2）项目主管部门或者行政监督部门的人员；</w:t>
      </w:r>
    </w:p>
    <w:p w14:paraId="5FAE459D">
      <w:pPr>
        <w:ind w:firstLine="480"/>
      </w:pPr>
      <w:r>
        <w:t>（3）与投标人有经济利益关系，可能影响对投标公正评审的；</w:t>
      </w:r>
    </w:p>
    <w:p w14:paraId="0D0936F5">
      <w:pPr>
        <w:ind w:firstLine="480"/>
      </w:pPr>
      <w:r>
        <w:t>（4）曾因在招标、评</w:t>
      </w:r>
      <w:bookmarkStart w:id="839" w:name="_Toc144974523"/>
      <w:bookmarkStart w:id="840" w:name="_Toc152042331"/>
      <w:bookmarkStart w:id="841" w:name="_Toc369531543"/>
      <w:bookmarkStart w:id="842" w:name="_Toc247513979"/>
      <w:bookmarkStart w:id="843" w:name="_Toc247527580"/>
      <w:bookmarkStart w:id="844" w:name="_Toc6230"/>
      <w:bookmarkStart w:id="845" w:name="_Toc152045555"/>
      <w:bookmarkStart w:id="846" w:name="_Toc361508612"/>
      <w:bookmarkStart w:id="847" w:name="_Toc352691499"/>
      <w:bookmarkStart w:id="848" w:name="_Toc300834976"/>
      <w:bookmarkStart w:id="849" w:name="_Toc384308237"/>
      <w:r>
        <w:t>标以及其他</w:t>
      </w:r>
      <w:bookmarkEnd w:id="839"/>
      <w:bookmarkEnd w:id="840"/>
      <w:bookmarkEnd w:id="841"/>
      <w:bookmarkEnd w:id="842"/>
      <w:bookmarkEnd w:id="843"/>
      <w:bookmarkEnd w:id="844"/>
      <w:bookmarkEnd w:id="845"/>
      <w:bookmarkEnd w:id="846"/>
      <w:bookmarkEnd w:id="847"/>
      <w:bookmarkEnd w:id="848"/>
      <w:bookmarkEnd w:id="849"/>
      <w:r>
        <w:t>与</w:t>
      </w:r>
      <w:bookmarkStart w:id="850" w:name="_Toc152045556"/>
      <w:bookmarkStart w:id="851" w:name="_Toc361508613"/>
      <w:bookmarkStart w:id="852" w:name="_Toc352691500"/>
      <w:bookmarkStart w:id="853" w:name="_Toc152042332"/>
      <w:bookmarkStart w:id="854" w:name="_Toc247513980"/>
      <w:bookmarkStart w:id="855" w:name="_Toc247527581"/>
      <w:bookmarkStart w:id="856" w:name="_Toc17703"/>
      <w:bookmarkStart w:id="857" w:name="_Toc384308238"/>
      <w:bookmarkStart w:id="858" w:name="_Toc369531544"/>
      <w:bookmarkStart w:id="859" w:name="_Toc144974524"/>
      <w:bookmarkStart w:id="860" w:name="_Toc300834977"/>
      <w:r>
        <w:t>招标投标有关活动中从事违法行</w:t>
      </w:r>
      <w:bookmarkEnd w:id="850"/>
      <w:bookmarkEnd w:id="851"/>
      <w:bookmarkEnd w:id="852"/>
      <w:bookmarkEnd w:id="853"/>
      <w:bookmarkEnd w:id="854"/>
      <w:bookmarkEnd w:id="855"/>
      <w:bookmarkEnd w:id="856"/>
      <w:bookmarkEnd w:id="857"/>
      <w:bookmarkEnd w:id="858"/>
      <w:bookmarkEnd w:id="859"/>
      <w:bookmarkEnd w:id="860"/>
      <w:r>
        <w:t>为而受过行政处罚或刑事处罚的；</w:t>
      </w:r>
    </w:p>
    <w:p w14:paraId="031E4473">
      <w:pPr>
        <w:ind w:firstLine="480"/>
      </w:pPr>
      <w:r>
        <w:t>（5）与投标人有其他利害关系。</w:t>
      </w:r>
    </w:p>
    <w:p w14:paraId="6192CDAD">
      <w:pPr>
        <w:ind w:firstLine="480"/>
      </w:pPr>
      <w:r>
        <w:t>6.1.3评标过程中，评标委员会成员有回避事由、擅离职守或者因健康等原因不能继续评标的，招标人有权更换。被更换的评标委员会成员作出的评审结论无效，由更换后的评标委员会成员重新进行评审。</w:t>
      </w:r>
    </w:p>
    <w:p w14:paraId="0D7AE44E">
      <w:pPr>
        <w:pStyle w:val="5"/>
        <w:spacing w:line="240" w:lineRule="auto"/>
        <w:ind w:firstLine="561"/>
      </w:pPr>
      <w:bookmarkStart w:id="861" w:name="_Toc21236"/>
      <w:bookmarkStart w:id="862" w:name="_Toc12102"/>
      <w:bookmarkStart w:id="863" w:name="_Toc1780703594"/>
      <w:bookmarkStart w:id="864" w:name="_Toc8556"/>
      <w:bookmarkStart w:id="865" w:name="_Toc11058"/>
      <w:bookmarkStart w:id="866" w:name="_Toc2022855219"/>
      <w:bookmarkStart w:id="867" w:name="_Toc1749630335"/>
      <w:bookmarkStart w:id="868" w:name="_Toc1659174656"/>
      <w:bookmarkStart w:id="869" w:name="_Toc1904955316"/>
      <w:bookmarkStart w:id="870" w:name="_Toc18771"/>
      <w:bookmarkStart w:id="871" w:name="_Toc31158"/>
      <w:bookmarkStart w:id="872" w:name="_Toc837069415"/>
      <w:bookmarkStart w:id="873" w:name="_Toc623801782"/>
      <w:bookmarkStart w:id="874" w:name="_Toc2018248918"/>
      <w:bookmarkStart w:id="875" w:name="_Toc9708"/>
      <w:r>
        <w:t>6.2评标原则</w:t>
      </w:r>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
    <w:p w14:paraId="7FA1DA29">
      <w:pPr>
        <w:ind w:firstLine="480"/>
      </w:pPr>
      <w:r>
        <w:t>评标活动遵循公平、公正、科学和择优的原</w:t>
      </w:r>
      <w:bookmarkStart w:id="876" w:name="_Toc144974525"/>
      <w:bookmarkStart w:id="877" w:name="_Toc361508614"/>
      <w:bookmarkStart w:id="878" w:name="_Toc18949"/>
      <w:bookmarkStart w:id="879" w:name="_Toc247513981"/>
      <w:bookmarkStart w:id="880" w:name="_Toc369531545"/>
      <w:bookmarkStart w:id="881" w:name="_Toc384308239"/>
      <w:bookmarkStart w:id="882" w:name="_Toc247527582"/>
      <w:bookmarkStart w:id="883" w:name="_Toc352691501"/>
      <w:bookmarkStart w:id="884" w:name="_Toc300834978"/>
      <w:bookmarkStart w:id="885" w:name="_Toc152042333"/>
      <w:bookmarkStart w:id="886" w:name="_Toc152045557"/>
      <w:r>
        <w:t>则。</w:t>
      </w:r>
    </w:p>
    <w:p w14:paraId="2DF6B244">
      <w:pPr>
        <w:pStyle w:val="5"/>
        <w:spacing w:line="240" w:lineRule="auto"/>
        <w:ind w:firstLine="561"/>
      </w:pPr>
      <w:bookmarkStart w:id="887" w:name="_Toc1897786536"/>
      <w:bookmarkStart w:id="888" w:name="_Toc953199766"/>
      <w:bookmarkStart w:id="889" w:name="_Toc27754"/>
      <w:bookmarkStart w:id="890" w:name="_Toc460286408"/>
      <w:bookmarkStart w:id="891" w:name="_Toc6468"/>
      <w:bookmarkStart w:id="892" w:name="_Toc673287097"/>
      <w:bookmarkStart w:id="893" w:name="_Toc221385420"/>
      <w:bookmarkStart w:id="894" w:name="_Toc543461974"/>
      <w:bookmarkStart w:id="895" w:name="_Toc31938"/>
      <w:bookmarkStart w:id="896" w:name="_Toc1314050076"/>
      <w:bookmarkStart w:id="897" w:name="_Toc2098"/>
      <w:bookmarkStart w:id="898" w:name="_Toc1205360461"/>
      <w:bookmarkStart w:id="899" w:name="_Toc2"/>
      <w:bookmarkStart w:id="900" w:name="_Toc16717"/>
      <w:bookmarkStart w:id="901" w:name="_Toc28582"/>
      <w:r>
        <w:t>6.3评标</w:t>
      </w:r>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p>
    <w:p w14:paraId="1EB3A8EA">
      <w:pPr>
        <w:ind w:firstLine="480"/>
      </w:pPr>
      <w:r>
        <w:t>6</w:t>
      </w:r>
      <w:bookmarkEnd w:id="876"/>
      <w:bookmarkEnd w:id="877"/>
      <w:bookmarkEnd w:id="878"/>
      <w:bookmarkEnd w:id="879"/>
      <w:bookmarkEnd w:id="880"/>
      <w:bookmarkEnd w:id="881"/>
      <w:bookmarkEnd w:id="882"/>
      <w:bookmarkEnd w:id="883"/>
      <w:bookmarkEnd w:id="884"/>
      <w:bookmarkEnd w:id="885"/>
      <w:bookmarkEnd w:id="886"/>
      <w:r>
        <w:t>.3.1评标委员会按照第三章“评标办法”规定的方法、评审因素、标准和程序对投标文件进行评审。第三章“评标办法”没有规定的方法、评审因素和标准，不作为评标依据。</w:t>
      </w:r>
    </w:p>
    <w:p w14:paraId="68FA4AA2">
      <w:pPr>
        <w:ind w:firstLine="480"/>
        <w:jc w:val="left"/>
      </w:pPr>
      <w:r>
        <w:rPr>
          <w:rFonts w:hint="eastAsia"/>
        </w:rPr>
        <w:t>6.3.2</w:t>
      </w:r>
      <w:r>
        <w:t>评标委员会判断投标文件的响应性仅基于投标文件本身而不靠外部证据。</w:t>
      </w:r>
    </w:p>
    <w:p w14:paraId="21099999">
      <w:pPr>
        <w:ind w:firstLine="480"/>
        <w:jc w:val="left"/>
      </w:pPr>
      <w:r>
        <w:rPr>
          <w:rFonts w:hint="eastAsia"/>
        </w:rPr>
        <w:t>6.3.3</w:t>
      </w:r>
      <w:r>
        <w:t>评标委员会拒绝被确定为非实质性响应的投标，投标人不能通过修正或撤销不符之处而使其投标成为实质性响应的投标。</w:t>
      </w:r>
    </w:p>
    <w:p w14:paraId="16C14CE8">
      <w:pPr>
        <w:ind w:firstLine="480"/>
      </w:pPr>
      <w:r>
        <w:t>6.3.</w:t>
      </w:r>
      <w:r>
        <w:rPr>
          <w:rFonts w:hint="eastAsia"/>
        </w:rPr>
        <w:t>4</w:t>
      </w:r>
      <w:r>
        <w:t>评标完成后，评标委员会应当向招标人提交书面评标报告和中标候选人名单。评标委员会推荐中标</w:t>
      </w:r>
      <w:bookmarkStart w:id="902" w:name="_Toc152042334"/>
      <w:bookmarkStart w:id="903" w:name="_Toc300834979"/>
      <w:bookmarkStart w:id="904" w:name="_Toc247527583"/>
      <w:bookmarkStart w:id="905" w:name="_Toc152045558"/>
      <w:bookmarkStart w:id="906" w:name="_Toc12259"/>
      <w:bookmarkStart w:id="907" w:name="_Toc247513982"/>
      <w:bookmarkStart w:id="908" w:name="_Toc369531546"/>
      <w:bookmarkStart w:id="909" w:name="_Toc361508615"/>
      <w:bookmarkStart w:id="910" w:name="_Toc352691502"/>
      <w:bookmarkStart w:id="911" w:name="_Toc384308240"/>
      <w:bookmarkStart w:id="912" w:name="_Toc144974526"/>
      <w:r>
        <w:t>候选人的人数见投标人须知前附</w:t>
      </w:r>
      <w:bookmarkEnd w:id="902"/>
      <w:bookmarkEnd w:id="903"/>
      <w:bookmarkEnd w:id="904"/>
      <w:bookmarkEnd w:id="905"/>
      <w:bookmarkEnd w:id="906"/>
      <w:bookmarkEnd w:id="907"/>
      <w:bookmarkEnd w:id="908"/>
      <w:bookmarkEnd w:id="909"/>
      <w:bookmarkEnd w:id="910"/>
      <w:bookmarkEnd w:id="911"/>
      <w:bookmarkEnd w:id="912"/>
      <w:r>
        <w:t>表。</w:t>
      </w:r>
    </w:p>
    <w:p w14:paraId="6D88F03E">
      <w:pPr>
        <w:pStyle w:val="5"/>
        <w:spacing w:line="240" w:lineRule="auto"/>
        <w:ind w:firstLine="561"/>
      </w:pPr>
      <w:bookmarkStart w:id="913" w:name="_Toc8471"/>
      <w:bookmarkStart w:id="914" w:name="_Toc517801584"/>
      <w:bookmarkStart w:id="915" w:name="_Toc797562762"/>
      <w:bookmarkStart w:id="916" w:name="_Toc1671185308"/>
      <w:bookmarkStart w:id="917" w:name="_Toc200460542"/>
      <w:bookmarkStart w:id="918" w:name="_Toc20936"/>
      <w:bookmarkStart w:id="919" w:name="_Toc532"/>
      <w:bookmarkStart w:id="920" w:name="_Toc18387"/>
      <w:bookmarkStart w:id="921" w:name="_Toc1383077336"/>
      <w:bookmarkStart w:id="922" w:name="_Toc1280025876"/>
      <w:bookmarkStart w:id="923" w:name="_Toc717446327"/>
      <w:bookmarkStart w:id="924" w:name="_Toc17584"/>
      <w:bookmarkStart w:id="925" w:name="_Toc844903236"/>
      <w:r>
        <w:rPr>
          <w:rFonts w:hint="eastAsia"/>
        </w:rPr>
        <w:t>6.4</w:t>
      </w:r>
      <w:r>
        <w:t>评标纪律</w:t>
      </w:r>
      <w:bookmarkEnd w:id="913"/>
      <w:bookmarkEnd w:id="914"/>
      <w:bookmarkEnd w:id="915"/>
      <w:bookmarkEnd w:id="916"/>
      <w:bookmarkEnd w:id="917"/>
      <w:bookmarkEnd w:id="918"/>
      <w:bookmarkEnd w:id="919"/>
      <w:bookmarkEnd w:id="920"/>
      <w:bookmarkEnd w:id="921"/>
      <w:bookmarkEnd w:id="922"/>
      <w:bookmarkEnd w:id="923"/>
      <w:bookmarkEnd w:id="924"/>
      <w:bookmarkEnd w:id="925"/>
    </w:p>
    <w:p w14:paraId="5D5AFAFD">
      <w:pPr>
        <w:ind w:firstLine="480"/>
      </w:pPr>
      <w:r>
        <w:rPr>
          <w:rFonts w:hint="eastAsia"/>
        </w:rPr>
        <w:t>6.4.1</w:t>
      </w:r>
      <w:r>
        <w:t>评标委员会成员应当客观、公正地履行职责，遵守职业道德，对所提出的评审意见承担个人责任。</w:t>
      </w:r>
    </w:p>
    <w:p w14:paraId="52E14A08">
      <w:pPr>
        <w:ind w:firstLine="480"/>
      </w:pPr>
      <w:r>
        <w:rPr>
          <w:rFonts w:hint="eastAsia"/>
        </w:rPr>
        <w:t>6.4.2</w:t>
      </w:r>
      <w:r>
        <w:t>评标委员会成员和与评标活动有关的工作人员不得向任何投标人或与评标工作无关的人员透露与评标有关的任何情况，评标工作在保密的情况下进行。</w:t>
      </w:r>
    </w:p>
    <w:p w14:paraId="5AD957B0">
      <w:pPr>
        <w:ind w:firstLine="452"/>
      </w:pPr>
      <w:r>
        <w:rPr>
          <w:spacing w:val="-7"/>
          <w:szCs w:val="21"/>
        </w:rPr>
        <w:t>6.4.3评标委员会在评标过程中发现问题，应及时作出处理或者向招标人提出处理意见，并作书面记录。</w:t>
      </w:r>
    </w:p>
    <w:p w14:paraId="2640EF1C">
      <w:pPr>
        <w:ind w:firstLine="452"/>
      </w:pPr>
      <w:r>
        <w:rPr>
          <w:spacing w:val="-7"/>
          <w:szCs w:val="21"/>
        </w:rPr>
        <w:t>6.4.4评标委员会成员应独自对投标文件的资信、技术部分,进行评审，并作出书面意见。</w:t>
      </w:r>
    </w:p>
    <w:p w14:paraId="4CB738FD">
      <w:pPr>
        <w:ind w:firstLine="452"/>
      </w:pPr>
      <w:r>
        <w:rPr>
          <w:spacing w:val="-7"/>
          <w:szCs w:val="21"/>
        </w:rPr>
        <w:t>6.4.5评标委员会完成评标后，由评标委员会负责人起草书面评标报告，记录整个评标过程的基本情况，阐明评标委员会对各投标文件的评审和比较意见及推荐经过排序的中标候选人情况，评标报告由评标委员会全体成员签字。</w:t>
      </w:r>
    </w:p>
    <w:p w14:paraId="116BAE86">
      <w:pPr>
        <w:ind w:firstLine="452"/>
      </w:pPr>
      <w:r>
        <w:rPr>
          <w:spacing w:val="-7"/>
          <w:szCs w:val="21"/>
        </w:rPr>
        <w:t>6.4.6对评标结论持有异议的评标委员会成员可以书面方式阐述其不同意见和理由。评标委员会成员拒绝在评标报告上签字且不陈述其不同意见和理由的，视为同意评标结论。评标委员会应当对此作出书面说明。</w:t>
      </w:r>
    </w:p>
    <w:p w14:paraId="53697AEB">
      <w:pPr>
        <w:ind w:firstLine="452"/>
      </w:pPr>
      <w:r>
        <w:rPr>
          <w:spacing w:val="-7"/>
          <w:szCs w:val="21"/>
        </w:rPr>
        <w:t>6.4.7若评标委员会出现争议时，执行少数服从多数原则，每位评委应当对自己所做的结论承担责任。</w:t>
      </w:r>
    </w:p>
    <w:p w14:paraId="2D822DA1">
      <w:pPr>
        <w:ind w:firstLine="452"/>
      </w:pPr>
      <w:bookmarkStart w:id="926" w:name="_Toc672852443"/>
      <w:bookmarkStart w:id="927" w:name="_Toc1087484644"/>
      <w:bookmarkStart w:id="928" w:name="_Toc222597645"/>
      <w:bookmarkStart w:id="929" w:name="_Toc2051205933"/>
      <w:bookmarkStart w:id="930" w:name="_Toc1017791024"/>
      <w:bookmarkStart w:id="931" w:name="_Toc30250"/>
      <w:bookmarkStart w:id="932" w:name="_Toc2147223631"/>
      <w:bookmarkStart w:id="933" w:name="_Toc21521"/>
      <w:bookmarkStart w:id="934" w:name="_Toc1885970898"/>
      <w:bookmarkStart w:id="935" w:name="_Toc20650"/>
      <w:bookmarkStart w:id="936" w:name="_Toc1126813488"/>
      <w:bookmarkStart w:id="937" w:name="_Toc44416360"/>
      <w:r>
        <w:rPr>
          <w:spacing w:val="-7"/>
          <w:szCs w:val="21"/>
        </w:rPr>
        <w:t>6.4.8评标委员会依据有关法律法规，按照本评标办法对投标人递交的投标文件进行系统的评审和比较，向招标人推荐中标候选人。</w:t>
      </w:r>
    </w:p>
    <w:p w14:paraId="28F0F956">
      <w:pPr>
        <w:pStyle w:val="4"/>
        <w:spacing w:before="312" w:after="312"/>
        <w:ind w:firstLine="641"/>
        <w:rPr>
          <w:rFonts w:ascii="Times New Roman" w:hAnsi="Times New Roman"/>
        </w:rPr>
      </w:pPr>
      <w:bookmarkStart w:id="938" w:name="_Toc9028"/>
      <w:bookmarkStart w:id="939" w:name="_Toc6500"/>
      <w:bookmarkStart w:id="940" w:name="_Toc25355"/>
      <w:bookmarkStart w:id="941" w:name="_Toc7699"/>
      <w:r>
        <w:rPr>
          <w:rFonts w:ascii="Times New Roman" w:hAnsi="Times New Roman"/>
        </w:rPr>
        <w:t>7.合同授予</w:t>
      </w:r>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p>
    <w:p w14:paraId="3BC8D2E2">
      <w:pPr>
        <w:pStyle w:val="5"/>
        <w:spacing w:line="240" w:lineRule="auto"/>
        <w:ind w:firstLine="561"/>
      </w:pPr>
      <w:bookmarkStart w:id="942" w:name="_Toc8494"/>
      <w:bookmarkStart w:id="943" w:name="_Toc121092091"/>
      <w:bookmarkStart w:id="944" w:name="_Toc654252966"/>
      <w:bookmarkStart w:id="945" w:name="_Toc29836"/>
      <w:bookmarkStart w:id="946" w:name="_Toc2209"/>
      <w:bookmarkStart w:id="947" w:name="_Toc1063130640"/>
      <w:bookmarkStart w:id="948" w:name="_Toc2129608046"/>
      <w:bookmarkStart w:id="949" w:name="_Toc5489"/>
      <w:bookmarkStart w:id="950" w:name="_Toc2072362029"/>
      <w:bookmarkStart w:id="951" w:name="_Toc1843493570"/>
      <w:bookmarkStart w:id="952" w:name="_Toc20236"/>
      <w:bookmarkStart w:id="953" w:name="_Toc1306492013"/>
      <w:bookmarkStart w:id="954" w:name="_Toc25109"/>
      <w:bookmarkStart w:id="955" w:name="_Toc1736"/>
      <w:bookmarkStart w:id="956" w:name="_Toc1328937011"/>
      <w:r>
        <w:t>7.1中标候选人公示</w:t>
      </w:r>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1E20B2F9">
      <w:pPr>
        <w:ind w:firstLine="480"/>
      </w:pPr>
      <w:r>
        <w:t>招标人或招标代理机构应按照投标人须知前附表规定的公示媒介和期限公示中标候选人，公示期不得少于3日。</w:t>
      </w:r>
    </w:p>
    <w:p w14:paraId="2A61F5E9">
      <w:pPr>
        <w:pStyle w:val="5"/>
        <w:spacing w:line="240" w:lineRule="auto"/>
        <w:ind w:firstLine="561"/>
      </w:pPr>
      <w:bookmarkStart w:id="957" w:name="_Toc21190"/>
      <w:bookmarkStart w:id="958" w:name="_Toc972723440"/>
      <w:bookmarkStart w:id="959" w:name="_Toc13986"/>
      <w:bookmarkStart w:id="960" w:name="_Toc6621"/>
      <w:bookmarkStart w:id="961" w:name="_Toc913326922"/>
      <w:bookmarkStart w:id="962" w:name="_Toc11869"/>
      <w:bookmarkStart w:id="963" w:name="_Toc1849855721"/>
      <w:bookmarkStart w:id="964" w:name="_Toc1527759728"/>
      <w:bookmarkStart w:id="965" w:name="_Toc190971916"/>
      <w:bookmarkStart w:id="966" w:name="_Toc19686"/>
      <w:bookmarkStart w:id="967" w:name="_Toc20652"/>
      <w:bookmarkStart w:id="968" w:name="_Toc1614415077"/>
      <w:bookmarkStart w:id="969" w:name="_Toc151350710"/>
      <w:bookmarkStart w:id="970" w:name="_Toc212484573"/>
      <w:bookmarkStart w:id="971" w:name="_Toc23634"/>
      <w:r>
        <w:t>7.2评标结果异议</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p>
    <w:p w14:paraId="65D04E17">
      <w:pPr>
        <w:ind w:firstLine="480"/>
      </w:pPr>
      <w:r>
        <w:t>投标人或者其他利</w:t>
      </w:r>
      <w:bookmarkStart w:id="972" w:name="_Toc152045561"/>
      <w:bookmarkStart w:id="973" w:name="_Toc352691505"/>
      <w:bookmarkStart w:id="974" w:name="_Toc30095"/>
      <w:bookmarkStart w:id="975" w:name="_Toc152042337"/>
      <w:bookmarkStart w:id="976" w:name="_Toc247513985"/>
      <w:bookmarkStart w:id="977" w:name="_Toc384308243"/>
      <w:bookmarkStart w:id="978" w:name="_Toc369531549"/>
      <w:bookmarkStart w:id="979" w:name="_Toc361508618"/>
      <w:bookmarkStart w:id="980" w:name="_Toc144974529"/>
      <w:bookmarkStart w:id="981" w:name="_Toc300834982"/>
      <w:bookmarkStart w:id="982" w:name="_Toc247527586"/>
      <w:r>
        <w:t>害关系人对评标结</w:t>
      </w:r>
      <w:bookmarkEnd w:id="972"/>
      <w:bookmarkEnd w:id="973"/>
      <w:bookmarkEnd w:id="974"/>
      <w:bookmarkEnd w:id="975"/>
      <w:bookmarkEnd w:id="976"/>
      <w:bookmarkEnd w:id="977"/>
      <w:bookmarkEnd w:id="978"/>
      <w:bookmarkEnd w:id="979"/>
      <w:bookmarkEnd w:id="980"/>
      <w:bookmarkEnd w:id="981"/>
      <w:bookmarkEnd w:id="982"/>
      <w:r>
        <w:t>果有异议的，应当在中标候选人公示期间提出。招标人将在收到异议之日起3日内作出答复；作出答复前，将暂停招标投标活动。</w:t>
      </w:r>
    </w:p>
    <w:p w14:paraId="56A46DCD">
      <w:pPr>
        <w:pStyle w:val="5"/>
        <w:spacing w:line="240" w:lineRule="auto"/>
        <w:ind w:firstLine="561"/>
      </w:pPr>
      <w:bookmarkStart w:id="983" w:name="_Toc27102"/>
      <w:bookmarkStart w:id="984" w:name="_Toc15124"/>
      <w:bookmarkStart w:id="985" w:name="_Toc1404345228"/>
      <w:bookmarkStart w:id="986" w:name="_Toc18319294"/>
      <w:bookmarkStart w:id="987" w:name="_Toc25992"/>
      <w:bookmarkStart w:id="988" w:name="_Toc27647"/>
      <w:bookmarkStart w:id="989" w:name="_Toc25297"/>
      <w:bookmarkStart w:id="990" w:name="_Toc1743264964"/>
      <w:bookmarkStart w:id="991" w:name="_Toc625"/>
      <w:bookmarkStart w:id="992" w:name="_Toc21140"/>
      <w:bookmarkStart w:id="993" w:name="_Toc1130744922"/>
      <w:bookmarkStart w:id="994" w:name="_Toc1917335116"/>
      <w:bookmarkStart w:id="995" w:name="_Toc2110397097"/>
      <w:bookmarkStart w:id="996" w:name="_Toc72469298"/>
      <w:bookmarkStart w:id="997" w:name="_Toc1324423594"/>
      <w:r>
        <w:t>7.3中标候选人履约能力审查</w:t>
      </w:r>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p>
    <w:p w14:paraId="0722A7C5">
      <w:pPr>
        <w:ind w:firstLine="480"/>
      </w:pPr>
      <w:r>
        <w:t>中标候选人的经营、财务状况发生较大变化或存在违法行为，招标人认为可能影响其履约能力的，将在发出中标通知书前提请原评标委员会按照招标文件规定的标准和方法进行审查确认。</w:t>
      </w:r>
    </w:p>
    <w:p w14:paraId="080E903B">
      <w:pPr>
        <w:pStyle w:val="5"/>
        <w:spacing w:line="240" w:lineRule="auto"/>
        <w:ind w:firstLine="561"/>
      </w:pPr>
      <w:bookmarkStart w:id="998" w:name="_Toc1347111751"/>
      <w:bookmarkStart w:id="999" w:name="_Toc2904"/>
      <w:bookmarkStart w:id="1000" w:name="_Toc1984966466"/>
      <w:bookmarkStart w:id="1001" w:name="_Toc1604095427"/>
      <w:bookmarkStart w:id="1002" w:name="_Toc4887"/>
      <w:bookmarkStart w:id="1003" w:name="_Toc934853927"/>
      <w:bookmarkStart w:id="1004" w:name="_Toc11002"/>
      <w:bookmarkStart w:id="1005" w:name="_Toc11648"/>
      <w:bookmarkStart w:id="1006" w:name="_Toc368263637"/>
      <w:bookmarkStart w:id="1007" w:name="_Toc32521"/>
      <w:bookmarkStart w:id="1008" w:name="_Toc8364"/>
      <w:bookmarkStart w:id="1009" w:name="_Toc919343203"/>
      <w:bookmarkStart w:id="1010" w:name="_Toc802212737"/>
      <w:bookmarkStart w:id="1011" w:name="_Toc16745"/>
      <w:bookmarkStart w:id="1012" w:name="_Toc1659171377"/>
      <w:r>
        <w:t>7.4定标</w:t>
      </w:r>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p>
    <w:p w14:paraId="1E9E7258">
      <w:pPr>
        <w:ind w:firstLine="480"/>
      </w:pPr>
      <w:r>
        <w:t>按照投标人须知前附表的规定</w:t>
      </w:r>
      <w:r>
        <w:rPr>
          <w:rFonts w:hint="eastAsia"/>
        </w:rPr>
        <w:t>，由</w:t>
      </w:r>
      <w:r>
        <w:t>招标人或招标人授权的评标委员会依法确定中标人。</w:t>
      </w:r>
    </w:p>
    <w:p w14:paraId="3B6ABA24">
      <w:pPr>
        <w:pStyle w:val="5"/>
        <w:spacing w:line="240" w:lineRule="auto"/>
        <w:ind w:firstLine="561"/>
      </w:pPr>
      <w:bookmarkStart w:id="1013" w:name="_Toc172937917"/>
      <w:bookmarkStart w:id="1014" w:name="_Toc618176944"/>
      <w:bookmarkStart w:id="1015" w:name="_Toc256372656"/>
      <w:bookmarkStart w:id="1016" w:name="_Toc19937"/>
      <w:bookmarkStart w:id="1017" w:name="_Toc522137151"/>
      <w:bookmarkStart w:id="1018" w:name="_Toc25499"/>
      <w:bookmarkStart w:id="1019" w:name="_Toc359076405"/>
      <w:bookmarkStart w:id="1020" w:name="_Toc31538"/>
      <w:bookmarkStart w:id="1021" w:name="_Toc2043"/>
      <w:bookmarkStart w:id="1022" w:name="_Toc2134592383"/>
      <w:bookmarkStart w:id="1023" w:name="_Toc12800"/>
      <w:bookmarkStart w:id="1024" w:name="_Toc887134893"/>
      <w:bookmarkStart w:id="1025" w:name="_Toc30055"/>
      <w:bookmarkStart w:id="1026" w:name="_Toc1099589637"/>
      <w:bookmarkStart w:id="1027" w:name="_Toc15921"/>
      <w:r>
        <w:t>7.5中标通知</w:t>
      </w:r>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p>
    <w:p w14:paraId="581332CD">
      <w:pPr>
        <w:ind w:firstLine="480"/>
      </w:pPr>
      <w:r>
        <w:t>在本章第3.3款规定的投标有效期内，招标人或招标代理机构以书面形式向中标人发出中标</w:t>
      </w:r>
      <w:bookmarkStart w:id="1028" w:name="_Toc300834983"/>
      <w:bookmarkStart w:id="1029" w:name="_Toc384308244"/>
      <w:bookmarkStart w:id="1030" w:name="_Toc5668"/>
      <w:bookmarkStart w:id="1031" w:name="_Toc352691506"/>
      <w:bookmarkStart w:id="1032" w:name="_Toc361508619"/>
      <w:bookmarkStart w:id="1033" w:name="_Toc369531550"/>
      <w:r>
        <w:t>通知书，同时将中</w:t>
      </w:r>
      <w:bookmarkEnd w:id="1028"/>
      <w:bookmarkEnd w:id="1029"/>
      <w:bookmarkEnd w:id="1030"/>
      <w:bookmarkEnd w:id="1031"/>
      <w:bookmarkEnd w:id="1032"/>
      <w:bookmarkEnd w:id="1033"/>
      <w:r>
        <w:t>标结果通知未中标的投标人。</w:t>
      </w:r>
    </w:p>
    <w:p w14:paraId="4D89D878">
      <w:pPr>
        <w:pStyle w:val="5"/>
        <w:spacing w:line="240" w:lineRule="auto"/>
        <w:ind w:firstLine="561"/>
      </w:pPr>
      <w:bookmarkStart w:id="1034" w:name="_Toc232374299"/>
      <w:bookmarkStart w:id="1035" w:name="_Toc12592"/>
      <w:bookmarkStart w:id="1036" w:name="_Toc1003033510"/>
      <w:bookmarkStart w:id="1037" w:name="_Toc16761"/>
      <w:bookmarkStart w:id="1038" w:name="_Toc174013622"/>
      <w:bookmarkStart w:id="1039" w:name="_Toc18362"/>
      <w:bookmarkStart w:id="1040" w:name="_Toc568090765"/>
      <w:bookmarkStart w:id="1041" w:name="_Toc4437"/>
      <w:bookmarkStart w:id="1042" w:name="_Toc20416"/>
      <w:bookmarkStart w:id="1043" w:name="_Toc940915215"/>
      <w:bookmarkStart w:id="1044" w:name="_Toc1706246624"/>
      <w:bookmarkStart w:id="1045" w:name="_Toc1022196628"/>
      <w:bookmarkStart w:id="1046" w:name="_Toc21671"/>
      <w:bookmarkStart w:id="1047" w:name="_Toc97185530"/>
      <w:bookmarkStart w:id="1048" w:name="_Toc17572"/>
      <w:r>
        <w:t>7.6履约保证金</w:t>
      </w:r>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p>
    <w:p w14:paraId="11E47FE2">
      <w:pPr>
        <w:ind w:firstLine="480"/>
      </w:pPr>
      <w:r>
        <w:t>7.6.1在签订合同前，中标人应按投标人须知前附表规定的形式、金额和招标文件第四章“合同条款及格式”规定的或者事先经过招标人书面认可的履约保证金格式向招标人提交履约保证金。除投标人须知前附表另有规定外，履约保证金为中标合同金额的10%。联合体中标的，其履约保证金以联合体各方或者</w:t>
      </w:r>
      <w:r>
        <w:rPr>
          <w:rFonts w:hint="eastAsia"/>
        </w:rPr>
        <w:t>联合体</w:t>
      </w:r>
      <w:r>
        <w:t>牵头人的名义提交。</w:t>
      </w:r>
    </w:p>
    <w:p w14:paraId="02495318">
      <w:pPr>
        <w:ind w:firstLine="480"/>
      </w:pPr>
      <w:r>
        <w:t>7.6.2中标人不能按本章第7.6.1项要求提交履约保证金的，视为放弃中标，其投标保证金不予退还，给招标人造成的损失超过投标保证金数额的，中标人还应当对超过部分予以赔偿。</w:t>
      </w:r>
    </w:p>
    <w:p w14:paraId="524F1220">
      <w:pPr>
        <w:pStyle w:val="5"/>
        <w:spacing w:line="240" w:lineRule="auto"/>
        <w:ind w:firstLine="561"/>
      </w:pPr>
      <w:bookmarkStart w:id="1049" w:name="_Toc1389573047"/>
      <w:bookmarkStart w:id="1050" w:name="_Toc1309630990"/>
      <w:bookmarkStart w:id="1051" w:name="_Toc1537871177"/>
      <w:bookmarkStart w:id="1052" w:name="_Toc19926"/>
      <w:bookmarkStart w:id="1053" w:name="_Toc6399"/>
      <w:bookmarkStart w:id="1054" w:name="_Toc10394"/>
      <w:bookmarkStart w:id="1055" w:name="_Toc28684"/>
      <w:bookmarkStart w:id="1056" w:name="_Toc28431"/>
      <w:bookmarkStart w:id="1057" w:name="_Toc237573620"/>
      <w:bookmarkStart w:id="1058" w:name="_Toc24599"/>
      <w:bookmarkStart w:id="1059" w:name="_Toc1921701387"/>
      <w:bookmarkStart w:id="1060" w:name="_Toc2039925644"/>
      <w:bookmarkStart w:id="1061" w:name="_Toc21786"/>
      <w:bookmarkStart w:id="1062" w:name="_Toc189192793"/>
      <w:bookmarkStart w:id="1063" w:name="_Toc189550796"/>
      <w:r>
        <w:t>7.7签订合同</w:t>
      </w:r>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p>
    <w:p w14:paraId="05A6D1DD">
      <w:pPr>
        <w:ind w:firstLine="480"/>
      </w:pPr>
      <w:r>
        <w:t>7.7.1招标人和中标人应当在中标通知书发出之日起30日内，根据招标文件和中标人的投标文件订立书面合同。中标人无正当理由拒签合同，在签订合同时向招标人提出附加条件，或者不按照招标文件要求提交履约保证金的，招标人取消其中标资格，其投标保证金不予退还；给招标人造成的损失超过投标保证金数额的，中标人还应当对超过部分予以赔偿。</w:t>
      </w:r>
    </w:p>
    <w:p w14:paraId="70435260">
      <w:pPr>
        <w:ind w:firstLine="480"/>
      </w:pPr>
      <w:r>
        <w:t>7.7.2发出中标通知书后，招标人无正当理由拒签合同，或者在签订合同时向中标人提出附加条件的，招标人向中标人退还投标保证金；给中标人造成损失的，还应当赔偿损失。</w:t>
      </w:r>
    </w:p>
    <w:p w14:paraId="31D6C736">
      <w:pPr>
        <w:ind w:firstLine="480"/>
      </w:pPr>
      <w:r>
        <w:t>7.7.3联合体中标的，联合体各方应当共同与招标人签订合同，就中标项目向招标人承担连带责任。</w:t>
      </w:r>
    </w:p>
    <w:p w14:paraId="78B8BA6F">
      <w:pPr>
        <w:pStyle w:val="5"/>
        <w:spacing w:line="240" w:lineRule="auto"/>
        <w:ind w:firstLine="561"/>
      </w:pPr>
      <w:bookmarkStart w:id="1064" w:name="_Toc2035180194"/>
      <w:bookmarkStart w:id="1065" w:name="_Toc25153"/>
      <w:bookmarkStart w:id="1066" w:name="_Toc2028644076"/>
      <w:bookmarkStart w:id="1067" w:name="_Toc1487474391"/>
      <w:bookmarkStart w:id="1068" w:name="_Toc1061979871"/>
      <w:bookmarkStart w:id="1069" w:name="_Toc4004"/>
      <w:bookmarkStart w:id="1070" w:name="_Toc669539804"/>
      <w:bookmarkStart w:id="1071" w:name="_Toc453874353"/>
      <w:bookmarkStart w:id="1072" w:name="_Toc582"/>
      <w:bookmarkStart w:id="1073" w:name="_Toc1564"/>
      <w:bookmarkStart w:id="1074" w:name="_Toc10680"/>
      <w:bookmarkStart w:id="1075" w:name="_Toc1408150827"/>
      <w:bookmarkStart w:id="1076" w:name="_Toc727731567"/>
      <w:r>
        <w:rPr>
          <w:rFonts w:hint="eastAsia"/>
        </w:rPr>
        <w:t>7.8付款方式</w:t>
      </w:r>
      <w:bookmarkEnd w:id="1064"/>
      <w:bookmarkEnd w:id="1065"/>
      <w:bookmarkEnd w:id="1066"/>
      <w:bookmarkEnd w:id="1067"/>
      <w:bookmarkEnd w:id="1068"/>
      <w:bookmarkEnd w:id="1069"/>
      <w:bookmarkEnd w:id="1070"/>
      <w:bookmarkEnd w:id="1071"/>
      <w:bookmarkEnd w:id="1072"/>
      <w:bookmarkEnd w:id="1073"/>
      <w:bookmarkEnd w:id="1074"/>
      <w:bookmarkEnd w:id="1075"/>
      <w:bookmarkEnd w:id="1076"/>
    </w:p>
    <w:p w14:paraId="2E133FBC">
      <w:pPr>
        <w:ind w:firstLine="480"/>
      </w:pPr>
      <w:r>
        <w:rPr>
          <w:rFonts w:hint="eastAsia"/>
        </w:rPr>
        <w:t>7.8.1付款方式详见《投标人须知前附表》。</w:t>
      </w:r>
    </w:p>
    <w:p w14:paraId="27D213AB">
      <w:pPr>
        <w:pStyle w:val="4"/>
        <w:spacing w:before="312" w:after="312"/>
        <w:ind w:firstLine="641"/>
        <w:rPr>
          <w:rFonts w:ascii="Times New Roman" w:hAnsi="Times New Roman"/>
        </w:rPr>
      </w:pPr>
      <w:bookmarkStart w:id="1077" w:name="_Toc361508627"/>
      <w:bookmarkStart w:id="1078" w:name="_Toc384308252"/>
      <w:bookmarkStart w:id="1079" w:name="_Toc24067"/>
      <w:bookmarkStart w:id="1080" w:name="_Toc6440"/>
      <w:bookmarkStart w:id="1081" w:name="_Toc30674"/>
      <w:bookmarkStart w:id="1082" w:name="_Toc282106441"/>
      <w:bookmarkStart w:id="1083" w:name="_Toc1065076904"/>
      <w:bookmarkStart w:id="1084" w:name="_Toc13074"/>
      <w:bookmarkStart w:id="1085" w:name="_Toc1521159449"/>
      <w:bookmarkStart w:id="1086" w:name="_Toc25400"/>
      <w:bookmarkStart w:id="1087" w:name="_Toc959101680"/>
      <w:bookmarkStart w:id="1088" w:name="_Toc153991142"/>
      <w:bookmarkStart w:id="1089" w:name="_Toc23641"/>
      <w:bookmarkStart w:id="1090" w:name="_Toc1970605560"/>
      <w:bookmarkStart w:id="1091" w:name="_Toc14783"/>
      <w:bookmarkStart w:id="1092" w:name="_Toc22388"/>
      <w:bookmarkStart w:id="1093" w:name="_Toc404336727"/>
      <w:bookmarkStart w:id="1094" w:name="_Toc141175548"/>
      <w:bookmarkStart w:id="1095" w:name="_Toc1124954810"/>
      <w:bookmarkStart w:id="1096" w:name="_Toc247513992"/>
      <w:bookmarkStart w:id="1097" w:name="_Toc152042344"/>
      <w:bookmarkStart w:id="1098" w:name="_Toc152045568"/>
      <w:bookmarkStart w:id="1099" w:name="_Toc247527593"/>
      <w:bookmarkStart w:id="1100" w:name="_Toc144974536"/>
      <w:bookmarkStart w:id="1101" w:name="_Toc300834991"/>
      <w:r>
        <w:rPr>
          <w:rFonts w:ascii="Times New Roman" w:hAnsi="Times New Roman"/>
        </w:rPr>
        <w:t>8.</w:t>
      </w:r>
      <w:bookmarkEnd w:id="1077"/>
      <w:bookmarkEnd w:id="1078"/>
      <w:bookmarkEnd w:id="1079"/>
      <w:r>
        <w:rPr>
          <w:rFonts w:ascii="Times New Roman" w:hAnsi="Times New Roman"/>
        </w:rPr>
        <w:t>纪律和监督</w:t>
      </w:r>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p>
    <w:p w14:paraId="768D8B64">
      <w:pPr>
        <w:pStyle w:val="5"/>
        <w:spacing w:line="240" w:lineRule="auto"/>
        <w:ind w:firstLine="561"/>
      </w:pPr>
      <w:bookmarkStart w:id="1102" w:name="_Toc23110"/>
      <w:bookmarkStart w:id="1103" w:name="_Toc8019"/>
      <w:bookmarkStart w:id="1104" w:name="_Toc7886"/>
      <w:bookmarkStart w:id="1105" w:name="_Toc669463482"/>
      <w:bookmarkStart w:id="1106" w:name="_Toc609681378"/>
      <w:bookmarkStart w:id="1107" w:name="_Toc24762"/>
      <w:bookmarkStart w:id="1108" w:name="_Toc1471327783"/>
      <w:bookmarkStart w:id="1109" w:name="_Toc26564"/>
      <w:bookmarkStart w:id="1110" w:name="_Toc1915488948"/>
      <w:bookmarkStart w:id="1111" w:name="_Toc19204"/>
      <w:bookmarkStart w:id="1112" w:name="_Toc1474842886"/>
      <w:bookmarkStart w:id="1113" w:name="_Toc334041808"/>
      <w:bookmarkStart w:id="1114" w:name="_Toc1049111581"/>
      <w:bookmarkStart w:id="1115" w:name="_Toc20440"/>
      <w:bookmarkStart w:id="1116" w:name="_Toc411328959"/>
      <w:r>
        <w:t>8.1对招标人的纪律要求</w:t>
      </w:r>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p>
    <w:p w14:paraId="438FAD98">
      <w:pPr>
        <w:ind w:firstLine="480"/>
      </w:pPr>
      <w:r>
        <w:t>招标人不得泄露招标投标活动中应当保密的情况和资料，不得与投标人串通损害国家利益、社会公共利益或者他人合法权益。</w:t>
      </w:r>
    </w:p>
    <w:p w14:paraId="34594367">
      <w:pPr>
        <w:pStyle w:val="5"/>
        <w:spacing w:line="240" w:lineRule="auto"/>
        <w:ind w:firstLine="561"/>
      </w:pPr>
      <w:bookmarkStart w:id="1117" w:name="_Toc455954220"/>
      <w:bookmarkStart w:id="1118" w:name="_Toc25253"/>
      <w:bookmarkStart w:id="1119" w:name="_Toc871"/>
      <w:bookmarkStart w:id="1120" w:name="_Toc718413798"/>
      <w:bookmarkStart w:id="1121" w:name="_Toc1577599997"/>
      <w:bookmarkStart w:id="1122" w:name="_Toc695396859"/>
      <w:bookmarkStart w:id="1123" w:name="_Toc8218"/>
      <w:bookmarkStart w:id="1124" w:name="_Toc1428131328"/>
      <w:bookmarkStart w:id="1125" w:name="_Toc331853676"/>
      <w:bookmarkStart w:id="1126" w:name="_Toc27136"/>
      <w:bookmarkStart w:id="1127" w:name="_Toc1270440209"/>
      <w:bookmarkStart w:id="1128" w:name="_Toc12128"/>
      <w:bookmarkStart w:id="1129" w:name="_Toc20022"/>
      <w:bookmarkStart w:id="1130" w:name="_Toc1005915341"/>
      <w:bookmarkStart w:id="1131" w:name="_Toc19709"/>
      <w:r>
        <w:t>8.2对投标人的纪律要求</w:t>
      </w:r>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p>
    <w:p w14:paraId="0767C2E2">
      <w:pPr>
        <w:ind w:firstLine="480"/>
      </w:pPr>
      <w:r>
        <w:t>投标人不得相互串通投标或者与招标人串通投标，不得向招标人或者评标委员会成员行贿谋取中标，不得以他人名义投标或者以其他方式弄虚作假骗取中标；投标人不得以任何方式干扰、影响评标工作。</w:t>
      </w:r>
    </w:p>
    <w:p w14:paraId="43640631">
      <w:pPr>
        <w:pStyle w:val="5"/>
        <w:spacing w:line="240" w:lineRule="auto"/>
        <w:ind w:firstLine="561"/>
      </w:pPr>
      <w:bookmarkStart w:id="1132" w:name="_Toc24855"/>
      <w:bookmarkStart w:id="1133" w:name="_Toc1890043717"/>
      <w:bookmarkStart w:id="1134" w:name="_Toc449701273"/>
      <w:bookmarkStart w:id="1135" w:name="_Toc12487"/>
      <w:bookmarkStart w:id="1136" w:name="_Toc929002239"/>
      <w:bookmarkStart w:id="1137" w:name="_Toc178507177"/>
      <w:bookmarkStart w:id="1138" w:name="_Toc1227639552"/>
      <w:bookmarkStart w:id="1139" w:name="_Toc2006174189"/>
      <w:bookmarkStart w:id="1140" w:name="_Toc15696"/>
      <w:bookmarkStart w:id="1141" w:name="_Toc30123"/>
      <w:bookmarkStart w:id="1142" w:name="_Toc1022"/>
      <w:bookmarkStart w:id="1143" w:name="_Toc1427867003"/>
      <w:bookmarkStart w:id="1144" w:name="_Toc2682"/>
      <w:bookmarkStart w:id="1145" w:name="_Toc6006"/>
      <w:bookmarkStart w:id="1146" w:name="_Toc1000923044"/>
      <w:r>
        <w:t>8.3对评标委员会成员的纪律要求</w:t>
      </w:r>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p>
    <w:p w14:paraId="107754CE">
      <w:pPr>
        <w:ind w:firstLine="480"/>
      </w:pPr>
      <w:r>
        <w:t>评标委员会成员不得收受他人的财物或者其他好处，不得向他人透露对投标文件的评审</w:t>
      </w:r>
      <w:bookmarkStart w:id="1147" w:name="_Toc384308253"/>
      <w:bookmarkStart w:id="1148" w:name="_Toc13644"/>
      <w:bookmarkStart w:id="1149" w:name="_Toc352691515"/>
      <w:bookmarkStart w:id="1150" w:name="_Toc369531559"/>
      <w:bookmarkStart w:id="1151" w:name="_Toc361508628"/>
      <w:r>
        <w:t>和比较、中标候选人</w:t>
      </w:r>
      <w:bookmarkEnd w:id="1096"/>
      <w:bookmarkEnd w:id="1097"/>
      <w:bookmarkEnd w:id="1098"/>
      <w:bookmarkEnd w:id="1099"/>
      <w:bookmarkEnd w:id="1100"/>
      <w:bookmarkEnd w:id="1101"/>
      <w:bookmarkEnd w:id="1147"/>
      <w:bookmarkEnd w:id="1148"/>
      <w:bookmarkEnd w:id="1149"/>
      <w:bookmarkEnd w:id="1150"/>
      <w:bookmarkEnd w:id="1151"/>
      <w:r>
        <w:t>的推荐情况以</w:t>
      </w:r>
      <w:r>
        <w:rPr>
          <w:rFonts w:hint="eastAsia"/>
        </w:rPr>
        <w:t>及与</w:t>
      </w:r>
      <w:r>
        <w:t>评标有关的其他情况。在评标活动中，评标委员会成员应当客观、公正地履行职责，遵守职业道德，不得擅离职守，影响评标程序正常进行，不得使用第三章“评标办法”没有规定的评审因素和标准进行评标。</w:t>
      </w:r>
    </w:p>
    <w:p w14:paraId="40B4A6F0">
      <w:pPr>
        <w:pStyle w:val="5"/>
        <w:spacing w:line="240" w:lineRule="auto"/>
        <w:ind w:firstLine="561"/>
      </w:pPr>
      <w:bookmarkStart w:id="1152" w:name="_Toc15880"/>
      <w:bookmarkStart w:id="1153" w:name="_Toc10139"/>
      <w:bookmarkStart w:id="1154" w:name="_Toc23264"/>
      <w:bookmarkStart w:id="1155" w:name="_Toc30964196"/>
      <w:bookmarkStart w:id="1156" w:name="_Toc135468980"/>
      <w:bookmarkStart w:id="1157" w:name="_Toc1534517183"/>
      <w:bookmarkStart w:id="1158" w:name="_Toc128852976"/>
      <w:bookmarkStart w:id="1159" w:name="_Toc2062553735"/>
      <w:bookmarkStart w:id="1160" w:name="_Toc172"/>
      <w:bookmarkStart w:id="1161" w:name="_Toc1134341518"/>
      <w:bookmarkStart w:id="1162" w:name="_Toc386645195"/>
      <w:bookmarkStart w:id="1163" w:name="_Toc10076"/>
      <w:bookmarkStart w:id="1164" w:name="_Toc1274193557"/>
      <w:bookmarkStart w:id="1165" w:name="_Toc14837"/>
      <w:bookmarkStart w:id="1166" w:name="_Toc10649"/>
      <w:r>
        <w:t>8.4对与评标活动有关的工作人员的纪律要求</w:t>
      </w:r>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p>
    <w:p w14:paraId="57400762">
      <w:pPr>
        <w:ind w:firstLine="480"/>
      </w:pPr>
      <w:r>
        <w:t>与评标活动有关的工作人员不得收受他人的财物或者其他好处，不得向他人透露对投标文件</w:t>
      </w:r>
      <w:bookmarkStart w:id="1167" w:name="_Toc384308254"/>
      <w:bookmarkStart w:id="1168" w:name="_Toc300834992"/>
      <w:bookmarkStart w:id="1169" w:name="_Toc152045569"/>
      <w:bookmarkStart w:id="1170" w:name="_Toc369531560"/>
      <w:bookmarkStart w:id="1171" w:name="_Toc361508629"/>
      <w:bookmarkStart w:id="1172" w:name="_Toc352691516"/>
      <w:bookmarkStart w:id="1173" w:name="_Toc152042345"/>
      <w:bookmarkStart w:id="1174" w:name="_Toc247513993"/>
      <w:bookmarkStart w:id="1175" w:name="_Toc144974537"/>
      <w:bookmarkStart w:id="1176" w:name="_Toc247527594"/>
      <w:bookmarkStart w:id="1177" w:name="_Toc19429"/>
      <w:r>
        <w:t>的评审和比较、中标</w:t>
      </w:r>
      <w:bookmarkEnd w:id="1167"/>
      <w:bookmarkEnd w:id="1168"/>
      <w:bookmarkEnd w:id="1169"/>
      <w:bookmarkEnd w:id="1170"/>
      <w:bookmarkEnd w:id="1171"/>
      <w:bookmarkEnd w:id="1172"/>
      <w:bookmarkEnd w:id="1173"/>
      <w:bookmarkEnd w:id="1174"/>
      <w:bookmarkEnd w:id="1175"/>
      <w:bookmarkEnd w:id="1176"/>
      <w:bookmarkEnd w:id="1177"/>
      <w:r>
        <w:t>候选人的推荐情况以及评标有关的其他情况。在评标活动中，与评标活动有关的工作人员不得擅离职守，影响评标程序正常进行。</w:t>
      </w:r>
    </w:p>
    <w:p w14:paraId="33E8EE62">
      <w:pPr>
        <w:pStyle w:val="5"/>
        <w:spacing w:line="240" w:lineRule="auto"/>
        <w:ind w:firstLine="561"/>
      </w:pPr>
      <w:bookmarkStart w:id="1178" w:name="_Toc968451456"/>
      <w:bookmarkStart w:id="1179" w:name="_Toc724199598"/>
      <w:bookmarkStart w:id="1180" w:name="_Toc13520"/>
      <w:bookmarkStart w:id="1181" w:name="_Toc494481040"/>
      <w:bookmarkStart w:id="1182" w:name="_Toc664184615"/>
      <w:bookmarkStart w:id="1183" w:name="_Toc9747"/>
      <w:bookmarkStart w:id="1184" w:name="_Toc18610"/>
      <w:bookmarkStart w:id="1185" w:name="_Toc29483"/>
      <w:bookmarkStart w:id="1186" w:name="_Toc28915"/>
      <w:bookmarkStart w:id="1187" w:name="_Toc27817"/>
      <w:bookmarkStart w:id="1188" w:name="_Toc60276543"/>
      <w:bookmarkStart w:id="1189" w:name="_Toc1499177858"/>
      <w:bookmarkStart w:id="1190" w:name="_Toc659594271"/>
      <w:bookmarkStart w:id="1191" w:name="_Toc30311"/>
      <w:bookmarkStart w:id="1192" w:name="_Toc1665558607"/>
      <w:r>
        <w:t>8.5异议和投诉</w:t>
      </w:r>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14:paraId="7891A5F3">
      <w:pPr>
        <w:ind w:firstLine="480"/>
      </w:pPr>
      <w:r>
        <w:t>8.5.1投标人或者其他利害关系人对招标文件、开标和评标结果提出投诉的，应当按照投标人须知第2.4款、第5.3款和第7.2款的规定通过中国煤科电子采购平台“异议投诉管理”先向招标人提出异议。</w:t>
      </w:r>
    </w:p>
    <w:p w14:paraId="15D83AB7">
      <w:pPr>
        <w:ind w:firstLine="480"/>
      </w:pPr>
      <w:r>
        <w:t>8.5.2投标人或者其他利害关系人提出异议应当提交异议函和必要的证明材料；材料不齐全的，且未在补正期限内进行补正或者补正后仍不符合规定的，可以不予受理。异议函应当包括下列内容：</w:t>
      </w:r>
    </w:p>
    <w:p w14:paraId="693ECA58">
      <w:pPr>
        <w:ind w:firstLine="480"/>
      </w:pPr>
      <w:r>
        <w:t>（1）异议方的姓名或者名称、地址、联系人及联系电话；</w:t>
      </w:r>
    </w:p>
    <w:p w14:paraId="4D8F7B6C">
      <w:pPr>
        <w:ind w:firstLine="480"/>
      </w:pPr>
      <w:r>
        <w:t>（2）异议项目的名称、编号；</w:t>
      </w:r>
    </w:p>
    <w:p w14:paraId="48A8D660">
      <w:pPr>
        <w:ind w:firstLine="480"/>
      </w:pPr>
      <w:r>
        <w:t>（3）具体、明确的异议事项和与异议事项相关的请求；</w:t>
      </w:r>
    </w:p>
    <w:p w14:paraId="615D994B">
      <w:pPr>
        <w:ind w:firstLine="480"/>
      </w:pPr>
      <w:r>
        <w:t>（4）事实依据和证明材料（涉及招标评标过程具体细节、其他投标人的商业秘密或其他投标人的投标文件具体内容，还应能够说明内容真实性和来源合法性）；</w:t>
      </w:r>
    </w:p>
    <w:p w14:paraId="5B7665D2">
      <w:pPr>
        <w:ind w:firstLine="480"/>
      </w:pPr>
      <w:r>
        <w:t>（5）必要的法律依据；</w:t>
      </w:r>
    </w:p>
    <w:p w14:paraId="28894792">
      <w:pPr>
        <w:ind w:firstLine="452"/>
      </w:pPr>
      <w:r>
        <w:rPr>
          <w:spacing w:val="-7"/>
          <w:szCs w:val="21"/>
        </w:rPr>
        <w:t>（6）提出异议的日期。</w:t>
      </w:r>
    </w:p>
    <w:p w14:paraId="0EC21469">
      <w:pPr>
        <w:ind w:firstLine="480"/>
      </w:pPr>
      <w:r>
        <w:t>异议方为自然人的，应当由本人签字；异议方为法人或者其他组织的，应当由法定代表人、主要负责人，或者其授权代表签字或者盖章，并加盖公章。</w:t>
      </w:r>
    </w:p>
    <w:p w14:paraId="46D05DDF">
      <w:pPr>
        <w:ind w:firstLine="480"/>
      </w:pPr>
      <w:r>
        <w:t>8.5.3异议方对招标人的答复不满意，可以自知道或者应当知道之日起10日内向相关监管部门提出。提出投诉前，应当先向招标人提出异议，且投诉事项不得超出已异议事项的范围，异议答复期间不计算在前款规定的期限内。提起投诉应当符合下列条件：</w:t>
      </w:r>
    </w:p>
    <w:p w14:paraId="72C2DCF7">
      <w:pPr>
        <w:ind w:firstLine="480"/>
      </w:pPr>
      <w:r>
        <w:t>（1）提起投诉前已提出异议；</w:t>
      </w:r>
    </w:p>
    <w:p w14:paraId="488029FE">
      <w:pPr>
        <w:ind w:firstLine="480"/>
      </w:pPr>
      <w:r>
        <w:t>（2）投诉书内容符合本办法的规定；</w:t>
      </w:r>
    </w:p>
    <w:p w14:paraId="107AEAA1">
      <w:pPr>
        <w:ind w:firstLine="480"/>
      </w:pPr>
      <w:r>
        <w:t>（3）在投诉有效期限内提起投诉；</w:t>
      </w:r>
    </w:p>
    <w:p w14:paraId="0B8691EC">
      <w:pPr>
        <w:ind w:firstLine="480"/>
      </w:pPr>
      <w:r>
        <w:t>（4）同一投诉事项未经相关监管部门投诉处理。</w:t>
      </w:r>
    </w:p>
    <w:p w14:paraId="3F411C8F">
      <w:pPr>
        <w:ind w:firstLine="480"/>
      </w:pPr>
      <w:r>
        <w:t>8.5.4投诉人投诉时，应当提交投诉书和必要的证明材料；材料不齐全的，且未在补正期限内进行补正或者补正后仍不符合规定的，可以不予受理。投诉书应当包括下列内容：</w:t>
      </w:r>
    </w:p>
    <w:p w14:paraId="1C176178">
      <w:pPr>
        <w:ind w:firstLine="480"/>
      </w:pPr>
      <w:r>
        <w:t>（1）投诉人和被投诉人的姓名或者名称、通讯地址、联系人及联系电话；</w:t>
      </w:r>
    </w:p>
    <w:p w14:paraId="7C73AFC7">
      <w:pPr>
        <w:ind w:firstLine="480"/>
      </w:pPr>
      <w:r>
        <w:t>（2）异议和异议答复情况说明及相关证明材料；</w:t>
      </w:r>
    </w:p>
    <w:p w14:paraId="0FB809CB">
      <w:pPr>
        <w:ind w:firstLine="480"/>
      </w:pPr>
      <w:r>
        <w:t>（3）具体、明确的投诉事项和与投诉事项相关的投诉请求；</w:t>
      </w:r>
    </w:p>
    <w:p w14:paraId="76FEDF88">
      <w:pPr>
        <w:ind w:firstLine="480"/>
      </w:pPr>
      <w:r>
        <w:t>（4）事实依据和证明材料（涉及招标评标过程具体细节、其他投标人的商业秘密或其他投标人的投标文件具体内容，还应能够说明内容真实性和来源合法性）；</w:t>
      </w:r>
    </w:p>
    <w:p w14:paraId="5E8F9B41">
      <w:pPr>
        <w:ind w:firstLine="480"/>
      </w:pPr>
      <w:r>
        <w:t>（5）法律依据；</w:t>
      </w:r>
    </w:p>
    <w:p w14:paraId="3A79971A">
      <w:pPr>
        <w:ind w:firstLine="480"/>
      </w:pPr>
      <w:r>
        <w:t>（6）提起投诉的日期。</w:t>
      </w:r>
    </w:p>
    <w:p w14:paraId="0CD7D691">
      <w:pPr>
        <w:ind w:firstLine="480"/>
      </w:pPr>
      <w:r>
        <w:t>投诉人为自然人的，应当由本人签字；投诉人为法人或者其他组织的，应当由法定代表人、主要负责人，或者其授权代表签字或者盖章，并加盖公章。</w:t>
      </w:r>
    </w:p>
    <w:p w14:paraId="4DBACD8C">
      <w:pPr>
        <w:pStyle w:val="4"/>
        <w:spacing w:before="312" w:after="312"/>
        <w:ind w:firstLine="641"/>
        <w:rPr>
          <w:rFonts w:ascii="Times New Roman" w:hAnsi="Times New Roman"/>
        </w:rPr>
      </w:pPr>
      <w:bookmarkStart w:id="1193" w:name="_Toc594169204"/>
      <w:bookmarkStart w:id="1194" w:name="_Toc1866544958"/>
      <w:bookmarkStart w:id="1195" w:name="_Toc24558"/>
      <w:bookmarkStart w:id="1196" w:name="_Toc330827199"/>
      <w:bookmarkStart w:id="1197" w:name="_Toc1603060464"/>
      <w:bookmarkStart w:id="1198" w:name="_Toc2128609037"/>
      <w:bookmarkStart w:id="1199" w:name="_Toc985060379"/>
      <w:bookmarkStart w:id="1200" w:name="_Toc1832816037"/>
      <w:bookmarkStart w:id="1201" w:name="_Toc490326883"/>
      <w:bookmarkStart w:id="1202" w:name="_Toc23367"/>
      <w:bookmarkStart w:id="1203" w:name="_Toc15211"/>
      <w:bookmarkStart w:id="1204" w:name="_Toc12283"/>
      <w:bookmarkStart w:id="1205" w:name="_Toc256629155"/>
      <w:bookmarkStart w:id="1206" w:name="_Toc16048"/>
      <w:bookmarkStart w:id="1207" w:name="_Toc22975"/>
      <w:bookmarkStart w:id="1208" w:name="_Toc29003"/>
      <w:bookmarkStart w:id="1209" w:name="_Toc477134992"/>
      <w:r>
        <w:rPr>
          <w:rFonts w:ascii="Times New Roman" w:hAnsi="Times New Roman"/>
        </w:rPr>
        <w:t>9.是否采用电子招标投标</w:t>
      </w:r>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p>
    <w:p w14:paraId="6D84B145">
      <w:pPr>
        <w:ind w:firstLine="480"/>
      </w:pPr>
      <w:r>
        <w:rPr>
          <w:rFonts w:hint="eastAsia"/>
        </w:rPr>
        <w:t>除另有说明以外，均</w:t>
      </w:r>
      <w:r>
        <w:t>采用电子招标投标方式。</w:t>
      </w:r>
    </w:p>
    <w:p w14:paraId="2A7E04C0">
      <w:pPr>
        <w:pStyle w:val="4"/>
        <w:spacing w:before="312" w:after="312"/>
        <w:ind w:firstLine="641"/>
      </w:pPr>
      <w:bookmarkStart w:id="1210" w:name="_Toc24690"/>
      <w:bookmarkStart w:id="1211" w:name="_Toc1019044909"/>
      <w:bookmarkStart w:id="1212" w:name="_Toc307383186"/>
      <w:bookmarkStart w:id="1213" w:name="_Toc27510"/>
      <w:bookmarkStart w:id="1214" w:name="_Toc402853078"/>
      <w:bookmarkStart w:id="1215" w:name="_Toc958355130"/>
      <w:bookmarkStart w:id="1216" w:name="_Toc633701291"/>
      <w:bookmarkStart w:id="1217" w:name="_Toc4650"/>
      <w:bookmarkStart w:id="1218" w:name="_Toc8011"/>
      <w:bookmarkStart w:id="1219" w:name="_Toc1029169042"/>
      <w:bookmarkStart w:id="1220" w:name="_Toc29465"/>
      <w:bookmarkStart w:id="1221" w:name="_Toc602009486"/>
      <w:bookmarkStart w:id="1222" w:name="_Toc579993730"/>
      <w:bookmarkStart w:id="1223" w:name="_Toc12834"/>
      <w:bookmarkStart w:id="1224" w:name="_Toc377571510"/>
      <w:bookmarkStart w:id="1225" w:name="_Toc4753"/>
      <w:r>
        <w:t>10.</w:t>
      </w:r>
      <w:r>
        <w:rPr>
          <w:rFonts w:ascii="Times New Roman" w:hAnsi="Times New Roman"/>
        </w:rPr>
        <w:t>需要补充的其他内容</w:t>
      </w:r>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p>
    <w:p w14:paraId="1F80334E">
      <w:pPr>
        <w:ind w:firstLine="480"/>
      </w:pPr>
      <w:r>
        <w:br w:type="page"/>
      </w:r>
    </w:p>
    <w:p w14:paraId="45B0A456">
      <w:pPr>
        <w:pStyle w:val="3"/>
        <w:pageBreakBefore/>
        <w:spacing w:line="400" w:lineRule="exact"/>
        <w:rPr>
          <w:rFonts w:hint="eastAsia"/>
        </w:rPr>
      </w:pPr>
      <w:bookmarkStart w:id="1226" w:name="_Toc23443"/>
      <w:bookmarkStart w:id="1227" w:name="_Toc30504"/>
      <w:bookmarkStart w:id="1228" w:name="_Toc2779"/>
      <w:bookmarkStart w:id="1229" w:name="_Toc28006"/>
      <w:bookmarkStart w:id="1230" w:name="_Toc1410795956"/>
      <w:bookmarkStart w:id="1231" w:name="_Toc30191685"/>
      <w:bookmarkStart w:id="1232" w:name="_Toc28070"/>
      <w:bookmarkStart w:id="1233" w:name="_Toc1883226602"/>
      <w:bookmarkStart w:id="1234" w:name="_Toc1491036067"/>
      <w:bookmarkStart w:id="1235" w:name="_Toc24958"/>
      <w:bookmarkStart w:id="1236" w:name="_Toc1177970185"/>
      <w:bookmarkStart w:id="1237" w:name="_Toc947317410"/>
      <w:bookmarkStart w:id="1238" w:name="_Toc526346377"/>
      <w:bookmarkStart w:id="1239" w:name="_Toc1246192364"/>
      <w:bookmarkStart w:id="1240" w:name="_Toc905700738"/>
      <w:r>
        <w:t>第三章</w:t>
      </w:r>
      <w:r>
        <w:rPr>
          <w:rFonts w:hint="eastAsia"/>
        </w:rPr>
        <w:t xml:space="preserve"> </w:t>
      </w:r>
      <w:r>
        <w:t>评标办法</w:t>
      </w:r>
      <w:bookmarkEnd w:id="1226"/>
      <w:bookmarkEnd w:id="1227"/>
      <w:r>
        <w:rPr>
          <w:rFonts w:hint="eastAsia"/>
        </w:rPr>
        <w:t>（综合评估法）</w:t>
      </w:r>
      <w:bookmarkEnd w:id="1228"/>
      <w:bookmarkEnd w:id="1229"/>
      <w:bookmarkEnd w:id="1230"/>
      <w:bookmarkEnd w:id="1231"/>
      <w:bookmarkEnd w:id="1232"/>
      <w:bookmarkEnd w:id="1233"/>
      <w:bookmarkEnd w:id="1234"/>
      <w:bookmarkEnd w:id="1235"/>
      <w:bookmarkEnd w:id="1236"/>
      <w:bookmarkEnd w:id="1237"/>
      <w:bookmarkEnd w:id="1238"/>
      <w:bookmarkEnd w:id="1239"/>
      <w:bookmarkEnd w:id="1240"/>
    </w:p>
    <w:p w14:paraId="57B3835C">
      <w:pPr>
        <w:ind w:firstLine="480"/>
        <w:rPr>
          <w:b/>
          <w:bCs/>
        </w:rPr>
      </w:pPr>
      <w:bookmarkStart w:id="1241" w:name="_Toc8125"/>
      <w:bookmarkStart w:id="1242" w:name="_Toc748213630"/>
      <w:bookmarkStart w:id="1243" w:name="_Toc880685965"/>
      <w:bookmarkStart w:id="1244" w:name="_Toc347052557"/>
      <w:bookmarkStart w:id="1245" w:name="_Toc493157602"/>
      <w:bookmarkStart w:id="1246" w:name="_Toc119951012"/>
      <w:bookmarkStart w:id="1247" w:name="_Toc1775510328"/>
      <w:bookmarkStart w:id="1248" w:name="_Toc818416246"/>
      <w:bookmarkStart w:id="1249" w:name="_Toc21333"/>
      <w:bookmarkStart w:id="1250" w:name="_Toc856501226"/>
      <w:bookmarkStart w:id="1251" w:name="_Toc13024"/>
      <w:bookmarkStart w:id="1252" w:name="_Toc625509103"/>
      <w:bookmarkStart w:id="1253" w:name="_Toc11043"/>
      <w:r>
        <w:rPr>
          <w:rFonts w:hint="eastAsia"/>
          <w:b/>
          <w:bCs/>
        </w:rPr>
        <w:t>郑重提示：本评标办法前附表所列否决投标条款及评分标准，均为本次招标项目的核心评审规则。</w:t>
      </w:r>
    </w:p>
    <w:p w14:paraId="3399D6CB">
      <w:pPr>
        <w:ind w:firstLine="480"/>
        <w:rPr>
          <w:b/>
          <w:bCs/>
        </w:rPr>
      </w:pPr>
      <w:r>
        <w:rPr>
          <w:rFonts w:hint="eastAsia"/>
          <w:b/>
          <w:bCs/>
        </w:rPr>
        <w:t>‌否决投标条款‌：投标文件若存在</w:t>
      </w:r>
      <w:r>
        <w:rPr>
          <w:b/>
          <w:bCs/>
        </w:rPr>
        <w:t>形式评审标准</w:t>
      </w:r>
      <w:r>
        <w:rPr>
          <w:rFonts w:hint="eastAsia"/>
          <w:b/>
          <w:bCs/>
        </w:rPr>
        <w:t>、</w:t>
      </w:r>
      <w:r>
        <w:rPr>
          <w:b/>
          <w:bCs/>
        </w:rPr>
        <w:t>资格评审标准</w:t>
      </w:r>
      <w:r>
        <w:rPr>
          <w:rFonts w:hint="eastAsia"/>
          <w:b/>
          <w:bCs/>
        </w:rPr>
        <w:t>和</w:t>
      </w:r>
      <w:r>
        <w:rPr>
          <w:b/>
          <w:bCs/>
        </w:rPr>
        <w:t>响应性评审标准</w:t>
      </w:r>
      <w:r>
        <w:rPr>
          <w:rFonts w:hint="eastAsia"/>
          <w:b/>
          <w:bCs/>
        </w:rPr>
        <w:t>任一否决情形，将被评标委员会直接判定为无效投标，丧失后续评审资格；</w:t>
      </w:r>
    </w:p>
    <w:p w14:paraId="475E08FE">
      <w:pPr>
        <w:ind w:firstLine="480"/>
        <w:rPr>
          <w:b/>
          <w:bCs/>
        </w:rPr>
      </w:pPr>
      <w:r>
        <w:rPr>
          <w:rFonts w:hint="eastAsia"/>
          <w:b/>
          <w:bCs/>
        </w:rPr>
        <w:t>‌评分标准‌：各项评分因素及细则为评标委员会进行综合评审、量化打分的唯一依据，直接决定投标文件的评审排名及中标候选资格。</w:t>
      </w:r>
    </w:p>
    <w:p w14:paraId="24942053">
      <w:pPr>
        <w:ind w:firstLine="480"/>
        <w:rPr>
          <w:b/>
          <w:bCs/>
        </w:rPr>
      </w:pPr>
      <w:r>
        <w:rPr>
          <w:rFonts w:hint="eastAsia"/>
          <w:b/>
          <w:bCs/>
        </w:rPr>
        <w:t>请各投标人高度重视，逐条对照要求编制投标文件，确保完全响应，否则将自行承担投标失败的全部风险。</w:t>
      </w:r>
    </w:p>
    <w:p w14:paraId="6AE8D169">
      <w:pPr>
        <w:ind w:firstLine="480"/>
      </w:pPr>
    </w:p>
    <w:p w14:paraId="222A1112">
      <w:pPr>
        <w:pStyle w:val="4"/>
        <w:spacing w:before="312" w:after="312"/>
        <w:ind w:firstLine="641"/>
        <w:jc w:val="center"/>
        <w:rPr>
          <w:rFonts w:ascii="Times New Roman" w:hAnsi="Times New Roman"/>
        </w:rPr>
      </w:pPr>
      <w:bookmarkStart w:id="1254" w:name="_Toc4266"/>
      <w:bookmarkStart w:id="1255" w:name="_Toc6915"/>
      <w:r>
        <w:rPr>
          <w:rFonts w:ascii="Times New Roman" w:hAnsi="Times New Roman"/>
        </w:rPr>
        <w:t>评标办法前附表</w:t>
      </w:r>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p>
    <w:p w14:paraId="643150A9">
      <w:pPr>
        <w:spacing w:line="440" w:lineRule="exact"/>
        <w:ind w:firstLine="0" w:firstLineChars="0"/>
        <w:jc w:val="center"/>
        <w:rPr>
          <w:b/>
          <w:bCs/>
        </w:rPr>
      </w:pPr>
      <w:r>
        <w:rPr>
          <w:rFonts w:hint="eastAsia"/>
          <w:b/>
          <w:bCs/>
        </w:rPr>
        <w:t>条款1评标办法</w:t>
      </w:r>
    </w:p>
    <w:tbl>
      <w:tblPr>
        <w:tblStyle w:val="20"/>
        <w:tblW w:w="9281"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04"/>
        <w:gridCol w:w="1138"/>
        <w:gridCol w:w="2590"/>
        <w:gridCol w:w="4649"/>
      </w:tblGrid>
      <w:tr w14:paraId="775C3B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042" w:type="dxa"/>
            <w:gridSpan w:val="2"/>
            <w:tcBorders>
              <w:top w:val="single" w:color="auto" w:sz="4" w:space="0"/>
              <w:bottom w:val="single" w:color="auto" w:sz="4" w:space="0"/>
              <w:right w:val="single" w:color="auto" w:sz="4" w:space="0"/>
            </w:tcBorders>
            <w:shd w:val="clear" w:color="auto" w:fill="D7D7D7" w:themeFill="background1" w:themeFillShade="D8"/>
            <w:vAlign w:val="center"/>
          </w:tcPr>
          <w:p w14:paraId="67B9E14B">
            <w:pPr>
              <w:spacing w:line="440" w:lineRule="exact"/>
              <w:ind w:firstLine="0" w:firstLineChars="0"/>
              <w:jc w:val="center"/>
              <w:rPr>
                <w:b/>
              </w:rPr>
            </w:pPr>
            <w:r>
              <w:rPr>
                <w:b/>
              </w:rPr>
              <w:t>条款号</w:t>
            </w:r>
          </w:p>
        </w:tc>
        <w:tc>
          <w:tcPr>
            <w:tcW w:w="2590"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33E2C4F7">
            <w:pPr>
              <w:spacing w:line="440" w:lineRule="exact"/>
              <w:ind w:firstLine="0" w:firstLineChars="0"/>
              <w:jc w:val="center"/>
              <w:rPr>
                <w:b/>
              </w:rPr>
            </w:pPr>
            <w:r>
              <w:rPr>
                <w:b/>
              </w:rPr>
              <w:t>评审因素</w:t>
            </w:r>
          </w:p>
        </w:tc>
        <w:tc>
          <w:tcPr>
            <w:tcW w:w="4649"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95A1643">
            <w:pPr>
              <w:spacing w:line="440" w:lineRule="exact"/>
              <w:ind w:firstLine="0" w:firstLineChars="0"/>
              <w:jc w:val="center"/>
              <w:rPr>
                <w:b/>
              </w:rPr>
            </w:pPr>
            <w:r>
              <w:rPr>
                <w:b/>
              </w:rPr>
              <w:t>评审标准</w:t>
            </w:r>
          </w:p>
        </w:tc>
      </w:tr>
      <w:tr w14:paraId="2AFA73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904" w:type="dxa"/>
            <w:tcBorders>
              <w:top w:val="single" w:color="auto" w:sz="4" w:space="0"/>
              <w:left w:val="single" w:color="auto" w:sz="4" w:space="0"/>
              <w:bottom w:val="single" w:color="auto" w:sz="4" w:space="0"/>
              <w:right w:val="single" w:color="auto" w:sz="4" w:space="0"/>
            </w:tcBorders>
            <w:vAlign w:val="center"/>
          </w:tcPr>
          <w:p w14:paraId="6A21471F">
            <w:pPr>
              <w:spacing w:line="440" w:lineRule="exact"/>
              <w:ind w:firstLine="0" w:firstLineChars="0"/>
              <w:jc w:val="center"/>
            </w:pPr>
            <w:r>
              <w:t>1</w:t>
            </w:r>
          </w:p>
        </w:tc>
        <w:tc>
          <w:tcPr>
            <w:tcW w:w="1138" w:type="dxa"/>
            <w:tcBorders>
              <w:top w:val="single" w:color="auto" w:sz="4" w:space="0"/>
              <w:left w:val="single" w:color="auto" w:sz="4" w:space="0"/>
              <w:bottom w:val="single" w:color="auto" w:sz="4" w:space="0"/>
              <w:right w:val="single" w:color="auto" w:sz="4" w:space="0"/>
            </w:tcBorders>
            <w:vAlign w:val="center"/>
          </w:tcPr>
          <w:p w14:paraId="42C1F39B">
            <w:pPr>
              <w:spacing w:line="440" w:lineRule="exact"/>
              <w:ind w:firstLine="0" w:firstLineChars="0"/>
              <w:jc w:val="center"/>
            </w:pPr>
            <w:r>
              <w:t>评标方法</w:t>
            </w:r>
          </w:p>
        </w:tc>
        <w:tc>
          <w:tcPr>
            <w:tcW w:w="2590" w:type="dxa"/>
            <w:tcBorders>
              <w:top w:val="single" w:color="auto" w:sz="4" w:space="0"/>
              <w:left w:val="single" w:color="auto" w:sz="4" w:space="0"/>
              <w:bottom w:val="single" w:color="auto" w:sz="4" w:space="0"/>
              <w:right w:val="single" w:color="auto" w:sz="4" w:space="0"/>
            </w:tcBorders>
            <w:vAlign w:val="center"/>
          </w:tcPr>
          <w:p w14:paraId="6F15B7A8">
            <w:pPr>
              <w:spacing w:line="440" w:lineRule="exact"/>
              <w:ind w:firstLine="0" w:firstLineChars="0"/>
              <w:jc w:val="center"/>
            </w:pPr>
            <w:r>
              <w:t>中标候选人排序方法</w:t>
            </w:r>
          </w:p>
        </w:tc>
        <w:tc>
          <w:tcPr>
            <w:tcW w:w="4649" w:type="dxa"/>
            <w:tcBorders>
              <w:top w:val="single" w:color="auto" w:sz="4" w:space="0"/>
              <w:left w:val="single" w:color="auto" w:sz="4" w:space="0"/>
              <w:bottom w:val="single" w:color="auto" w:sz="4" w:space="0"/>
              <w:right w:val="single" w:color="auto" w:sz="4" w:space="0"/>
            </w:tcBorders>
            <w:vAlign w:val="center"/>
          </w:tcPr>
          <w:p w14:paraId="35A53B58">
            <w:pPr>
              <w:spacing w:line="440" w:lineRule="exact"/>
              <w:ind w:firstLine="0" w:firstLineChars="0"/>
              <w:jc w:val="left"/>
            </w:pPr>
            <w:r>
              <w:t>本次评标采用综合评估法，最低报价的投标人并不保证成为中标候选人。评标委员会对满足招标文件实质性要求的投标文件，按照本章第2.2款规定的评分标准进行打分，并按得分由高到低顺序推荐中标候选人，但投标报价低于其成本的除外。综合评分相等时，以投标报价低的优先；投标报价也相等的，以技术得分高的优先；如果技术得分也相等，由评标委员会投票决定。</w:t>
            </w:r>
          </w:p>
        </w:tc>
      </w:tr>
    </w:tbl>
    <w:p w14:paraId="0C23FB94">
      <w:pPr>
        <w:ind w:firstLine="480"/>
        <w:rPr>
          <w:b/>
          <w:bCs/>
        </w:rPr>
      </w:pPr>
    </w:p>
    <w:p w14:paraId="37863745">
      <w:pPr>
        <w:spacing w:line="440" w:lineRule="exact"/>
        <w:ind w:firstLine="0" w:firstLineChars="0"/>
        <w:jc w:val="center"/>
        <w:rPr>
          <w:b/>
          <w:bCs/>
        </w:rPr>
      </w:pPr>
      <w:r>
        <w:rPr>
          <w:rFonts w:hint="eastAsia"/>
          <w:b/>
          <w:bCs/>
        </w:rPr>
        <w:t>条款2.1.1.形式评审标准</w:t>
      </w:r>
    </w:p>
    <w:tbl>
      <w:tblPr>
        <w:tblStyle w:val="20"/>
        <w:tblW w:w="9281"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02"/>
        <w:gridCol w:w="1138"/>
        <w:gridCol w:w="2590"/>
        <w:gridCol w:w="4651"/>
      </w:tblGrid>
      <w:tr w14:paraId="0F0AA4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4" w:hRule="atLeast"/>
          <w:jc w:val="center"/>
        </w:trPr>
        <w:tc>
          <w:tcPr>
            <w:tcW w:w="2040" w:type="dxa"/>
            <w:gridSpan w:val="2"/>
            <w:tcBorders>
              <w:top w:val="single" w:color="auto" w:sz="4" w:space="0"/>
              <w:right w:val="single" w:color="auto" w:sz="4" w:space="0"/>
            </w:tcBorders>
            <w:shd w:val="clear" w:color="auto" w:fill="D7D7D7" w:themeFill="background1" w:themeFillShade="D8"/>
            <w:vAlign w:val="center"/>
          </w:tcPr>
          <w:p w14:paraId="1DAFDE06">
            <w:pPr>
              <w:spacing w:line="440" w:lineRule="exact"/>
              <w:ind w:firstLine="0" w:firstLineChars="0"/>
              <w:jc w:val="center"/>
              <w:rPr>
                <w:b/>
                <w:bCs/>
              </w:rPr>
            </w:pPr>
            <w:r>
              <w:rPr>
                <w:b/>
                <w:bCs/>
              </w:rPr>
              <w:t>条款号</w:t>
            </w:r>
          </w:p>
        </w:tc>
        <w:tc>
          <w:tcPr>
            <w:tcW w:w="2590" w:type="dxa"/>
            <w:tcBorders>
              <w:top w:val="single" w:color="auto" w:sz="4" w:space="0"/>
              <w:left w:val="single" w:color="auto" w:sz="4" w:space="0"/>
              <w:right w:val="single" w:color="auto" w:sz="4" w:space="0"/>
            </w:tcBorders>
            <w:shd w:val="clear" w:color="auto" w:fill="D7D7D7" w:themeFill="background1" w:themeFillShade="D8"/>
            <w:vAlign w:val="center"/>
          </w:tcPr>
          <w:p w14:paraId="6B576F89">
            <w:pPr>
              <w:spacing w:line="440" w:lineRule="exact"/>
              <w:ind w:firstLine="0" w:firstLineChars="0"/>
              <w:jc w:val="center"/>
              <w:rPr>
                <w:b/>
                <w:bCs/>
              </w:rPr>
            </w:pPr>
            <w:r>
              <w:rPr>
                <w:b/>
                <w:bCs/>
              </w:rPr>
              <w:t>评审因素</w:t>
            </w:r>
          </w:p>
        </w:tc>
        <w:tc>
          <w:tcPr>
            <w:tcW w:w="465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0988070B">
            <w:pPr>
              <w:spacing w:line="440" w:lineRule="exact"/>
              <w:ind w:firstLine="0" w:firstLineChars="0"/>
              <w:jc w:val="center"/>
              <w:rPr>
                <w:b/>
                <w:bCs/>
              </w:rPr>
            </w:pPr>
            <w:r>
              <w:rPr>
                <w:b/>
                <w:bCs/>
              </w:rPr>
              <w:t>评审标准</w:t>
            </w:r>
          </w:p>
        </w:tc>
      </w:tr>
      <w:tr w14:paraId="6A031F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902" w:type="dxa"/>
            <w:vMerge w:val="restart"/>
            <w:tcBorders>
              <w:top w:val="single" w:color="auto" w:sz="4" w:space="0"/>
              <w:right w:val="single" w:color="auto" w:sz="4" w:space="0"/>
            </w:tcBorders>
            <w:vAlign w:val="center"/>
          </w:tcPr>
          <w:p w14:paraId="27C5902E">
            <w:pPr>
              <w:spacing w:line="440" w:lineRule="exact"/>
              <w:ind w:firstLine="0" w:firstLineChars="0"/>
              <w:jc w:val="center"/>
            </w:pPr>
            <w:r>
              <w:t>2.1.1</w:t>
            </w:r>
          </w:p>
        </w:tc>
        <w:tc>
          <w:tcPr>
            <w:tcW w:w="1138" w:type="dxa"/>
            <w:vMerge w:val="restart"/>
            <w:tcBorders>
              <w:top w:val="single" w:color="auto" w:sz="4" w:space="0"/>
              <w:right w:val="single" w:color="auto" w:sz="4" w:space="0"/>
            </w:tcBorders>
            <w:vAlign w:val="center"/>
          </w:tcPr>
          <w:p w14:paraId="5F0AA89F">
            <w:pPr>
              <w:spacing w:line="440" w:lineRule="exact"/>
              <w:ind w:firstLine="0" w:firstLineChars="0"/>
              <w:jc w:val="center"/>
            </w:pPr>
            <w:r>
              <w:t>形式评审标准</w:t>
            </w:r>
          </w:p>
        </w:tc>
        <w:tc>
          <w:tcPr>
            <w:tcW w:w="2590" w:type="dxa"/>
            <w:tcBorders>
              <w:top w:val="single" w:color="auto" w:sz="4" w:space="0"/>
              <w:left w:val="single" w:color="auto" w:sz="4" w:space="0"/>
              <w:right w:val="single" w:color="auto" w:sz="4" w:space="0"/>
            </w:tcBorders>
            <w:vAlign w:val="center"/>
          </w:tcPr>
          <w:p w14:paraId="4A8ADA19">
            <w:pPr>
              <w:spacing w:line="440" w:lineRule="exact"/>
              <w:ind w:firstLine="0" w:firstLineChars="0"/>
              <w:jc w:val="center"/>
            </w:pPr>
            <w:r>
              <w:t>投标文件签字或盖章要求</w:t>
            </w:r>
          </w:p>
        </w:tc>
        <w:tc>
          <w:tcPr>
            <w:tcW w:w="4651" w:type="dxa"/>
            <w:tcBorders>
              <w:top w:val="single" w:color="auto" w:sz="4" w:space="0"/>
              <w:left w:val="single" w:color="auto" w:sz="4" w:space="0"/>
              <w:bottom w:val="single" w:color="auto" w:sz="4" w:space="0"/>
              <w:right w:val="single" w:color="auto" w:sz="4" w:space="0"/>
            </w:tcBorders>
            <w:vAlign w:val="center"/>
          </w:tcPr>
          <w:p w14:paraId="167F0814">
            <w:pPr>
              <w:spacing w:line="440" w:lineRule="exact"/>
              <w:ind w:firstLine="0" w:firstLineChars="0"/>
            </w:pPr>
            <w:r>
              <w:rPr>
                <w:rFonts w:hint="eastAsia"/>
              </w:rPr>
              <w:t>由</w:t>
            </w:r>
            <w:r>
              <w:t>法定代表人（单位负责人）或其委托代理人签字或加盖单</w:t>
            </w:r>
            <w:r>
              <w:rPr>
                <w:rFonts w:hint="eastAsia"/>
              </w:rPr>
              <w:t>位公</w:t>
            </w:r>
            <w:r>
              <w:t>章。由法定代表人（单位负责人）签字的，应附法定代表人（单位负责人）身份证明，由代理人签字的，应附授权委托书，身份证明或授权委托书应符合第六章“投标文件格式”的规定</w:t>
            </w:r>
            <w:r>
              <w:rPr>
                <w:rFonts w:hint="eastAsia"/>
              </w:rPr>
              <w:t>。</w:t>
            </w:r>
          </w:p>
        </w:tc>
      </w:tr>
      <w:tr w14:paraId="4C20FA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902" w:type="dxa"/>
            <w:vMerge w:val="continue"/>
            <w:tcBorders>
              <w:right w:val="single" w:color="auto" w:sz="4" w:space="0"/>
            </w:tcBorders>
            <w:vAlign w:val="center"/>
          </w:tcPr>
          <w:p w14:paraId="28A90F8F">
            <w:pPr>
              <w:spacing w:line="440" w:lineRule="exact"/>
              <w:ind w:firstLine="0" w:firstLineChars="0"/>
            </w:pPr>
          </w:p>
        </w:tc>
        <w:tc>
          <w:tcPr>
            <w:tcW w:w="1138" w:type="dxa"/>
            <w:vMerge w:val="continue"/>
            <w:tcBorders>
              <w:right w:val="single" w:color="auto" w:sz="4" w:space="0"/>
            </w:tcBorders>
            <w:vAlign w:val="center"/>
          </w:tcPr>
          <w:p w14:paraId="0D878214">
            <w:pPr>
              <w:spacing w:line="440" w:lineRule="exact"/>
              <w:ind w:firstLine="0" w:firstLineChars="0"/>
            </w:pPr>
          </w:p>
        </w:tc>
        <w:tc>
          <w:tcPr>
            <w:tcW w:w="2590" w:type="dxa"/>
            <w:tcBorders>
              <w:top w:val="single" w:color="auto" w:sz="4" w:space="0"/>
              <w:left w:val="single" w:color="auto" w:sz="4" w:space="0"/>
              <w:bottom w:val="single" w:color="auto" w:sz="4" w:space="0"/>
              <w:right w:val="single" w:color="auto" w:sz="4" w:space="0"/>
            </w:tcBorders>
            <w:vAlign w:val="center"/>
          </w:tcPr>
          <w:p w14:paraId="31E2F21B">
            <w:pPr>
              <w:spacing w:line="440" w:lineRule="exact"/>
              <w:ind w:firstLine="0" w:firstLineChars="0"/>
              <w:jc w:val="center"/>
            </w:pPr>
            <w:r>
              <w:t>投标文件格式</w:t>
            </w:r>
          </w:p>
        </w:tc>
        <w:tc>
          <w:tcPr>
            <w:tcW w:w="4651" w:type="dxa"/>
            <w:tcBorders>
              <w:top w:val="single" w:color="auto" w:sz="4" w:space="0"/>
              <w:left w:val="single" w:color="auto" w:sz="4" w:space="0"/>
              <w:bottom w:val="single" w:color="auto" w:sz="4" w:space="0"/>
              <w:right w:val="single" w:color="auto" w:sz="4" w:space="0"/>
            </w:tcBorders>
            <w:vAlign w:val="center"/>
          </w:tcPr>
          <w:p w14:paraId="4CA0C91C">
            <w:pPr>
              <w:spacing w:line="440" w:lineRule="exact"/>
              <w:ind w:firstLine="0" w:firstLineChars="0"/>
            </w:pPr>
            <w:r>
              <w:t>符合第六章“投标文件格式”的规定</w:t>
            </w:r>
          </w:p>
        </w:tc>
      </w:tr>
      <w:tr w14:paraId="208E1E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473" w:hRule="atLeast"/>
          <w:jc w:val="center"/>
        </w:trPr>
        <w:tc>
          <w:tcPr>
            <w:tcW w:w="902" w:type="dxa"/>
            <w:vMerge w:val="continue"/>
            <w:tcBorders>
              <w:right w:val="single" w:color="auto" w:sz="4" w:space="0"/>
            </w:tcBorders>
            <w:vAlign w:val="center"/>
          </w:tcPr>
          <w:p w14:paraId="3B383495">
            <w:pPr>
              <w:spacing w:line="440" w:lineRule="exact"/>
              <w:ind w:firstLine="0" w:firstLineChars="0"/>
            </w:pPr>
          </w:p>
        </w:tc>
        <w:tc>
          <w:tcPr>
            <w:tcW w:w="1138" w:type="dxa"/>
            <w:vMerge w:val="continue"/>
            <w:tcBorders>
              <w:right w:val="single" w:color="auto" w:sz="4" w:space="0"/>
            </w:tcBorders>
            <w:vAlign w:val="center"/>
          </w:tcPr>
          <w:p w14:paraId="10E241C4">
            <w:pPr>
              <w:spacing w:line="440" w:lineRule="exact"/>
              <w:ind w:firstLine="0" w:firstLineChars="0"/>
            </w:pPr>
          </w:p>
        </w:tc>
        <w:tc>
          <w:tcPr>
            <w:tcW w:w="2590" w:type="dxa"/>
            <w:tcBorders>
              <w:top w:val="single" w:color="auto" w:sz="4" w:space="0"/>
              <w:left w:val="single" w:color="auto" w:sz="4" w:space="0"/>
              <w:right w:val="single" w:color="auto" w:sz="4" w:space="0"/>
            </w:tcBorders>
            <w:vAlign w:val="center"/>
          </w:tcPr>
          <w:p w14:paraId="33D3289F">
            <w:pPr>
              <w:spacing w:line="440" w:lineRule="exact"/>
              <w:ind w:firstLine="0" w:firstLineChars="0"/>
              <w:jc w:val="center"/>
            </w:pPr>
            <w:r>
              <w:t>联合体投标人（如适用）</w:t>
            </w:r>
          </w:p>
        </w:tc>
        <w:tc>
          <w:tcPr>
            <w:tcW w:w="4651" w:type="dxa"/>
            <w:tcBorders>
              <w:top w:val="single" w:color="auto" w:sz="4" w:space="0"/>
              <w:left w:val="single" w:color="auto" w:sz="4" w:space="0"/>
              <w:bottom w:val="single" w:color="auto" w:sz="4" w:space="0"/>
              <w:right w:val="single" w:color="auto" w:sz="4" w:space="0"/>
            </w:tcBorders>
            <w:vAlign w:val="center"/>
          </w:tcPr>
          <w:p w14:paraId="2A6EEA15">
            <w:pPr>
              <w:spacing w:line="440" w:lineRule="exact"/>
              <w:ind w:firstLine="0" w:firstLineChars="0"/>
            </w:pPr>
            <w:r>
              <w:t>提交符合招标文件要求的联合体协议书，明确各方承担连带责任，并明确联合体牵头人</w:t>
            </w:r>
            <w:r>
              <w:rPr>
                <w:rFonts w:hint="eastAsia"/>
              </w:rPr>
              <w:t>。</w:t>
            </w:r>
          </w:p>
        </w:tc>
      </w:tr>
      <w:tr w14:paraId="61F69E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473" w:hRule="atLeast"/>
          <w:jc w:val="center"/>
        </w:trPr>
        <w:tc>
          <w:tcPr>
            <w:tcW w:w="902" w:type="dxa"/>
            <w:vMerge w:val="continue"/>
            <w:tcBorders>
              <w:bottom w:val="single" w:color="auto" w:sz="4" w:space="0"/>
              <w:right w:val="single" w:color="auto" w:sz="4" w:space="0"/>
            </w:tcBorders>
            <w:vAlign w:val="center"/>
          </w:tcPr>
          <w:p w14:paraId="51B9A8E6">
            <w:pPr>
              <w:spacing w:line="440" w:lineRule="exact"/>
              <w:ind w:firstLine="0" w:firstLineChars="0"/>
            </w:pPr>
          </w:p>
        </w:tc>
        <w:tc>
          <w:tcPr>
            <w:tcW w:w="1138" w:type="dxa"/>
            <w:vMerge w:val="continue"/>
            <w:tcBorders>
              <w:right w:val="single" w:color="auto" w:sz="4" w:space="0"/>
            </w:tcBorders>
            <w:vAlign w:val="center"/>
          </w:tcPr>
          <w:p w14:paraId="41C99BCD">
            <w:pPr>
              <w:spacing w:line="440" w:lineRule="exact"/>
              <w:ind w:firstLine="0" w:firstLineChars="0"/>
            </w:pPr>
          </w:p>
        </w:tc>
        <w:tc>
          <w:tcPr>
            <w:tcW w:w="2590" w:type="dxa"/>
            <w:tcBorders>
              <w:top w:val="single" w:color="auto" w:sz="4" w:space="0"/>
              <w:left w:val="single" w:color="auto" w:sz="4" w:space="0"/>
              <w:right w:val="single" w:color="auto" w:sz="4" w:space="0"/>
            </w:tcBorders>
            <w:vAlign w:val="center"/>
          </w:tcPr>
          <w:p w14:paraId="52EFE6A1">
            <w:pPr>
              <w:spacing w:line="440" w:lineRule="exact"/>
              <w:ind w:firstLine="0" w:firstLineChars="0"/>
              <w:jc w:val="center"/>
              <w:rPr>
                <w:rFonts w:hint="eastAsia" w:ascii="华文宋体" w:hAnsi="华文宋体" w:cs="华文宋体"/>
              </w:rPr>
            </w:pPr>
            <w:r>
              <w:rPr>
                <w:rFonts w:hint="eastAsia" w:ascii="华文宋体" w:hAnsi="华文宋体" w:cs="华文宋体"/>
              </w:rPr>
              <w:t>其他</w:t>
            </w:r>
          </w:p>
        </w:tc>
        <w:tc>
          <w:tcPr>
            <w:tcW w:w="4651" w:type="dxa"/>
            <w:tcBorders>
              <w:top w:val="single" w:color="auto" w:sz="4" w:space="0"/>
              <w:left w:val="single" w:color="auto" w:sz="4" w:space="0"/>
              <w:bottom w:val="single" w:color="auto" w:sz="4" w:space="0"/>
              <w:right w:val="single" w:color="auto" w:sz="4" w:space="0"/>
            </w:tcBorders>
            <w:vAlign w:val="center"/>
          </w:tcPr>
          <w:p w14:paraId="45638031">
            <w:pPr>
              <w:numPr>
                <w:ilvl w:val="255"/>
                <w:numId w:val="0"/>
              </w:numPr>
              <w:spacing w:line="440" w:lineRule="exact"/>
              <w:rPr>
                <w:rFonts w:hint="eastAsia" w:ascii="华文宋体" w:hAnsi="华文宋体" w:cs="华文宋体"/>
              </w:rPr>
            </w:pPr>
            <w:r>
              <w:rPr>
                <w:rFonts w:hint="eastAsia" w:ascii="华文宋体" w:hAnsi="华文宋体" w:cs="华文宋体"/>
              </w:rPr>
              <w:t>属于以下情形之一的，视为投标人相互串通投标，投标将被否决：</w:t>
            </w:r>
          </w:p>
          <w:p w14:paraId="602F9258">
            <w:pPr>
              <w:numPr>
                <w:ilvl w:val="255"/>
                <w:numId w:val="0"/>
              </w:numPr>
              <w:spacing w:line="440" w:lineRule="exact"/>
              <w:rPr>
                <w:rFonts w:hint="eastAsia" w:ascii="华文宋体" w:hAnsi="华文宋体" w:cs="华文宋体"/>
              </w:rPr>
            </w:pPr>
            <w:r>
              <w:rPr>
                <w:rFonts w:hint="eastAsia" w:ascii="华文宋体" w:hAnsi="华文宋体" w:cs="华文宋体"/>
              </w:rPr>
              <w:t>1.不同投标人的已标价工程量清单XML电子文档记录的计价软件加密锁序列号信息有一条及以上相同；</w:t>
            </w:r>
          </w:p>
          <w:p w14:paraId="2058506C">
            <w:pPr>
              <w:numPr>
                <w:ilvl w:val="255"/>
                <w:numId w:val="0"/>
              </w:numPr>
              <w:spacing w:line="440" w:lineRule="exact"/>
              <w:rPr>
                <w:rFonts w:hint="eastAsia" w:ascii="华文宋体" w:hAnsi="华文宋体" w:cs="华文宋体"/>
              </w:rPr>
            </w:pPr>
            <w:r>
              <w:rPr>
                <w:rFonts w:hint="eastAsia" w:ascii="华文宋体" w:hAnsi="华文宋体" w:cs="华文宋体"/>
              </w:rPr>
              <w:t>2.电子投标文件中投标报价用同一序列号的编辑计价软件制作；</w:t>
            </w:r>
          </w:p>
          <w:p w14:paraId="63402548">
            <w:pPr>
              <w:numPr>
                <w:ilvl w:val="255"/>
                <w:numId w:val="0"/>
              </w:numPr>
              <w:spacing w:line="440" w:lineRule="exact"/>
              <w:rPr>
                <w:rFonts w:hint="eastAsia" w:ascii="华文宋体" w:hAnsi="华文宋体" w:cs="华文宋体"/>
              </w:rPr>
            </w:pPr>
            <w:r>
              <w:rPr>
                <w:rFonts w:hint="eastAsia" w:ascii="华文宋体" w:hAnsi="华文宋体" w:cs="华文宋体"/>
              </w:rPr>
              <w:t>3.不同投标人的电子投标/报价文件编制时的计算机网卡MAC地址、CPU序列号、硬盘序列号和机器码等硬件信息均异常一致的；</w:t>
            </w:r>
          </w:p>
          <w:p w14:paraId="5B10258F">
            <w:pPr>
              <w:numPr>
                <w:ilvl w:val="255"/>
                <w:numId w:val="0"/>
              </w:numPr>
              <w:spacing w:line="440" w:lineRule="exact"/>
              <w:rPr>
                <w:rFonts w:hint="eastAsia" w:ascii="华文宋体" w:hAnsi="华文宋体" w:cs="华文宋体"/>
              </w:rPr>
            </w:pPr>
            <w:r>
              <w:rPr>
                <w:rFonts w:hint="eastAsia" w:ascii="华文宋体" w:hAnsi="华文宋体" w:cs="华文宋体"/>
              </w:rPr>
              <w:t>4.不同投标人从同一IP地址下载采购文件、资格预审文件或招标文件的，不同投标人从同一IP地址上传投标文件、报价文件等；</w:t>
            </w:r>
          </w:p>
          <w:p w14:paraId="502DA7C3">
            <w:pPr>
              <w:numPr>
                <w:ilvl w:val="255"/>
                <w:numId w:val="0"/>
              </w:numPr>
              <w:spacing w:line="440" w:lineRule="exact"/>
              <w:rPr>
                <w:rFonts w:hint="eastAsia" w:ascii="华文宋体" w:hAnsi="华文宋体" w:cs="华文宋体"/>
              </w:rPr>
            </w:pPr>
            <w:r>
              <w:rPr>
                <w:rFonts w:hint="eastAsia" w:ascii="华文宋体" w:hAnsi="华文宋体" w:cs="华文宋体"/>
              </w:rPr>
              <w:t>5.不同投标人的投标文件存在两处以上错、漏内容一致或技术方案等实质性内容异常一致的；</w:t>
            </w:r>
          </w:p>
          <w:p w14:paraId="752C5C57">
            <w:pPr>
              <w:numPr>
                <w:ilvl w:val="255"/>
                <w:numId w:val="0"/>
              </w:numPr>
              <w:spacing w:line="440" w:lineRule="exact"/>
              <w:rPr>
                <w:rFonts w:hint="eastAsia" w:ascii="华文宋体" w:hAnsi="华文宋体" w:cs="华文宋体"/>
              </w:rPr>
            </w:pPr>
            <w:r>
              <w:rPr>
                <w:rFonts w:hint="eastAsia" w:ascii="华文宋体" w:hAnsi="华文宋体" w:cs="华文宋体"/>
              </w:rPr>
              <w:t>6.不同投标人的投标报价呈等差数列、报价的差额本身呈等差数列或者规律性的百分比等情况的；</w:t>
            </w:r>
          </w:p>
          <w:p w14:paraId="680876EB">
            <w:pPr>
              <w:numPr>
                <w:ilvl w:val="255"/>
                <w:numId w:val="0"/>
              </w:numPr>
              <w:spacing w:line="440" w:lineRule="exact"/>
              <w:rPr>
                <w:rFonts w:hint="eastAsia" w:ascii="华文宋体" w:hAnsi="华文宋体" w:cs="华文宋体"/>
              </w:rPr>
            </w:pPr>
            <w:r>
              <w:rPr>
                <w:rFonts w:hint="eastAsia" w:ascii="华文宋体" w:hAnsi="华文宋体" w:cs="华文宋体"/>
              </w:rPr>
              <w:t>7.不同投标人的电子投标文件载明的法人、项目管理成员、被授权人或者联系人为同一人的；</w:t>
            </w:r>
          </w:p>
          <w:p w14:paraId="50A5B0EA">
            <w:pPr>
              <w:numPr>
                <w:ilvl w:val="255"/>
                <w:numId w:val="0"/>
              </w:numPr>
              <w:spacing w:line="440" w:lineRule="exact"/>
              <w:rPr>
                <w:rFonts w:hint="eastAsia" w:ascii="华文宋体" w:hAnsi="华文宋体" w:cs="华文宋体"/>
              </w:rPr>
            </w:pPr>
            <w:r>
              <w:rPr>
                <w:rFonts w:hint="eastAsia" w:ascii="华文宋体" w:hAnsi="华文宋体" w:cs="华文宋体"/>
              </w:rPr>
              <w:t>8.不同投标人用同一支付账号购买采购文件、资格预审文件或招标文件的；</w:t>
            </w:r>
          </w:p>
          <w:p w14:paraId="1AFF563E">
            <w:pPr>
              <w:numPr>
                <w:ilvl w:val="255"/>
                <w:numId w:val="0"/>
              </w:numPr>
              <w:spacing w:line="440" w:lineRule="exact"/>
              <w:rPr>
                <w:rFonts w:hint="eastAsia" w:ascii="华文宋体" w:hAnsi="华文宋体" w:cs="华文宋体"/>
              </w:rPr>
            </w:pPr>
            <w:r>
              <w:rPr>
                <w:rFonts w:hint="eastAsia" w:ascii="华文宋体" w:hAnsi="华文宋体" w:cs="华文宋体"/>
              </w:rPr>
              <w:t>9.不同投标人存在投标保证金混缴等情况；</w:t>
            </w:r>
          </w:p>
          <w:p w14:paraId="30068180">
            <w:pPr>
              <w:spacing w:line="440" w:lineRule="exact"/>
              <w:ind w:firstLine="0" w:firstLineChars="0"/>
              <w:rPr>
                <w:rFonts w:hint="eastAsia" w:ascii="华文宋体" w:hAnsi="华文宋体" w:cs="华文宋体"/>
              </w:rPr>
            </w:pPr>
            <w:r>
              <w:rPr>
                <w:rFonts w:hint="eastAsia" w:ascii="华文宋体" w:hAnsi="华文宋体" w:cs="华文宋体"/>
              </w:rPr>
              <w:t>10.国家、省、行业部门规定的其他利用数字化手段串通投标情形。</w:t>
            </w:r>
          </w:p>
        </w:tc>
      </w:tr>
    </w:tbl>
    <w:p w14:paraId="5DF1D82D">
      <w:pPr>
        <w:ind w:firstLine="480"/>
      </w:pPr>
    </w:p>
    <w:p w14:paraId="5E339D04">
      <w:pPr>
        <w:spacing w:line="440" w:lineRule="exact"/>
        <w:ind w:firstLine="0" w:firstLineChars="0"/>
        <w:jc w:val="center"/>
        <w:rPr>
          <w:b/>
          <w:bCs/>
        </w:rPr>
      </w:pPr>
      <w:r>
        <w:rPr>
          <w:rFonts w:hint="eastAsia"/>
          <w:b/>
          <w:bCs/>
        </w:rPr>
        <w:t>条款2.1.2.资格评审标准</w:t>
      </w:r>
    </w:p>
    <w:tbl>
      <w:tblPr>
        <w:tblStyle w:val="20"/>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
        <w:gridCol w:w="1136"/>
        <w:gridCol w:w="2591"/>
        <w:gridCol w:w="4652"/>
      </w:tblGrid>
      <w:tr w14:paraId="36C3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8" w:type="dxa"/>
            <w:gridSpan w:val="2"/>
            <w:tcBorders>
              <w:top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2424EA62">
            <w:pPr>
              <w:spacing w:line="440" w:lineRule="exact"/>
              <w:ind w:firstLine="0" w:firstLineChars="0"/>
              <w:jc w:val="center"/>
              <w:rPr>
                <w:b/>
              </w:rPr>
            </w:pPr>
            <w:r>
              <w:rPr>
                <w:b/>
                <w:bCs/>
              </w:rPr>
              <w:t>条款号</w:t>
            </w:r>
          </w:p>
        </w:tc>
        <w:tc>
          <w:tcPr>
            <w:tcW w:w="2591"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05361901">
            <w:pPr>
              <w:spacing w:line="440" w:lineRule="exact"/>
              <w:ind w:firstLine="0" w:firstLineChars="0"/>
              <w:jc w:val="center"/>
              <w:rPr>
                <w:b/>
              </w:rPr>
            </w:pPr>
            <w:r>
              <w:rPr>
                <w:b/>
                <w:bCs/>
              </w:rPr>
              <w:t>评审因素</w:t>
            </w:r>
          </w:p>
        </w:tc>
        <w:tc>
          <w:tcPr>
            <w:tcW w:w="4652"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1251AC68">
            <w:pPr>
              <w:spacing w:line="440" w:lineRule="exact"/>
              <w:ind w:firstLine="0" w:firstLineChars="0"/>
              <w:jc w:val="center"/>
              <w:rPr>
                <w:b/>
              </w:rPr>
            </w:pPr>
            <w:r>
              <w:rPr>
                <w:b/>
                <w:bCs/>
              </w:rPr>
              <w:t>评审标准</w:t>
            </w:r>
          </w:p>
        </w:tc>
      </w:tr>
      <w:tr w14:paraId="0146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restart"/>
            <w:tcBorders>
              <w:top w:val="single" w:color="auto" w:sz="4" w:space="0"/>
              <w:bottom w:val="single" w:color="auto" w:sz="4" w:space="0"/>
              <w:right w:val="single" w:color="auto" w:sz="4" w:space="0"/>
            </w:tcBorders>
            <w:tcMar>
              <w:left w:w="108" w:type="dxa"/>
              <w:right w:w="108" w:type="dxa"/>
            </w:tcMar>
            <w:vAlign w:val="center"/>
          </w:tcPr>
          <w:p w14:paraId="5538F7AD">
            <w:pPr>
              <w:spacing w:line="440" w:lineRule="exact"/>
              <w:ind w:firstLine="0" w:firstLineChars="0"/>
              <w:jc w:val="center"/>
            </w:pPr>
            <w:r>
              <w:rPr>
                <w:spacing w:val="-7"/>
                <w:szCs w:val="21"/>
              </w:rPr>
              <w:t>2.1.2</w:t>
            </w:r>
          </w:p>
        </w:tc>
        <w:tc>
          <w:tcPr>
            <w:tcW w:w="1136" w:type="dxa"/>
            <w:vMerge w:val="restart"/>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79BCD1A">
            <w:pPr>
              <w:spacing w:line="440" w:lineRule="exact"/>
              <w:ind w:firstLine="0" w:firstLineChars="0"/>
              <w:jc w:val="center"/>
            </w:pPr>
            <w:r>
              <w:rPr>
                <w:spacing w:val="-7"/>
                <w:szCs w:val="21"/>
              </w:rPr>
              <w:t>资格评审标准</w:t>
            </w: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F10C5C5">
            <w:pPr>
              <w:spacing w:line="440" w:lineRule="exact"/>
              <w:ind w:firstLine="0" w:firstLineChars="0"/>
              <w:jc w:val="center"/>
            </w:pPr>
            <w:r>
              <w:t>资质要求</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F8BE039">
            <w:pPr>
              <w:wordWrap/>
              <w:snapToGrid/>
              <w:ind w:firstLine="0" w:firstLineChars="0"/>
            </w:pPr>
            <w:r>
              <w:rPr>
                <w:rFonts w:hint="eastAsia"/>
              </w:rPr>
              <w:t>投标人必须是在中华人民共和国境内注册，具有合法经营资格的国内独立法人的企业，投标人应提供营业执照副本，营业期限应在有效期范围内；</w:t>
            </w:r>
          </w:p>
        </w:tc>
      </w:tr>
      <w:tr w14:paraId="1EF6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136E5709">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FB857B5">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FBFF461">
            <w:pPr>
              <w:spacing w:line="440" w:lineRule="exact"/>
              <w:ind w:firstLine="0" w:firstLineChars="0"/>
              <w:jc w:val="center"/>
            </w:pPr>
            <w:r>
              <w:t>信誉要求</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386FB45">
            <w:pPr>
              <w:wordWrap/>
              <w:snapToGrid/>
              <w:ind w:firstLine="0" w:firstLineChars="0"/>
            </w:pPr>
            <w:r>
              <w:t>投标人未列入发改委和人行“信用中国”网</w:t>
            </w:r>
            <w:r>
              <w:rPr>
                <w:rFonts w:hint="eastAsia"/>
              </w:rPr>
              <w:t>（</w:t>
            </w:r>
            <w:r>
              <w:t>www.creditchina.gov.cn</w:t>
            </w:r>
            <w:r>
              <w:rPr>
                <w:rFonts w:hint="eastAsia"/>
              </w:rPr>
              <w:t>）</w:t>
            </w:r>
            <w:r>
              <w:t>严重失信名单，提供</w:t>
            </w:r>
            <w:r>
              <w:rPr>
                <w:rFonts w:hint="eastAsia"/>
              </w:rPr>
              <w:t>信用报告（下载路径：登录网站-右上角信用信息输入公司名称-点击搜索-下载信用信息报告）；</w:t>
            </w:r>
          </w:p>
        </w:tc>
      </w:tr>
      <w:tr w14:paraId="29D6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0547E7FB">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60EA288">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EF412B0">
            <w:pPr>
              <w:spacing w:line="440" w:lineRule="exact"/>
              <w:ind w:firstLine="0" w:firstLineChars="0"/>
              <w:jc w:val="center"/>
            </w:pPr>
            <w:r>
              <w:rPr>
                <w:rFonts w:hint="eastAsia"/>
              </w:rPr>
              <w:t>业务要求</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BB42704">
            <w:pPr>
              <w:pStyle w:val="26"/>
              <w:keepNext w:val="0"/>
              <w:keepLines w:val="0"/>
              <w:pageBreakBefore w:val="0"/>
              <w:widowControl w:val="0"/>
              <w:kinsoku/>
              <w:wordWrap/>
              <w:overflowPunct/>
              <w:topLinePunct w:val="0"/>
              <w:autoSpaceDE/>
              <w:autoSpaceDN/>
              <w:bidi w:val="0"/>
              <w:adjustRightInd/>
              <w:snapToGrid w:val="0"/>
              <w:spacing w:line="360" w:lineRule="auto"/>
              <w:textAlignment w:val="auto"/>
            </w:pPr>
            <w:r>
              <w:rPr>
                <w:rFonts w:hint="eastAsia" w:ascii="Times New Roman" w:hAnsi="Times New Roman" w:eastAsia="华文宋体" w:cs="Times New Roman"/>
                <w:kern w:val="0"/>
                <w:sz w:val="24"/>
                <w:szCs w:val="20"/>
                <w:lang w:val="en-US" w:eastAsia="zh-CN" w:bidi="ar-SA"/>
              </w:rPr>
              <w:t>投标人须具有信息系统二次开发能力，须提供自2023年1月1日至投标截止之日（以合同签订时间为准）已完工的至少1份“三维研发类产品配置管理系统有效业绩”；该有效业绩是指合同内容包含三维研发类产品配置管理系统的实施、二次开发、系统集成或运维服务，且能体现与三维研发设计平台（如三维CAD/PLM等）进行数据集成或二次开发内容的项目业绩。证明材料须提供合同关键页扫描件（含甲乙双方签章、签约日期、采购标的及服务内容）及发票、项目竣工验收单或甲方使用证明任选其一作为配套佐证材料；业绩主体须为投标人本身，材料须加盖投标人公章，否则不予认可。</w:t>
            </w:r>
          </w:p>
        </w:tc>
      </w:tr>
      <w:tr w14:paraId="2394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5EC31248">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8C5A18F">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8BFE3A3">
            <w:pPr>
              <w:spacing w:line="440" w:lineRule="exact"/>
              <w:ind w:firstLine="0" w:firstLineChars="0"/>
              <w:jc w:val="center"/>
            </w:pPr>
            <w:r>
              <w:rPr>
                <w:rFonts w:hint="eastAsia"/>
              </w:rPr>
              <w:t>财务要求</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0ED8EAE">
            <w:pPr>
              <w:ind w:firstLine="0" w:firstLineChars="0"/>
            </w:pPr>
            <w:r>
              <w:rPr>
                <w:rFonts w:hint="eastAsia"/>
              </w:rPr>
              <w:t>/。</w:t>
            </w:r>
          </w:p>
        </w:tc>
      </w:tr>
      <w:tr w14:paraId="6BEC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0CF9CD0B">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7A479CD">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BC468D7">
            <w:pPr>
              <w:spacing w:line="440" w:lineRule="exact"/>
              <w:ind w:firstLine="0" w:firstLineChars="0"/>
              <w:jc w:val="center"/>
            </w:pPr>
            <w:r>
              <w:rPr>
                <w:rFonts w:hint="eastAsia"/>
              </w:rPr>
              <w:t>人员要求</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BB60940">
            <w:pPr>
              <w:numPr>
                <w:ilvl w:val="255"/>
                <w:numId w:val="0"/>
              </w:numPr>
              <w:jc w:val="left"/>
            </w:pPr>
            <w:r>
              <w:rPr>
                <w:rFonts w:hint="eastAsia"/>
              </w:rPr>
              <w:t>/。</w:t>
            </w:r>
          </w:p>
        </w:tc>
      </w:tr>
      <w:tr w14:paraId="7C34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5A1D07F4">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4C0CF49">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945A344">
            <w:pPr>
              <w:spacing w:line="440" w:lineRule="exact"/>
              <w:ind w:firstLine="0" w:firstLineChars="0"/>
              <w:jc w:val="center"/>
            </w:pPr>
            <w:r>
              <w:rPr>
                <w:rFonts w:hint="eastAsia"/>
              </w:rPr>
              <w:t>设备要求</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499ABD0">
            <w:pPr>
              <w:numPr>
                <w:ilvl w:val="255"/>
                <w:numId w:val="0"/>
              </w:numPr>
            </w:pPr>
            <w:r>
              <w:rPr>
                <w:rFonts w:hint="eastAsia"/>
              </w:rPr>
              <w:t>/。</w:t>
            </w:r>
          </w:p>
        </w:tc>
      </w:tr>
      <w:tr w14:paraId="2022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607D61BF">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7173942">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CFDEA57">
            <w:pPr>
              <w:spacing w:line="440" w:lineRule="exact"/>
              <w:ind w:firstLine="0" w:firstLineChars="0"/>
              <w:jc w:val="center"/>
            </w:pPr>
            <w:r>
              <w:rPr>
                <w:spacing w:val="-7"/>
                <w:szCs w:val="21"/>
              </w:rPr>
              <w:t>其他要求</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F743AA1">
            <w:pPr>
              <w:ind w:firstLine="0" w:firstLineChars="0"/>
            </w:pPr>
            <w:r>
              <w:t>提供以下内容的承诺函</w:t>
            </w:r>
            <w:r>
              <w:rPr>
                <w:rFonts w:hint="eastAsia"/>
              </w:rPr>
              <w:t>：</w:t>
            </w:r>
          </w:p>
          <w:p w14:paraId="4717B16B">
            <w:pPr>
              <w:ind w:firstLine="0" w:firstLineChars="0"/>
            </w:pPr>
            <w:r>
              <w:rPr>
                <w:rFonts w:hint="eastAsia"/>
              </w:rPr>
              <w:t>无不良违规记录承诺函：</w:t>
            </w:r>
            <w:r>
              <w:t>投标人在参与本次投标前三年内（2023年至今），不得出现下列任一情形（</w:t>
            </w:r>
            <w:r>
              <w:rPr>
                <w:rFonts w:hint="eastAsia"/>
              </w:rPr>
              <w:t>按照下列要求</w:t>
            </w:r>
            <w:r>
              <w:t>提供投标人无不良违规记录承诺</w:t>
            </w:r>
            <w:r>
              <w:rPr>
                <w:rFonts w:hint="eastAsia"/>
              </w:rPr>
              <w:t>）。</w:t>
            </w:r>
          </w:p>
          <w:p w14:paraId="290919F6">
            <w:pPr>
              <w:ind w:firstLine="0" w:firstLineChars="0"/>
            </w:pPr>
            <w:r>
              <w:t>（1）被依法暂停或者取消投标资格；</w:t>
            </w:r>
          </w:p>
          <w:p w14:paraId="5CD11813">
            <w:pPr>
              <w:ind w:firstLine="0" w:firstLineChars="0"/>
            </w:pPr>
            <w:r>
              <w:t>（2）被责令停产停业、暂扣或者吊销许可证、暂扣或者吊销执照；</w:t>
            </w:r>
          </w:p>
          <w:p w14:paraId="2E255B03">
            <w:pPr>
              <w:ind w:firstLine="0" w:firstLineChars="0"/>
            </w:pPr>
            <w:r>
              <w:t>（3）进入清算程序，或被宣告破产，或其他丧失履约能力的情形；</w:t>
            </w:r>
          </w:p>
          <w:p w14:paraId="28AF63DC">
            <w:pPr>
              <w:ind w:firstLine="0" w:firstLineChars="0"/>
            </w:pPr>
            <w:r>
              <w:t>（4）投标人或其法定代表人有行贿犯罪行为；</w:t>
            </w:r>
          </w:p>
          <w:p w14:paraId="1CE5611D">
            <w:pPr>
              <w:spacing w:line="240" w:lineRule="auto"/>
              <w:ind w:firstLine="0" w:firstLineChars="0"/>
            </w:pPr>
            <w:r>
              <w:t>（5）发生骗取中标、严重违约的情况及重大质量问题。</w:t>
            </w:r>
          </w:p>
        </w:tc>
      </w:tr>
      <w:tr w14:paraId="68CB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0D7CF23E">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E27E0AE">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BE337D2">
            <w:pPr>
              <w:spacing w:line="440" w:lineRule="exact"/>
              <w:ind w:firstLine="0" w:firstLineChars="0"/>
              <w:jc w:val="center"/>
            </w:pPr>
            <w:r>
              <w:rPr>
                <w:spacing w:val="-7"/>
                <w:szCs w:val="21"/>
              </w:rPr>
              <w:t>联合体投标人</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3C02093">
            <w:pPr>
              <w:spacing w:line="440" w:lineRule="exact"/>
              <w:ind w:firstLine="0" w:firstLineChars="0"/>
            </w:pPr>
            <w:r>
              <w:rPr>
                <w:rFonts w:hint="eastAsia"/>
              </w:rPr>
              <w:t>否</w:t>
            </w:r>
          </w:p>
        </w:tc>
      </w:tr>
      <w:tr w14:paraId="473A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53821230">
            <w:pPr>
              <w:ind w:firstLine="480"/>
            </w:pPr>
          </w:p>
        </w:tc>
        <w:tc>
          <w:tcPr>
            <w:tcW w:w="1136"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E2021CA">
            <w:pPr>
              <w:ind w:firstLine="480"/>
            </w:pPr>
          </w:p>
        </w:tc>
        <w:tc>
          <w:tcPr>
            <w:tcW w:w="25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4BD1995">
            <w:pPr>
              <w:spacing w:line="440" w:lineRule="exact"/>
              <w:ind w:firstLine="0" w:firstLineChars="0"/>
              <w:jc w:val="center"/>
            </w:pPr>
            <w:r>
              <w:rPr>
                <w:spacing w:val="-7"/>
                <w:szCs w:val="21"/>
              </w:rPr>
              <w:t>不存在禁止投标的情形</w:t>
            </w:r>
          </w:p>
        </w:tc>
        <w:tc>
          <w:tcPr>
            <w:tcW w:w="465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4394908">
            <w:pPr>
              <w:spacing w:line="440" w:lineRule="exact"/>
              <w:ind w:firstLine="0" w:firstLineChars="0"/>
            </w:pPr>
            <w:r>
              <w:t>（1）投标人资格要求中需要提供的资格证明材料，在投标文件中务必提供齐全，否则将可能导致不合格的投标；</w:t>
            </w:r>
          </w:p>
          <w:p w14:paraId="4964C75D">
            <w:pPr>
              <w:spacing w:line="440" w:lineRule="exact"/>
              <w:ind w:firstLine="0" w:firstLineChars="0"/>
            </w:pPr>
            <w:r>
              <w:t>（2）本次招标的投标人资质审查方式采用资格后审（即投标人资格是否符合招标要求由评标委员会在评标时确定），报名通过并成功购买到招标文件的投标人，不代表已经通过资格审查；</w:t>
            </w:r>
          </w:p>
          <w:p w14:paraId="6F5FC709">
            <w:pPr>
              <w:spacing w:line="440" w:lineRule="exact"/>
              <w:ind w:firstLine="0" w:firstLineChars="0"/>
            </w:pPr>
            <w:r>
              <w:t>（3）有违反法律法规行为，依法被取消竞标资格且期限未满的不得参加此次投标；</w:t>
            </w:r>
          </w:p>
          <w:p w14:paraId="219F4CA7">
            <w:pPr>
              <w:spacing w:line="440" w:lineRule="exact"/>
              <w:ind w:firstLine="0" w:firstLineChars="0"/>
            </w:pPr>
            <w:r>
              <w:t>（4）在招标竞标活动中有违法违规等不良行为，被招标竞标管理部门公示限制竞标且限制期限未满的不得参加此次投标；</w:t>
            </w:r>
          </w:p>
          <w:p w14:paraId="7DEFA4B4">
            <w:pPr>
              <w:spacing w:line="440" w:lineRule="exact"/>
              <w:ind w:firstLine="0" w:firstLineChars="0"/>
            </w:pPr>
            <w:r>
              <w:t>（5）单位负责人为同一人或者存在控股、管理关系的不同单位，不得参加同一标段投标或者未划分标段的同一招标项目投标。</w:t>
            </w:r>
          </w:p>
        </w:tc>
      </w:tr>
    </w:tbl>
    <w:p w14:paraId="329F94FB">
      <w:pPr>
        <w:ind w:firstLine="480"/>
      </w:pPr>
    </w:p>
    <w:p w14:paraId="0FFC31DA">
      <w:pPr>
        <w:spacing w:line="440" w:lineRule="exact"/>
        <w:ind w:firstLine="0" w:firstLineChars="0"/>
        <w:jc w:val="center"/>
        <w:rPr>
          <w:b/>
          <w:bCs/>
        </w:rPr>
      </w:pPr>
      <w:r>
        <w:rPr>
          <w:rFonts w:hint="eastAsia"/>
          <w:b/>
          <w:bCs/>
        </w:rPr>
        <w:t>条款2.1.3响应性评审标准</w:t>
      </w:r>
    </w:p>
    <w:tbl>
      <w:tblPr>
        <w:tblStyle w:val="20"/>
        <w:tblW w:w="92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
        <w:gridCol w:w="1138"/>
        <w:gridCol w:w="2590"/>
        <w:gridCol w:w="4651"/>
      </w:tblGrid>
      <w:tr w14:paraId="478F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gridSpan w:val="2"/>
            <w:tcBorders>
              <w:top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3E838B9A">
            <w:pPr>
              <w:spacing w:line="440" w:lineRule="exact"/>
              <w:ind w:firstLine="0" w:firstLineChars="0"/>
              <w:jc w:val="center"/>
              <w:rPr>
                <w:b/>
              </w:rPr>
            </w:pPr>
            <w:r>
              <w:rPr>
                <w:b/>
                <w:bCs/>
              </w:rPr>
              <w:t>条款号</w:t>
            </w:r>
          </w:p>
        </w:tc>
        <w:tc>
          <w:tcPr>
            <w:tcW w:w="259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30028019">
            <w:pPr>
              <w:spacing w:line="440" w:lineRule="exact"/>
              <w:ind w:firstLine="0" w:firstLineChars="0"/>
              <w:jc w:val="center"/>
              <w:rPr>
                <w:b/>
              </w:rPr>
            </w:pPr>
            <w:r>
              <w:rPr>
                <w:b/>
                <w:bCs/>
              </w:rPr>
              <w:t>评审因素</w:t>
            </w:r>
          </w:p>
        </w:tc>
        <w:tc>
          <w:tcPr>
            <w:tcW w:w="4651" w:type="dxa"/>
            <w:tcBorders>
              <w:top w:val="single" w:color="auto" w:sz="4" w:space="0"/>
              <w:left w:val="single" w:color="auto" w:sz="4" w:space="0"/>
              <w:bottom w:val="single" w:color="auto" w:sz="4" w:space="0"/>
            </w:tcBorders>
            <w:shd w:val="clear" w:color="auto" w:fill="D7D7D7" w:themeFill="background1" w:themeFillShade="D8"/>
            <w:tcMar>
              <w:left w:w="108" w:type="dxa"/>
              <w:right w:w="108" w:type="dxa"/>
            </w:tcMar>
            <w:vAlign w:val="center"/>
          </w:tcPr>
          <w:p w14:paraId="411B99E8">
            <w:pPr>
              <w:spacing w:line="440" w:lineRule="exact"/>
              <w:ind w:firstLine="0" w:firstLineChars="0"/>
              <w:jc w:val="center"/>
              <w:rPr>
                <w:b/>
              </w:rPr>
            </w:pPr>
            <w:r>
              <w:rPr>
                <w:b/>
                <w:bCs/>
              </w:rPr>
              <w:t>评审标准</w:t>
            </w:r>
          </w:p>
        </w:tc>
      </w:tr>
      <w:tr w14:paraId="7661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restart"/>
            <w:tcBorders>
              <w:top w:val="single" w:color="auto" w:sz="4" w:space="0"/>
              <w:bottom w:val="single" w:color="auto" w:sz="4" w:space="0"/>
              <w:right w:val="single" w:color="auto" w:sz="4" w:space="0"/>
            </w:tcBorders>
            <w:tcMar>
              <w:left w:w="108" w:type="dxa"/>
              <w:right w:w="108" w:type="dxa"/>
            </w:tcMar>
            <w:vAlign w:val="center"/>
          </w:tcPr>
          <w:p w14:paraId="0890150A">
            <w:pPr>
              <w:spacing w:line="440" w:lineRule="exact"/>
              <w:ind w:firstLine="0" w:firstLineChars="0"/>
              <w:jc w:val="center"/>
            </w:pPr>
            <w:r>
              <w:rPr>
                <w:spacing w:val="-7"/>
                <w:szCs w:val="21"/>
              </w:rPr>
              <w:t>2.1.3</w:t>
            </w:r>
          </w:p>
        </w:tc>
        <w:tc>
          <w:tcPr>
            <w:tcW w:w="1138" w:type="dxa"/>
            <w:vMerge w:val="restart"/>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74C2264">
            <w:pPr>
              <w:spacing w:line="440" w:lineRule="exact"/>
              <w:ind w:firstLine="0" w:firstLineChars="0"/>
              <w:jc w:val="center"/>
            </w:pPr>
            <w:r>
              <w:rPr>
                <w:spacing w:val="-7"/>
                <w:szCs w:val="21"/>
              </w:rPr>
              <w:t>响应性评审标准</w:t>
            </w:r>
          </w:p>
        </w:tc>
        <w:tc>
          <w:tcPr>
            <w:tcW w:w="259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68665A6">
            <w:pPr>
              <w:spacing w:line="440" w:lineRule="exact"/>
              <w:ind w:firstLine="0" w:firstLineChars="0"/>
              <w:jc w:val="center"/>
            </w:pPr>
            <w:r>
              <w:rPr>
                <w:spacing w:val="-7"/>
                <w:szCs w:val="21"/>
              </w:rPr>
              <w:t>投标报价</w:t>
            </w:r>
          </w:p>
        </w:tc>
        <w:tc>
          <w:tcPr>
            <w:tcW w:w="4651" w:type="dxa"/>
            <w:tcBorders>
              <w:top w:val="single" w:color="auto" w:sz="4" w:space="0"/>
              <w:left w:val="single" w:color="auto" w:sz="4" w:space="0"/>
              <w:bottom w:val="single" w:color="auto" w:sz="4" w:space="0"/>
            </w:tcBorders>
            <w:tcMar>
              <w:left w:w="108" w:type="dxa"/>
              <w:right w:w="108" w:type="dxa"/>
            </w:tcMar>
            <w:vAlign w:val="center"/>
          </w:tcPr>
          <w:p w14:paraId="45064D69">
            <w:pPr>
              <w:spacing w:line="440" w:lineRule="exact"/>
              <w:ind w:firstLine="0" w:firstLineChars="0"/>
            </w:pPr>
            <w:r>
              <w:rPr>
                <w:spacing w:val="-7"/>
                <w:szCs w:val="21"/>
              </w:rPr>
              <w:t>符合第二章“投标人须知”第3.2款规定</w:t>
            </w:r>
          </w:p>
        </w:tc>
      </w:tr>
      <w:tr w14:paraId="72BB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4327AC9C">
            <w:pPr>
              <w:ind w:firstLine="480"/>
            </w:pPr>
          </w:p>
        </w:tc>
        <w:tc>
          <w:tcPr>
            <w:tcW w:w="1138"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187D8A3">
            <w:pPr>
              <w:ind w:firstLine="480"/>
            </w:pPr>
          </w:p>
        </w:tc>
        <w:tc>
          <w:tcPr>
            <w:tcW w:w="259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23EE426">
            <w:pPr>
              <w:spacing w:line="440" w:lineRule="exact"/>
              <w:ind w:firstLine="0" w:firstLineChars="0"/>
              <w:jc w:val="center"/>
            </w:pPr>
            <w:r>
              <w:rPr>
                <w:spacing w:val="-7"/>
                <w:szCs w:val="21"/>
              </w:rPr>
              <w:t>实质性响应</w:t>
            </w:r>
          </w:p>
        </w:tc>
        <w:tc>
          <w:tcPr>
            <w:tcW w:w="4651" w:type="dxa"/>
            <w:tcBorders>
              <w:top w:val="single" w:color="auto" w:sz="4" w:space="0"/>
              <w:left w:val="single" w:color="auto" w:sz="4" w:space="0"/>
              <w:bottom w:val="single" w:color="auto" w:sz="4" w:space="0"/>
            </w:tcBorders>
            <w:tcMar>
              <w:left w:w="108" w:type="dxa"/>
              <w:right w:w="108" w:type="dxa"/>
            </w:tcMar>
            <w:vAlign w:val="center"/>
          </w:tcPr>
          <w:p w14:paraId="119DC87D">
            <w:pPr>
              <w:spacing w:line="440" w:lineRule="exact"/>
              <w:ind w:firstLine="0" w:firstLineChars="0"/>
              <w:jc w:val="left"/>
            </w:pPr>
            <w:r>
              <w:rPr>
                <w:spacing w:val="-7"/>
                <w:szCs w:val="21"/>
              </w:rPr>
              <w:t>不得存在第三章“评标办法”第3.1.2项的情况</w:t>
            </w:r>
          </w:p>
        </w:tc>
      </w:tr>
      <w:tr w14:paraId="37C8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6F624C7A">
            <w:pPr>
              <w:ind w:firstLine="480"/>
            </w:pPr>
          </w:p>
        </w:tc>
        <w:tc>
          <w:tcPr>
            <w:tcW w:w="1138"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1AAEBCC">
            <w:pPr>
              <w:ind w:firstLine="480"/>
            </w:pPr>
          </w:p>
        </w:tc>
        <w:tc>
          <w:tcPr>
            <w:tcW w:w="259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45D8B4E">
            <w:pPr>
              <w:spacing w:line="440" w:lineRule="exact"/>
              <w:ind w:firstLine="0" w:firstLineChars="0"/>
              <w:jc w:val="center"/>
            </w:pPr>
            <w:r>
              <w:rPr>
                <w:rFonts w:hint="eastAsia"/>
              </w:rPr>
              <w:t>商务响应</w:t>
            </w:r>
          </w:p>
        </w:tc>
        <w:tc>
          <w:tcPr>
            <w:tcW w:w="4651" w:type="dxa"/>
            <w:tcBorders>
              <w:top w:val="single" w:color="auto" w:sz="4" w:space="0"/>
              <w:left w:val="single" w:color="auto" w:sz="4" w:space="0"/>
              <w:bottom w:val="single" w:color="auto" w:sz="4" w:space="0"/>
            </w:tcBorders>
            <w:tcMar>
              <w:left w:w="108" w:type="dxa"/>
              <w:right w:w="108" w:type="dxa"/>
            </w:tcMar>
            <w:vAlign w:val="center"/>
          </w:tcPr>
          <w:p w14:paraId="14FCEE60">
            <w:pPr>
              <w:spacing w:line="440" w:lineRule="exact"/>
              <w:ind w:firstLine="0" w:firstLineChars="0"/>
              <w:jc w:val="left"/>
            </w:pPr>
            <w:r>
              <w:t>是否实质性响应投标有效期、投标保证金商务要求</w:t>
            </w:r>
            <w:r>
              <w:rPr>
                <w:rFonts w:hint="eastAsia"/>
              </w:rPr>
              <w:t>。</w:t>
            </w:r>
            <w:r>
              <w:rPr>
                <w:rFonts w:hint="eastAsia"/>
                <w:b/>
                <w:bCs/>
                <w:color w:val="FF0000"/>
              </w:rPr>
              <w:t>如未能满足的，按无效投标处理。</w:t>
            </w:r>
          </w:p>
        </w:tc>
      </w:tr>
      <w:tr w14:paraId="7103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Merge w:val="continue"/>
            <w:tcBorders>
              <w:top w:val="single" w:color="auto" w:sz="4" w:space="0"/>
              <w:bottom w:val="single" w:color="auto" w:sz="4" w:space="0"/>
              <w:right w:val="single" w:color="auto" w:sz="4" w:space="0"/>
            </w:tcBorders>
            <w:tcMar>
              <w:left w:w="108" w:type="dxa"/>
              <w:right w:w="108" w:type="dxa"/>
            </w:tcMar>
            <w:vAlign w:val="center"/>
          </w:tcPr>
          <w:p w14:paraId="4F08F421">
            <w:pPr>
              <w:ind w:firstLine="480"/>
            </w:pPr>
          </w:p>
        </w:tc>
        <w:tc>
          <w:tcPr>
            <w:tcW w:w="1138" w:type="dxa"/>
            <w:vMerge w:val="continue"/>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369C708">
            <w:pPr>
              <w:ind w:firstLine="480"/>
            </w:pPr>
          </w:p>
        </w:tc>
        <w:tc>
          <w:tcPr>
            <w:tcW w:w="259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9C25DFD">
            <w:pPr>
              <w:spacing w:line="440" w:lineRule="exact"/>
              <w:ind w:firstLine="0" w:firstLineChars="0"/>
              <w:jc w:val="center"/>
            </w:pPr>
            <w:r>
              <w:t>技术响应</w:t>
            </w:r>
          </w:p>
        </w:tc>
        <w:tc>
          <w:tcPr>
            <w:tcW w:w="4651" w:type="dxa"/>
            <w:tcBorders>
              <w:top w:val="single" w:color="auto" w:sz="4" w:space="0"/>
              <w:left w:val="single" w:color="auto" w:sz="4" w:space="0"/>
              <w:bottom w:val="single" w:color="auto" w:sz="4" w:space="0"/>
            </w:tcBorders>
            <w:tcMar>
              <w:left w:w="108" w:type="dxa"/>
              <w:right w:w="108" w:type="dxa"/>
            </w:tcMar>
            <w:vAlign w:val="center"/>
          </w:tcPr>
          <w:p w14:paraId="2A8CD6E4">
            <w:pPr>
              <w:numPr>
                <w:ilvl w:val="0"/>
                <w:numId w:val="4"/>
              </w:numPr>
              <w:spacing w:line="440" w:lineRule="exact"/>
              <w:ind w:left="0" w:leftChars="0" w:firstLine="480" w:firstLineChars="200"/>
              <w:jc w:val="left"/>
              <w:rPr>
                <w:rFonts w:hint="eastAsia"/>
                <w:b/>
                <w:bCs/>
                <w:color w:val="FF0000"/>
              </w:rPr>
            </w:pPr>
            <w:r>
              <w:rPr>
                <w:rFonts w:hint="eastAsia"/>
                <w:color w:val="000000" w:themeColor="text1"/>
                <w14:textFill>
                  <w14:solidFill>
                    <w14:schemeClr w14:val="tx1"/>
                  </w14:solidFill>
                </w14:textFill>
              </w:rPr>
              <w:t>第五</w:t>
            </w:r>
            <w:r>
              <w:rPr>
                <w:rFonts w:hint="eastAsia"/>
              </w:rPr>
              <w:t>章用户需求书中</w:t>
            </w:r>
            <w:r>
              <w:t>“★”项必须满足</w:t>
            </w:r>
            <w:r>
              <w:rPr>
                <w:rFonts w:hint="eastAsia"/>
                <w:lang w:eastAsia="zh-CN"/>
              </w:rPr>
              <w:t>（</w:t>
            </w:r>
            <w:r>
              <w:rPr>
                <w:rFonts w:hint="eastAsia"/>
                <w:highlight w:val="none"/>
              </w:rPr>
              <w:t>投标文件须逐条提供功能截图或专项技术说明佐证</w:t>
            </w:r>
            <w:r>
              <w:rPr>
                <w:rFonts w:hint="eastAsia"/>
                <w:lang w:eastAsia="zh-CN"/>
              </w:rPr>
              <w:t>）</w:t>
            </w:r>
            <w:r>
              <w:t>，任意一项缺项或负偏离</w:t>
            </w:r>
            <w:r>
              <w:rPr>
                <w:rFonts w:hint="eastAsia"/>
              </w:rPr>
              <w:t>的，</w:t>
            </w:r>
            <w:r>
              <w:rPr>
                <w:rFonts w:hint="eastAsia"/>
                <w:b/>
                <w:bCs/>
                <w:color w:val="FF0000"/>
              </w:rPr>
              <w:t>按无效投标处理。</w:t>
            </w:r>
          </w:p>
          <w:p w14:paraId="4EB7ED01">
            <w:pPr>
              <w:numPr>
                <w:ilvl w:val="0"/>
                <w:numId w:val="4"/>
              </w:numPr>
              <w:spacing w:line="440" w:lineRule="exact"/>
              <w:ind w:left="0" w:leftChars="0" w:firstLine="480" w:firstLineChars="200"/>
              <w:jc w:val="left"/>
            </w:pPr>
            <w:r>
              <w:rPr>
                <w:rFonts w:hint="eastAsia"/>
              </w:rPr>
              <w:t>第五章用户需求书中</w:t>
            </w:r>
            <w:r>
              <w:rPr>
                <w:rFonts w:hint="eastAsia"/>
                <w:highlight w:val="none"/>
              </w:rPr>
              <w:t>△项</w:t>
            </w:r>
            <w:r>
              <w:rPr>
                <w:rFonts w:hint="eastAsia"/>
              </w:rPr>
              <w:t>累计≥3条不满足</w:t>
            </w:r>
            <w:r>
              <w:rPr>
                <w:rFonts w:hint="eastAsia"/>
                <w:lang w:val="en-US" w:eastAsia="zh-CN"/>
              </w:rPr>
              <w:t>的</w:t>
            </w:r>
            <w:r>
              <w:rPr>
                <w:rFonts w:hint="eastAsia"/>
              </w:rPr>
              <w:t>（无佐证或负偏离），</w:t>
            </w:r>
            <w:r>
              <w:rPr>
                <w:rFonts w:hint="eastAsia"/>
                <w:b/>
                <w:bCs/>
                <w:color w:val="FF0000"/>
              </w:rPr>
              <w:t>按无效投标处理。</w:t>
            </w:r>
          </w:p>
        </w:tc>
      </w:tr>
    </w:tbl>
    <w:p w14:paraId="5D2B6F5B">
      <w:pPr>
        <w:ind w:firstLine="480"/>
        <w:rPr>
          <w:b/>
          <w:bCs/>
        </w:rPr>
      </w:pPr>
    </w:p>
    <w:p w14:paraId="6BA9536D">
      <w:pPr>
        <w:spacing w:line="440" w:lineRule="exact"/>
        <w:ind w:firstLine="0" w:firstLineChars="0"/>
        <w:jc w:val="center"/>
        <w:rPr>
          <w:b/>
          <w:bCs/>
        </w:rPr>
      </w:pPr>
      <w:r>
        <w:rPr>
          <w:rFonts w:hint="eastAsia"/>
          <w:b/>
          <w:bCs/>
        </w:rPr>
        <w:t>条款2.2详细评审评分标准</w:t>
      </w:r>
    </w:p>
    <w:tbl>
      <w:tblPr>
        <w:tblStyle w:val="20"/>
        <w:tblW w:w="98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1202"/>
        <w:gridCol w:w="1689"/>
        <w:gridCol w:w="5959"/>
      </w:tblGrid>
      <w:tr w14:paraId="69FF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7" w:type="dxa"/>
            <w:gridSpan w:val="2"/>
            <w:tcBorders>
              <w:top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43A10DA7">
            <w:pPr>
              <w:spacing w:line="440" w:lineRule="exact"/>
              <w:ind w:firstLine="0" w:firstLineChars="0"/>
              <w:jc w:val="center"/>
              <w:rPr>
                <w:b/>
                <w:highlight w:val="none"/>
              </w:rPr>
            </w:pPr>
            <w:r>
              <w:rPr>
                <w:b/>
                <w:bCs/>
                <w:highlight w:val="none"/>
              </w:rPr>
              <w:t>条款号</w:t>
            </w:r>
          </w:p>
        </w:tc>
        <w:tc>
          <w:tcPr>
            <w:tcW w:w="1689"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5A4AFF32">
            <w:pPr>
              <w:spacing w:line="440" w:lineRule="exact"/>
              <w:ind w:firstLine="0" w:firstLineChars="0"/>
              <w:jc w:val="center"/>
              <w:rPr>
                <w:b/>
                <w:highlight w:val="none"/>
              </w:rPr>
            </w:pPr>
            <w:r>
              <w:rPr>
                <w:b/>
                <w:bCs/>
                <w:highlight w:val="none"/>
              </w:rPr>
              <w:t>条款内容</w:t>
            </w:r>
          </w:p>
        </w:tc>
        <w:tc>
          <w:tcPr>
            <w:tcW w:w="5959"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left w:w="108" w:type="dxa"/>
              <w:right w:w="108" w:type="dxa"/>
            </w:tcMar>
            <w:vAlign w:val="center"/>
          </w:tcPr>
          <w:p w14:paraId="78A677C8">
            <w:pPr>
              <w:spacing w:line="440" w:lineRule="exact"/>
              <w:ind w:firstLine="0" w:firstLineChars="0"/>
              <w:jc w:val="center"/>
              <w:rPr>
                <w:b/>
                <w:highlight w:val="none"/>
              </w:rPr>
            </w:pPr>
            <w:r>
              <w:rPr>
                <w:b/>
                <w:bCs/>
                <w:highlight w:val="none"/>
              </w:rPr>
              <w:t>编列内容</w:t>
            </w:r>
          </w:p>
        </w:tc>
      </w:tr>
      <w:tr w14:paraId="7EBD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7" w:type="dxa"/>
            <w:gridSpan w:val="2"/>
            <w:tcBorders>
              <w:bottom w:val="single" w:color="auto" w:sz="4" w:space="0"/>
              <w:right w:val="single" w:color="auto" w:sz="4" w:space="0"/>
            </w:tcBorders>
            <w:tcMar>
              <w:left w:w="108" w:type="dxa"/>
              <w:right w:w="108" w:type="dxa"/>
            </w:tcMar>
            <w:vAlign w:val="center"/>
          </w:tcPr>
          <w:p w14:paraId="011FC6F9">
            <w:pPr>
              <w:spacing w:line="440" w:lineRule="exact"/>
              <w:ind w:firstLine="0" w:firstLineChars="0"/>
              <w:jc w:val="center"/>
              <w:rPr>
                <w:highlight w:val="none"/>
              </w:rPr>
            </w:pPr>
            <w:r>
              <w:rPr>
                <w:spacing w:val="-7"/>
                <w:szCs w:val="21"/>
                <w:highlight w:val="none"/>
              </w:rPr>
              <w:t>2.2.1</w:t>
            </w: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ACD118F">
            <w:pPr>
              <w:spacing w:line="440" w:lineRule="exact"/>
              <w:ind w:firstLine="0" w:firstLineChars="0"/>
              <w:jc w:val="center"/>
              <w:rPr>
                <w:rFonts w:hint="eastAsia" w:ascii="宋体" w:hAnsi="宋体" w:eastAsia="宋体" w:cs="宋体"/>
                <w:highlight w:val="none"/>
              </w:rPr>
            </w:pPr>
            <w:r>
              <w:rPr>
                <w:rFonts w:hint="eastAsia" w:ascii="宋体" w:hAnsi="宋体" w:eastAsia="宋体" w:cs="宋体"/>
                <w:highlight w:val="none"/>
              </w:rPr>
              <w:t>分值构成</w:t>
            </w:r>
          </w:p>
          <w:p w14:paraId="08FFAB75">
            <w:pPr>
              <w:spacing w:line="440" w:lineRule="exact"/>
              <w:ind w:firstLine="0" w:firstLineChars="0"/>
              <w:jc w:val="center"/>
              <w:rPr>
                <w:rFonts w:hint="eastAsia" w:ascii="宋体" w:hAnsi="宋体" w:eastAsia="宋体" w:cs="宋体"/>
                <w:highlight w:val="none"/>
              </w:rPr>
            </w:pPr>
            <w:r>
              <w:rPr>
                <w:rFonts w:hint="eastAsia" w:ascii="宋体" w:hAnsi="宋体" w:eastAsia="宋体" w:cs="宋体"/>
                <w:highlight w:val="none"/>
              </w:rPr>
              <w:t>(总分100分)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22C4FAC">
            <w:pPr>
              <w:spacing w:line="440" w:lineRule="exact"/>
              <w:ind w:firstLine="0" w:firstLineChars="0"/>
              <w:rPr>
                <w:rFonts w:hint="eastAsia" w:ascii="宋体" w:hAnsi="宋体" w:eastAsia="宋体" w:cs="宋体"/>
                <w:highlight w:val="none"/>
              </w:rPr>
            </w:pPr>
            <w:r>
              <w:rPr>
                <w:rFonts w:hint="eastAsia" w:ascii="宋体" w:hAnsi="宋体" w:eastAsia="宋体" w:cs="宋体"/>
                <w:highlight w:val="none"/>
              </w:rPr>
              <w:t>商务部分：</w:t>
            </w:r>
            <w:r>
              <w:rPr>
                <w:rFonts w:hint="eastAsia" w:ascii="宋体" w:hAnsi="宋体" w:eastAsia="宋体" w:cs="宋体"/>
                <w:highlight w:val="none"/>
                <w:u w:val="single"/>
              </w:rPr>
              <w:t xml:space="preserve">  10  </w:t>
            </w:r>
            <w:r>
              <w:rPr>
                <w:rFonts w:hint="eastAsia" w:ascii="宋体" w:hAnsi="宋体" w:eastAsia="宋体" w:cs="宋体"/>
                <w:highlight w:val="none"/>
              </w:rPr>
              <w:t>分</w:t>
            </w:r>
          </w:p>
          <w:p w14:paraId="0358DC1B">
            <w:pPr>
              <w:spacing w:line="440" w:lineRule="exact"/>
              <w:ind w:firstLine="0" w:firstLineChars="0"/>
              <w:rPr>
                <w:rFonts w:hint="eastAsia" w:ascii="宋体" w:hAnsi="宋体" w:eastAsia="宋体" w:cs="宋体"/>
                <w:highlight w:val="none"/>
              </w:rPr>
            </w:pPr>
            <w:r>
              <w:rPr>
                <w:rFonts w:hint="eastAsia" w:ascii="宋体" w:hAnsi="宋体" w:eastAsia="宋体" w:cs="宋体"/>
                <w:highlight w:val="none"/>
              </w:rPr>
              <w:t>技术部分：</w:t>
            </w:r>
            <w:r>
              <w:rPr>
                <w:rFonts w:hint="eastAsia" w:ascii="宋体" w:hAnsi="宋体" w:eastAsia="宋体" w:cs="宋体"/>
                <w:highlight w:val="none"/>
                <w:u w:val="single"/>
              </w:rPr>
              <w:t xml:space="preserve"> </w:t>
            </w:r>
            <w:r>
              <w:rPr>
                <w:rFonts w:hint="eastAsia" w:ascii="宋体" w:hAnsi="宋体" w:eastAsia="宋体" w:cs="宋体"/>
                <w:highlight w:val="none"/>
                <w:u w:val="single"/>
                <w:lang w:val="en-US" w:eastAsia="zh-CN"/>
              </w:rPr>
              <w:t xml:space="preserve"> </w:t>
            </w:r>
            <w:r>
              <w:rPr>
                <w:rFonts w:hint="eastAsia" w:ascii="宋体" w:hAnsi="宋体" w:eastAsia="宋体" w:cs="宋体"/>
                <w:highlight w:val="none"/>
                <w:u w:val="single"/>
              </w:rPr>
              <w:t xml:space="preserve">40  </w:t>
            </w:r>
            <w:r>
              <w:rPr>
                <w:rFonts w:hint="eastAsia" w:ascii="宋体" w:hAnsi="宋体" w:eastAsia="宋体" w:cs="宋体"/>
                <w:highlight w:val="none"/>
              </w:rPr>
              <w:t>分</w:t>
            </w:r>
          </w:p>
          <w:p w14:paraId="55130AE5">
            <w:pPr>
              <w:spacing w:line="440" w:lineRule="exact"/>
              <w:ind w:firstLine="0" w:firstLineChars="0"/>
              <w:rPr>
                <w:rFonts w:hint="eastAsia" w:ascii="宋体" w:hAnsi="宋体" w:eastAsia="宋体" w:cs="宋体"/>
                <w:highlight w:val="none"/>
              </w:rPr>
            </w:pPr>
            <w:r>
              <w:rPr>
                <w:rFonts w:hint="eastAsia" w:ascii="宋体" w:hAnsi="宋体" w:eastAsia="宋体" w:cs="宋体"/>
                <w:highlight w:val="none"/>
              </w:rPr>
              <w:t>投标报价：</w:t>
            </w:r>
            <w:r>
              <w:rPr>
                <w:rFonts w:hint="eastAsia" w:ascii="宋体" w:hAnsi="宋体" w:eastAsia="宋体" w:cs="宋体"/>
                <w:highlight w:val="none"/>
                <w:u w:val="single"/>
              </w:rPr>
              <w:t xml:space="preserve">  50  </w:t>
            </w:r>
            <w:r>
              <w:rPr>
                <w:rFonts w:hint="eastAsia" w:ascii="宋体" w:hAnsi="宋体" w:eastAsia="宋体" w:cs="宋体"/>
                <w:highlight w:val="none"/>
              </w:rPr>
              <w:t>分</w:t>
            </w:r>
          </w:p>
          <w:p w14:paraId="1F0A18B4">
            <w:pPr>
              <w:spacing w:line="440" w:lineRule="exact"/>
              <w:ind w:firstLine="0" w:firstLineChars="0"/>
              <w:rPr>
                <w:rFonts w:hint="eastAsia" w:ascii="宋体" w:hAnsi="宋体" w:eastAsia="宋体" w:cs="宋体"/>
                <w:highlight w:val="none"/>
              </w:rPr>
            </w:pPr>
            <w:r>
              <w:rPr>
                <w:rFonts w:hint="eastAsia" w:ascii="宋体" w:hAnsi="宋体" w:eastAsia="宋体" w:cs="宋体"/>
                <w:highlight w:val="none"/>
              </w:rPr>
              <w:t>其他评分因素：</w:t>
            </w:r>
            <w:r>
              <w:rPr>
                <w:rFonts w:hint="eastAsia" w:ascii="宋体" w:hAnsi="宋体" w:eastAsia="宋体" w:cs="宋体"/>
                <w:highlight w:val="none"/>
                <w:u w:val="single"/>
              </w:rPr>
              <w:t xml:space="preserve">    /   </w:t>
            </w:r>
            <w:r>
              <w:rPr>
                <w:rFonts w:hint="eastAsia" w:ascii="宋体" w:hAnsi="宋体" w:eastAsia="宋体" w:cs="宋体"/>
                <w:highlight w:val="none"/>
              </w:rPr>
              <w:t>分（如有）</w:t>
            </w:r>
          </w:p>
        </w:tc>
      </w:tr>
      <w:tr w14:paraId="1FE9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3" w:hRule="atLeast"/>
          <w:jc w:val="center"/>
        </w:trPr>
        <w:tc>
          <w:tcPr>
            <w:tcW w:w="2157" w:type="dxa"/>
            <w:gridSpan w:val="2"/>
            <w:tcBorders>
              <w:top w:val="single" w:color="auto" w:sz="4" w:space="0"/>
              <w:bottom w:val="single" w:color="auto" w:sz="4" w:space="0"/>
              <w:right w:val="single" w:color="auto" w:sz="4" w:space="0"/>
            </w:tcBorders>
            <w:tcMar>
              <w:left w:w="108" w:type="dxa"/>
              <w:right w:w="108" w:type="dxa"/>
            </w:tcMar>
            <w:vAlign w:val="center"/>
          </w:tcPr>
          <w:p w14:paraId="6B0CA5E4">
            <w:pPr>
              <w:spacing w:line="440" w:lineRule="exact"/>
              <w:ind w:firstLine="0" w:firstLineChars="0"/>
              <w:jc w:val="center"/>
              <w:rPr>
                <w:highlight w:val="none"/>
              </w:rPr>
            </w:pPr>
            <w:r>
              <w:rPr>
                <w:spacing w:val="-7"/>
                <w:szCs w:val="21"/>
                <w:highlight w:val="none"/>
              </w:rPr>
              <w:t>2.2.2</w:t>
            </w: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A190FA3">
            <w:pPr>
              <w:spacing w:line="440" w:lineRule="exact"/>
              <w:ind w:firstLine="0" w:firstLineChars="0"/>
              <w:rPr>
                <w:highlight w:val="none"/>
              </w:rPr>
            </w:pPr>
            <w:r>
              <w:rPr>
                <w:highlight w:val="none"/>
              </w:rPr>
              <w:t>评标基准价计算方法</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3FFE9B5">
            <w:pPr>
              <w:spacing w:line="440" w:lineRule="exact"/>
              <w:ind w:firstLine="0" w:firstLineChars="0"/>
              <w:rPr>
                <w:highlight w:val="none"/>
              </w:rPr>
            </w:pPr>
            <w:r>
              <w:rPr>
                <w:highlight w:val="none"/>
              </w:rPr>
              <w:t>评标基准价=</w:t>
            </w:r>
            <w:r>
              <w:rPr>
                <w:rFonts w:hint="eastAsia"/>
                <w:highlight w:val="none"/>
              </w:rPr>
              <w:t>有效投标报价中的最低价。</w:t>
            </w:r>
          </w:p>
          <w:p w14:paraId="0B8013EF">
            <w:pPr>
              <w:spacing w:line="440" w:lineRule="exact"/>
              <w:ind w:firstLine="0" w:firstLineChars="0"/>
              <w:rPr>
                <w:highlight w:val="none"/>
              </w:rPr>
            </w:pPr>
            <w:r>
              <w:rPr>
                <w:highlight w:val="none"/>
              </w:rPr>
              <w:t>通过初步审查的投标文件的投标报价为有效报价。</w:t>
            </w:r>
          </w:p>
        </w:tc>
      </w:tr>
      <w:tr w14:paraId="0CD2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2157" w:type="dxa"/>
            <w:gridSpan w:val="2"/>
            <w:tcBorders>
              <w:top w:val="single" w:color="auto" w:sz="4" w:space="0"/>
              <w:bottom w:val="single" w:color="auto" w:sz="4" w:space="0"/>
              <w:right w:val="single" w:color="auto" w:sz="4" w:space="0"/>
            </w:tcBorders>
            <w:tcMar>
              <w:left w:w="108" w:type="dxa"/>
              <w:right w:w="108" w:type="dxa"/>
            </w:tcMar>
            <w:vAlign w:val="center"/>
          </w:tcPr>
          <w:p w14:paraId="5A6BF3CB">
            <w:pPr>
              <w:spacing w:line="440" w:lineRule="exact"/>
              <w:ind w:firstLine="0" w:firstLineChars="0"/>
              <w:jc w:val="center"/>
              <w:rPr>
                <w:highlight w:val="none"/>
              </w:rPr>
            </w:pPr>
            <w:r>
              <w:rPr>
                <w:spacing w:val="-7"/>
                <w:szCs w:val="21"/>
                <w:highlight w:val="none"/>
              </w:rPr>
              <w:t>2.2.3</w:t>
            </w:r>
          </w:p>
        </w:tc>
        <w:tc>
          <w:tcPr>
            <w:tcW w:w="1689" w:type="dxa"/>
            <w:tcBorders>
              <w:top w:val="single" w:color="auto" w:sz="4" w:space="0"/>
              <w:left w:val="single" w:color="auto" w:sz="4" w:space="0"/>
              <w:right w:val="single" w:color="auto" w:sz="4" w:space="0"/>
            </w:tcBorders>
            <w:tcMar>
              <w:left w:w="108" w:type="dxa"/>
              <w:right w:w="108" w:type="dxa"/>
            </w:tcMar>
            <w:vAlign w:val="center"/>
          </w:tcPr>
          <w:p w14:paraId="2AF75EE6">
            <w:pPr>
              <w:spacing w:line="440" w:lineRule="exact"/>
              <w:ind w:firstLine="0" w:firstLineChars="0"/>
              <w:rPr>
                <w:highlight w:val="none"/>
              </w:rPr>
            </w:pPr>
            <w:r>
              <w:rPr>
                <w:highlight w:val="none"/>
              </w:rPr>
              <w:t>投标报价的偏差率计算公式</w:t>
            </w:r>
          </w:p>
        </w:tc>
        <w:tc>
          <w:tcPr>
            <w:tcW w:w="5959" w:type="dxa"/>
            <w:tcBorders>
              <w:top w:val="single" w:color="auto" w:sz="4" w:space="0"/>
              <w:left w:val="single" w:color="auto" w:sz="4" w:space="0"/>
              <w:right w:val="single" w:color="auto" w:sz="4" w:space="0"/>
            </w:tcBorders>
            <w:tcMar>
              <w:left w:w="108" w:type="dxa"/>
              <w:right w:w="108" w:type="dxa"/>
            </w:tcMar>
            <w:vAlign w:val="center"/>
          </w:tcPr>
          <w:p w14:paraId="7CBEF488">
            <w:pPr>
              <w:spacing w:line="440" w:lineRule="exact"/>
              <w:ind w:firstLine="480"/>
              <w:jc w:val="left"/>
              <w:rPr>
                <w:highlight w:val="none"/>
              </w:rPr>
            </w:pPr>
            <w:r>
              <w:rPr>
                <w:rFonts w:hint="eastAsia"/>
                <w:highlight w:val="none"/>
              </w:rPr>
              <w:t>/。</w:t>
            </w:r>
          </w:p>
        </w:tc>
      </w:tr>
      <w:tr w14:paraId="4FE58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7" w:type="dxa"/>
            <w:gridSpan w:val="2"/>
            <w:tcBorders>
              <w:top w:val="nil"/>
              <w:bottom w:val="single" w:color="auto" w:sz="4" w:space="0"/>
              <w:right w:val="single" w:color="auto" w:sz="4" w:space="0"/>
            </w:tcBorders>
            <w:tcMar>
              <w:left w:w="108" w:type="dxa"/>
              <w:right w:w="108" w:type="dxa"/>
            </w:tcMar>
            <w:vAlign w:val="center"/>
          </w:tcPr>
          <w:p w14:paraId="4F996E38">
            <w:pPr>
              <w:spacing w:line="440" w:lineRule="exact"/>
              <w:ind w:firstLine="0" w:firstLineChars="0"/>
              <w:jc w:val="center"/>
              <w:rPr>
                <w:b/>
                <w:highlight w:val="none"/>
              </w:rPr>
            </w:pPr>
            <w:r>
              <w:rPr>
                <w:b/>
                <w:bCs/>
                <w:highlight w:val="none"/>
              </w:rPr>
              <w:t>条款号</w:t>
            </w: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BC2081C">
            <w:pPr>
              <w:spacing w:line="440" w:lineRule="exact"/>
              <w:ind w:firstLine="0" w:firstLineChars="0"/>
              <w:jc w:val="center"/>
              <w:rPr>
                <w:b/>
                <w:highlight w:val="none"/>
              </w:rPr>
            </w:pPr>
            <w:r>
              <w:rPr>
                <w:b/>
                <w:bCs/>
                <w:highlight w:val="none"/>
              </w:rPr>
              <w:t>评分因素（偏差率）</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4419DC7">
            <w:pPr>
              <w:spacing w:line="440" w:lineRule="exact"/>
              <w:ind w:firstLine="0" w:firstLineChars="0"/>
              <w:jc w:val="center"/>
              <w:rPr>
                <w:b/>
                <w:highlight w:val="none"/>
              </w:rPr>
            </w:pPr>
            <w:r>
              <w:rPr>
                <w:b/>
                <w:bCs/>
                <w:highlight w:val="none"/>
              </w:rPr>
              <w:t>评分标准</w:t>
            </w:r>
          </w:p>
        </w:tc>
      </w:tr>
      <w:tr w14:paraId="686D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7" w:hRule="atLeast"/>
          <w:jc w:val="center"/>
        </w:trPr>
        <w:tc>
          <w:tcPr>
            <w:tcW w:w="955" w:type="dxa"/>
            <w:tcBorders>
              <w:top w:val="single" w:color="auto" w:sz="4" w:space="0"/>
              <w:bottom w:val="single" w:color="auto" w:sz="4" w:space="0"/>
              <w:right w:val="single" w:color="auto" w:sz="4" w:space="0"/>
            </w:tcBorders>
            <w:tcMar>
              <w:left w:w="108" w:type="dxa"/>
              <w:right w:w="108" w:type="dxa"/>
            </w:tcMar>
            <w:vAlign w:val="center"/>
          </w:tcPr>
          <w:p w14:paraId="31B9F34B">
            <w:pPr>
              <w:spacing w:line="440" w:lineRule="exact"/>
              <w:ind w:firstLine="0" w:firstLineChars="0"/>
              <w:jc w:val="center"/>
              <w:rPr>
                <w:sz w:val="21"/>
                <w:szCs w:val="22"/>
                <w:highlight w:val="none"/>
              </w:rPr>
            </w:pPr>
            <w:r>
              <w:rPr>
                <w:spacing w:val="-7"/>
                <w:szCs w:val="21"/>
                <w:highlight w:val="none"/>
              </w:rPr>
              <w:t>2.2.4(1)</w:t>
            </w:r>
          </w:p>
        </w:tc>
        <w:tc>
          <w:tcPr>
            <w:tcW w:w="1202" w:type="dxa"/>
            <w:tcBorders>
              <w:top w:val="single" w:color="auto" w:sz="4" w:space="0"/>
              <w:bottom w:val="single" w:color="auto" w:sz="4" w:space="0"/>
              <w:right w:val="single" w:color="auto" w:sz="4" w:space="0"/>
            </w:tcBorders>
            <w:tcMar>
              <w:left w:w="108" w:type="dxa"/>
              <w:right w:w="108" w:type="dxa"/>
            </w:tcMar>
            <w:vAlign w:val="center"/>
          </w:tcPr>
          <w:p w14:paraId="418EA09F">
            <w:pPr>
              <w:spacing w:line="440" w:lineRule="exact"/>
              <w:ind w:firstLine="0" w:firstLineChars="0"/>
              <w:jc w:val="center"/>
              <w:rPr>
                <w:sz w:val="21"/>
                <w:szCs w:val="22"/>
                <w:highlight w:val="none"/>
              </w:rPr>
            </w:pPr>
            <w:r>
              <w:rPr>
                <w:spacing w:val="-7"/>
                <w:szCs w:val="21"/>
                <w:highlight w:val="none"/>
              </w:rPr>
              <w:t>投标报价评分标准</w:t>
            </w: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E0CE690">
            <w:pPr>
              <w:spacing w:line="440" w:lineRule="exact"/>
              <w:ind w:firstLine="0" w:firstLineChars="0"/>
              <w:jc w:val="center"/>
              <w:rPr>
                <w:b/>
                <w:bCs/>
                <w:spacing w:val="-7"/>
                <w:szCs w:val="21"/>
                <w:highlight w:val="none"/>
              </w:rPr>
            </w:pPr>
            <w:r>
              <w:rPr>
                <w:rFonts w:hint="eastAsia"/>
                <w:b/>
                <w:bCs/>
                <w:spacing w:val="-7"/>
                <w:szCs w:val="21"/>
                <w:highlight w:val="none"/>
              </w:rPr>
              <w:t>报价</w:t>
            </w:r>
          </w:p>
          <w:p w14:paraId="6DCAC0CC">
            <w:pPr>
              <w:spacing w:line="440" w:lineRule="exact"/>
              <w:ind w:firstLine="0" w:firstLineChars="0"/>
              <w:jc w:val="center"/>
              <w:rPr>
                <w:spacing w:val="-7"/>
                <w:szCs w:val="21"/>
                <w:highlight w:val="none"/>
              </w:rPr>
            </w:pPr>
            <w:r>
              <w:rPr>
                <w:b/>
                <w:bCs/>
                <w:spacing w:val="-7"/>
                <w:szCs w:val="21"/>
                <w:highlight w:val="none"/>
              </w:rPr>
              <w:t>5</w:t>
            </w:r>
            <w:r>
              <w:rPr>
                <w:rFonts w:hint="eastAsia"/>
                <w:b/>
                <w:bCs/>
                <w:spacing w:val="-7"/>
                <w:szCs w:val="21"/>
                <w:highlight w:val="none"/>
              </w:rPr>
              <w:t>0</w:t>
            </w:r>
            <w:r>
              <w:rPr>
                <w:b/>
                <w:bCs/>
                <w:spacing w:val="-7"/>
                <w:szCs w:val="21"/>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F55D79A">
            <w:pPr>
              <w:ind w:firstLine="0" w:firstLineChars="0"/>
              <w:jc w:val="left"/>
              <w:rPr>
                <w:highlight w:val="none"/>
              </w:rPr>
            </w:pPr>
            <w:r>
              <w:rPr>
                <w:rFonts w:hint="eastAsia"/>
                <w:highlight w:val="none"/>
              </w:rPr>
              <w:t>1</w:t>
            </w:r>
            <w:r>
              <w:rPr>
                <w:highlight w:val="none"/>
              </w:rPr>
              <w:t xml:space="preserve">. </w:t>
            </w:r>
            <w:r>
              <w:rPr>
                <w:rFonts w:hint="eastAsia"/>
                <w:highlight w:val="none"/>
              </w:rPr>
              <w:t>评标基准价确定：经资格审查、符合性审查全部合格后的有效投标总报价，报价最低值为本项目评标基准价。</w:t>
            </w:r>
          </w:p>
          <w:p w14:paraId="1D507140">
            <w:pPr>
              <w:ind w:firstLine="0" w:firstLineChars="0"/>
              <w:jc w:val="left"/>
              <w:rPr>
                <w:highlight w:val="none"/>
              </w:rPr>
            </w:pPr>
            <w:r>
              <w:rPr>
                <w:rFonts w:hint="eastAsia"/>
                <w:highlight w:val="none"/>
              </w:rPr>
              <w:t>2</w:t>
            </w:r>
            <w:r>
              <w:rPr>
                <w:highlight w:val="none"/>
              </w:rPr>
              <w:t xml:space="preserve">. </w:t>
            </w:r>
            <w:r>
              <w:rPr>
                <w:rFonts w:hint="eastAsia"/>
                <w:highlight w:val="none"/>
              </w:rPr>
              <w:t>得分计算：</w:t>
            </w:r>
          </w:p>
          <w:p w14:paraId="352A9C0F">
            <w:pPr>
              <w:ind w:firstLine="0" w:firstLineChars="0"/>
              <w:jc w:val="left"/>
              <w:rPr>
                <w:highlight w:val="none"/>
              </w:rPr>
            </w:pPr>
            <w:r>
              <w:rPr>
                <w:rFonts w:hint="eastAsia"/>
                <w:highlight w:val="none"/>
              </w:rPr>
              <w:t>①投标人有效报价＝评标基准价，报价得满分50分；</w:t>
            </w:r>
          </w:p>
          <w:p w14:paraId="6AABBF22">
            <w:pPr>
              <w:ind w:firstLine="0" w:firstLineChars="0"/>
              <w:jc w:val="left"/>
              <w:rPr>
                <w:highlight w:val="none"/>
              </w:rPr>
            </w:pPr>
            <w:bookmarkStart w:id="1256" w:name="OLE_LINK70"/>
            <w:bookmarkStart w:id="1257" w:name="OLE_LINK69"/>
            <w:r>
              <w:rPr>
                <w:rFonts w:hint="eastAsia"/>
                <w:highlight w:val="none"/>
              </w:rPr>
              <w:t>②投标人有效报价＞评标基准价，每高出基准价</w:t>
            </w:r>
            <w:r>
              <w:rPr>
                <w:highlight w:val="none"/>
              </w:rPr>
              <w:t>1</w:t>
            </w:r>
            <w:r>
              <w:rPr>
                <w:rFonts w:hint="eastAsia"/>
                <w:highlight w:val="none"/>
              </w:rPr>
              <w:t>%，在满分基础上扣0.</w:t>
            </w:r>
            <w:r>
              <w:rPr>
                <w:rFonts w:hint="eastAsia"/>
                <w:highlight w:val="none"/>
                <w:lang w:val="en-US" w:eastAsia="zh-CN"/>
              </w:rPr>
              <w:t>3</w:t>
            </w:r>
            <w:r>
              <w:rPr>
                <w:rFonts w:hint="eastAsia"/>
                <w:highlight w:val="none"/>
              </w:rPr>
              <w:t>分，不足</w:t>
            </w:r>
            <w:r>
              <w:rPr>
                <w:highlight w:val="none"/>
              </w:rPr>
              <w:t>1</w:t>
            </w:r>
            <w:r>
              <w:rPr>
                <w:rFonts w:hint="eastAsia"/>
                <w:highlight w:val="none"/>
              </w:rPr>
              <w:t>%按</w:t>
            </w:r>
            <w:r>
              <w:rPr>
                <w:highlight w:val="none"/>
              </w:rPr>
              <w:t>1</w:t>
            </w:r>
            <w:r>
              <w:rPr>
                <w:rFonts w:hint="eastAsia"/>
                <w:highlight w:val="none"/>
              </w:rPr>
              <w:t>%计，本项扣至0分为止；</w:t>
            </w:r>
          </w:p>
          <w:bookmarkEnd w:id="1256"/>
          <w:bookmarkEnd w:id="1257"/>
          <w:p w14:paraId="09DCA90D">
            <w:pPr>
              <w:ind w:firstLine="0" w:firstLineChars="0"/>
              <w:jc w:val="left"/>
              <w:rPr>
                <w:highlight w:val="none"/>
              </w:rPr>
            </w:pPr>
            <w:r>
              <w:rPr>
                <w:rFonts w:hint="eastAsia"/>
                <w:highlight w:val="none"/>
              </w:rPr>
              <w:t>3. 否决投标：投标报价＞招标文件载明最高限价的，按无效投标处理；清单缺漏项、严重不平衡报价，评标委员会经书面澄清无法合理解释、影响履约的，作废标处理。</w:t>
            </w:r>
          </w:p>
          <w:p w14:paraId="78D00F9D">
            <w:pPr>
              <w:ind w:firstLine="0" w:firstLineChars="0"/>
              <w:jc w:val="left"/>
              <w:rPr>
                <w:highlight w:val="none"/>
              </w:rPr>
            </w:pPr>
            <w:r>
              <w:rPr>
                <w:highlight w:val="none"/>
              </w:rPr>
              <w:t>以标的总报价为评分标准，投标报价计算结果保留小数点后两位，第三位四舍五入。</w:t>
            </w:r>
          </w:p>
        </w:tc>
      </w:tr>
      <w:tr w14:paraId="57E2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jc w:val="center"/>
        </w:trPr>
        <w:tc>
          <w:tcPr>
            <w:tcW w:w="955" w:type="dxa"/>
            <w:vMerge w:val="restart"/>
            <w:tcBorders>
              <w:right w:val="single" w:color="auto" w:sz="4" w:space="0"/>
            </w:tcBorders>
            <w:tcMar>
              <w:left w:w="108" w:type="dxa"/>
              <w:right w:w="108" w:type="dxa"/>
            </w:tcMar>
            <w:vAlign w:val="center"/>
          </w:tcPr>
          <w:p w14:paraId="6FD6ABC1">
            <w:pPr>
              <w:spacing w:line="440" w:lineRule="exact"/>
              <w:ind w:firstLine="0" w:firstLineChars="0"/>
              <w:jc w:val="center"/>
              <w:rPr>
                <w:highlight w:val="none"/>
              </w:rPr>
            </w:pPr>
            <w:r>
              <w:rPr>
                <w:spacing w:val="-7"/>
                <w:szCs w:val="21"/>
                <w:highlight w:val="none"/>
              </w:rPr>
              <w:t>2.2.4(</w:t>
            </w:r>
            <w:r>
              <w:rPr>
                <w:rFonts w:hint="eastAsia"/>
                <w:spacing w:val="-7"/>
                <w:szCs w:val="21"/>
                <w:highlight w:val="none"/>
              </w:rPr>
              <w:t>2</w:t>
            </w:r>
            <w:r>
              <w:rPr>
                <w:spacing w:val="-7"/>
                <w:szCs w:val="21"/>
                <w:highlight w:val="none"/>
              </w:rPr>
              <w:t>)</w:t>
            </w:r>
          </w:p>
        </w:tc>
        <w:tc>
          <w:tcPr>
            <w:tcW w:w="1202" w:type="dxa"/>
            <w:vMerge w:val="restart"/>
            <w:tcBorders>
              <w:right w:val="single" w:color="auto" w:sz="4" w:space="0"/>
            </w:tcBorders>
            <w:tcMar>
              <w:left w:w="108" w:type="dxa"/>
              <w:right w:w="108" w:type="dxa"/>
            </w:tcMar>
            <w:vAlign w:val="center"/>
          </w:tcPr>
          <w:p w14:paraId="33C34F5D">
            <w:pPr>
              <w:spacing w:line="440" w:lineRule="exact"/>
              <w:ind w:firstLine="0" w:firstLineChars="0"/>
              <w:jc w:val="center"/>
              <w:rPr>
                <w:highlight w:val="none"/>
              </w:rPr>
            </w:pPr>
            <w:r>
              <w:rPr>
                <w:spacing w:val="-7"/>
                <w:szCs w:val="21"/>
                <w:highlight w:val="none"/>
              </w:rPr>
              <w:t>商务评分标准</w:t>
            </w: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B1FC920">
            <w:pPr>
              <w:spacing w:line="440" w:lineRule="exact"/>
              <w:ind w:firstLine="0" w:firstLineChars="0"/>
              <w:jc w:val="center"/>
              <w:rPr>
                <w:rFonts w:hint="eastAsia"/>
                <w:spacing w:val="-7"/>
                <w:szCs w:val="21"/>
                <w:highlight w:val="none"/>
              </w:rPr>
            </w:pPr>
            <w:r>
              <w:rPr>
                <w:rFonts w:hint="eastAsia"/>
                <w:b/>
                <w:bCs/>
                <w:spacing w:val="-7"/>
                <w:szCs w:val="21"/>
                <w:highlight w:val="none"/>
              </w:rPr>
              <w:t>同类项目实施业绩（</w:t>
            </w:r>
            <w:r>
              <w:rPr>
                <w:rFonts w:hint="eastAsia"/>
                <w:b/>
                <w:bCs/>
                <w:spacing w:val="-7"/>
                <w:szCs w:val="21"/>
                <w:highlight w:val="none"/>
                <w:lang w:val="en-US" w:eastAsia="zh-CN"/>
              </w:rPr>
              <w:t>5</w:t>
            </w:r>
            <w:r>
              <w:rPr>
                <w:rFonts w:hint="eastAsia"/>
                <w:b/>
                <w:bCs/>
                <w:spacing w:val="-7"/>
                <w:szCs w:val="21"/>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B60449D">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投标人自2023年1月1日至投标截止之日（以合同签订时间为准），每提供1项同资格要求且合同含税总金额不低于人民币50万元的已完工业绩，得2分，本项最高得5分，得分超过5分的按5分计。证明材料要求同资格业绩要求，业绩主体须为投标人本身，材料须加盖投标人公章，未提供或不足以证明满足要求的不予认可。</w:t>
            </w:r>
          </w:p>
          <w:p w14:paraId="1A2A6D8F">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highlight w:val="none"/>
              </w:rPr>
            </w:pPr>
            <w:r>
              <w:rPr>
                <w:rFonts w:hint="eastAsia" w:ascii="Times New Roman" w:hAnsi="Times New Roman" w:eastAsia="华文宋体" w:cs="Times New Roman"/>
                <w:kern w:val="2"/>
                <w:sz w:val="24"/>
                <w:szCs w:val="20"/>
                <w:highlight w:val="none"/>
                <w:lang w:val="en-US" w:eastAsia="zh-CN" w:bidi="ar-SA"/>
              </w:rPr>
              <w:t>用于资格审查的业绩，不得在本评分项重复计分。</w:t>
            </w:r>
          </w:p>
        </w:tc>
      </w:tr>
      <w:tr w14:paraId="476F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vMerge w:val="continue"/>
            <w:tcBorders>
              <w:right w:val="single" w:color="auto" w:sz="4" w:space="0"/>
            </w:tcBorders>
            <w:tcMar>
              <w:left w:w="108" w:type="dxa"/>
              <w:right w:w="108" w:type="dxa"/>
            </w:tcMar>
            <w:vAlign w:val="center"/>
          </w:tcPr>
          <w:p w14:paraId="253C3638">
            <w:pPr>
              <w:ind w:firstLine="480"/>
              <w:rPr>
                <w:highlight w:val="none"/>
              </w:rPr>
            </w:pPr>
          </w:p>
        </w:tc>
        <w:tc>
          <w:tcPr>
            <w:tcW w:w="1202" w:type="dxa"/>
            <w:vMerge w:val="continue"/>
            <w:tcBorders>
              <w:right w:val="single" w:color="auto" w:sz="4" w:space="0"/>
            </w:tcBorders>
            <w:tcMar>
              <w:left w:w="108" w:type="dxa"/>
              <w:right w:w="108" w:type="dxa"/>
            </w:tcMar>
            <w:vAlign w:val="center"/>
          </w:tcPr>
          <w:p w14:paraId="290B2BB0">
            <w:pPr>
              <w:ind w:firstLine="480"/>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5C8023F">
            <w:pPr>
              <w:widowControl/>
              <w:spacing w:line="440" w:lineRule="exact"/>
              <w:ind w:firstLine="0" w:firstLineChars="0"/>
              <w:jc w:val="center"/>
              <w:rPr>
                <w:rFonts w:hint="eastAsia" w:ascii="宋体" w:hAnsi="宋体" w:eastAsia="宋体" w:cs="宋体"/>
                <w:b/>
                <w:bCs/>
                <w:szCs w:val="21"/>
                <w:highlight w:val="none"/>
              </w:rPr>
            </w:pPr>
            <w:r>
              <w:rPr>
                <w:rFonts w:hint="eastAsia"/>
                <w:b/>
                <w:bCs/>
                <w:spacing w:val="-7"/>
                <w:szCs w:val="21"/>
                <w:highlight w:val="none"/>
              </w:rPr>
              <w:t>售后服务</w:t>
            </w:r>
            <w:r>
              <w:rPr>
                <w:rFonts w:hint="eastAsia"/>
                <w:b/>
                <w:bCs/>
                <w:spacing w:val="-7"/>
                <w:szCs w:val="21"/>
                <w:highlight w:val="none"/>
                <w:lang w:val="en-US" w:eastAsia="zh-CN"/>
              </w:rPr>
              <w:t>承诺</w:t>
            </w:r>
            <w:r>
              <w:rPr>
                <w:rFonts w:hint="eastAsia"/>
                <w:b/>
                <w:bCs/>
                <w:spacing w:val="-7"/>
                <w:szCs w:val="21"/>
                <w:highlight w:val="none"/>
              </w:rPr>
              <w:t>（4分）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75CC2B4">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bookmarkStart w:id="1258" w:name="OLE_LINK1"/>
            <w:bookmarkStart w:id="1259" w:name="OLE_LINK2"/>
            <w:r>
              <w:rPr>
                <w:rFonts w:hint="eastAsia" w:ascii="Times New Roman" w:hAnsi="Times New Roman" w:eastAsia="华文宋体" w:cs="Times New Roman"/>
                <w:b/>
                <w:bCs/>
                <w:kern w:val="2"/>
                <w:sz w:val="24"/>
                <w:szCs w:val="20"/>
                <w:highlight w:val="none"/>
                <w:lang w:val="en-US" w:eastAsia="zh-CN" w:bidi="ar-SA"/>
              </w:rPr>
              <w:t>根据投标人提供的售后服务承诺进行评分，本项最高4分。</w:t>
            </w:r>
          </w:p>
          <w:p w14:paraId="3F45513D">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（1）投标人须提供售后服务承诺函，按以下标准计分，（总分2分）：</w:t>
            </w:r>
          </w:p>
          <w:p w14:paraId="1E9C895C">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default"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①自项目通过终验之日起，在质保期内提供7×24小时不间断的技术支持服务；</w:t>
            </w:r>
          </w:p>
          <w:p w14:paraId="275BDB31">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②在质保期内，遇系统故障或紧急问题，承诺在接到采购人通知后2小时内抵达现场并开展处理工作；</w:t>
            </w:r>
          </w:p>
          <w:p w14:paraId="1160C708">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default"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以上</w:t>
            </w:r>
            <w:r>
              <w:rPr>
                <w:rFonts w:hint="default" w:ascii="Times New Roman" w:hAnsi="Times New Roman" w:eastAsia="华文宋体" w:cs="Times New Roman"/>
                <w:kern w:val="2"/>
                <w:sz w:val="24"/>
                <w:szCs w:val="20"/>
                <w:highlight w:val="none"/>
                <w:lang w:val="en-US" w:eastAsia="zh-CN" w:bidi="ar-SA"/>
              </w:rPr>
              <w:t>每满足一项得1分，满分2分。不提供承诺函或承诺内容不完整，对应项不得分。</w:t>
            </w:r>
          </w:p>
          <w:p w14:paraId="13FF5DC9">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（2）投标人提供《项目人员稳定性承诺函》，按以下标准计分，（总分2分）：</w:t>
            </w:r>
          </w:p>
          <w:p w14:paraId="47E0B1C0">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①</w:t>
            </w:r>
            <w:r>
              <w:rPr>
                <w:rFonts w:hint="default" w:ascii="Times New Roman" w:hAnsi="Times New Roman" w:eastAsia="华文宋体" w:cs="Times New Roman"/>
                <w:kern w:val="2"/>
                <w:sz w:val="24"/>
                <w:szCs w:val="20"/>
                <w:highlight w:val="none"/>
                <w:lang w:val="en-US" w:eastAsia="zh-CN" w:bidi="ar-SA"/>
              </w:rPr>
              <w:t>自合同签订之日起至项目终验合格之日止，未经采购人书面同意，不擅自更换项目经理及核心技术人员；</w:t>
            </w:r>
            <w:r>
              <w:rPr>
                <w:rFonts w:hint="default" w:ascii="Times New Roman" w:hAnsi="Times New Roman" w:eastAsia="华文宋体" w:cs="Times New Roman"/>
                <w:kern w:val="2"/>
                <w:sz w:val="24"/>
                <w:szCs w:val="20"/>
                <w:highlight w:val="none"/>
                <w:lang w:val="en-US" w:eastAsia="zh-CN" w:bidi="ar-SA"/>
              </w:rPr>
              <w:br w:type="textWrapping"/>
            </w:r>
            <w:r>
              <w:rPr>
                <w:rFonts w:hint="eastAsia" w:ascii="Times New Roman" w:hAnsi="Times New Roman" w:eastAsia="华文宋体" w:cs="Times New Roman"/>
                <w:kern w:val="2"/>
                <w:sz w:val="24"/>
                <w:szCs w:val="20"/>
                <w:highlight w:val="none"/>
                <w:lang w:val="en-US" w:eastAsia="zh-CN" w:bidi="ar-SA"/>
              </w:rPr>
              <w:t>②</w:t>
            </w:r>
            <w:r>
              <w:rPr>
                <w:rFonts w:hint="default" w:ascii="Times New Roman" w:hAnsi="Times New Roman" w:eastAsia="华文宋体" w:cs="Times New Roman"/>
                <w:kern w:val="2"/>
                <w:sz w:val="24"/>
                <w:szCs w:val="20"/>
                <w:highlight w:val="none"/>
                <w:lang w:val="en-US" w:eastAsia="zh-CN" w:bidi="ar-SA"/>
              </w:rPr>
              <w:t>如确需更换，须提前书面通知采购人，且更换人员的资质、经验不得低于原定人员，并经采购人书面同意后方可更换。</w:t>
            </w:r>
            <w:r>
              <w:rPr>
                <w:rFonts w:hint="default" w:ascii="Times New Roman" w:hAnsi="Times New Roman" w:eastAsia="华文宋体" w:cs="Times New Roman"/>
                <w:kern w:val="2"/>
                <w:sz w:val="24"/>
                <w:szCs w:val="20"/>
                <w:highlight w:val="none"/>
                <w:lang w:val="en-US" w:eastAsia="zh-CN" w:bidi="ar-SA"/>
              </w:rPr>
              <w:br w:type="textWrapping"/>
            </w:r>
            <w:r>
              <w:rPr>
                <w:rFonts w:hint="eastAsia" w:ascii="Times New Roman" w:hAnsi="Times New Roman" w:eastAsia="华文宋体" w:cs="Times New Roman"/>
                <w:kern w:val="2"/>
                <w:sz w:val="24"/>
                <w:szCs w:val="20"/>
                <w:highlight w:val="none"/>
                <w:lang w:val="en-US" w:eastAsia="zh-CN" w:bidi="ar-SA"/>
              </w:rPr>
              <w:t>以上</w:t>
            </w:r>
            <w:r>
              <w:rPr>
                <w:rFonts w:hint="default" w:ascii="Times New Roman" w:hAnsi="Times New Roman" w:eastAsia="华文宋体" w:cs="Times New Roman"/>
                <w:kern w:val="2"/>
                <w:sz w:val="24"/>
                <w:szCs w:val="20"/>
                <w:highlight w:val="none"/>
                <w:lang w:val="en-US" w:eastAsia="zh-CN" w:bidi="ar-SA"/>
              </w:rPr>
              <w:t>每满足一项得1分，满分2分。不提供或承诺内容不完整不得分。</w:t>
            </w:r>
          </w:p>
          <w:p w14:paraId="65CF98CE">
            <w:pPr>
              <w:keepNext w:val="0"/>
              <w:keepLines w:val="0"/>
              <w:pageBreakBefore w:val="0"/>
              <w:widowControl w:val="0"/>
              <w:kinsoku/>
              <w:overflowPunct/>
              <w:topLinePunct w:val="0"/>
              <w:autoSpaceDE/>
              <w:autoSpaceDN/>
              <w:bidi w:val="0"/>
              <w:snapToGrid w:val="0"/>
              <w:spacing w:line="360" w:lineRule="auto"/>
              <w:ind w:firstLine="0" w:firstLineChars="0"/>
              <w:jc w:val="left"/>
              <w:textAlignment w:val="auto"/>
              <w:rPr>
                <w:highlight w:val="none"/>
              </w:rPr>
            </w:pPr>
            <w:r>
              <w:rPr>
                <w:rFonts w:hint="eastAsia"/>
                <w:highlight w:val="none"/>
              </w:rPr>
              <w:t>【提供承诺函并加盖投标人单位公章】</w:t>
            </w:r>
            <w:bookmarkEnd w:id="1258"/>
            <w:bookmarkEnd w:id="1259"/>
          </w:p>
        </w:tc>
      </w:tr>
      <w:tr w14:paraId="1994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vMerge w:val="continue"/>
            <w:tcBorders>
              <w:right w:val="single" w:color="auto" w:sz="4" w:space="0"/>
            </w:tcBorders>
            <w:tcMar>
              <w:left w:w="108" w:type="dxa"/>
              <w:right w:w="108" w:type="dxa"/>
            </w:tcMar>
            <w:vAlign w:val="center"/>
          </w:tcPr>
          <w:p w14:paraId="65CF1757">
            <w:pPr>
              <w:ind w:firstLine="480"/>
              <w:rPr>
                <w:highlight w:val="none"/>
              </w:rPr>
            </w:pPr>
            <w:bookmarkStart w:id="1260" w:name="OLE_LINK3" w:colFirst="3" w:colLast="3"/>
          </w:p>
        </w:tc>
        <w:tc>
          <w:tcPr>
            <w:tcW w:w="1202" w:type="dxa"/>
            <w:vMerge w:val="continue"/>
            <w:tcBorders>
              <w:right w:val="single" w:color="auto" w:sz="4" w:space="0"/>
            </w:tcBorders>
            <w:tcMar>
              <w:left w:w="108" w:type="dxa"/>
              <w:right w:w="108" w:type="dxa"/>
            </w:tcMar>
            <w:vAlign w:val="center"/>
          </w:tcPr>
          <w:p w14:paraId="39289C6A">
            <w:pPr>
              <w:ind w:firstLine="480"/>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7D1F269">
            <w:pPr>
              <w:widowControl/>
              <w:spacing w:line="440" w:lineRule="exact"/>
              <w:ind w:firstLine="0" w:firstLineChars="0"/>
              <w:jc w:val="center"/>
              <w:rPr>
                <w:b/>
                <w:bCs/>
                <w:highlight w:val="none"/>
              </w:rPr>
            </w:pPr>
            <w:r>
              <w:rPr>
                <w:rFonts w:hint="eastAsia"/>
                <w:b/>
                <w:bCs/>
                <w:highlight w:val="none"/>
              </w:rPr>
              <w:t>质保承诺（</w:t>
            </w:r>
            <w:r>
              <w:rPr>
                <w:rFonts w:hint="eastAsia"/>
                <w:b/>
                <w:bCs/>
                <w:highlight w:val="none"/>
                <w:lang w:val="en-US" w:eastAsia="zh-CN"/>
              </w:rPr>
              <w:t>1</w:t>
            </w:r>
            <w:r>
              <w:rPr>
                <w:rFonts w:hint="eastAsia"/>
                <w:b/>
                <w:bCs/>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7F3FE12">
            <w:pPr>
              <w:ind w:firstLine="0" w:firstLineChars="0"/>
              <w:jc w:val="left"/>
              <w:rPr>
                <w:rFonts w:hint="eastAsia"/>
                <w:highlight w:val="none"/>
              </w:rPr>
            </w:pPr>
            <w:r>
              <w:rPr>
                <w:rFonts w:hint="eastAsia"/>
                <w:b/>
                <w:bCs/>
                <w:highlight w:val="none"/>
              </w:rPr>
              <w:t>投标人须提供质保期限承诺函并加盖投标人单位公章，按以下标准计分</w:t>
            </w:r>
            <w:r>
              <w:rPr>
                <w:rFonts w:hint="eastAsia"/>
                <w:highlight w:val="none"/>
              </w:rPr>
              <w:t>：</w:t>
            </w:r>
          </w:p>
          <w:p w14:paraId="11B3E45F">
            <w:pPr>
              <w:ind w:firstLine="0" w:firstLineChars="0"/>
              <w:jc w:val="left"/>
              <w:rPr>
                <w:rFonts w:hint="eastAsia"/>
                <w:highlight w:val="none"/>
                <w:lang w:val="en-US" w:eastAsia="zh-CN"/>
              </w:rPr>
            </w:pPr>
            <w:r>
              <w:rPr>
                <w:rFonts w:hint="eastAsia"/>
                <w:highlight w:val="none"/>
              </w:rPr>
              <w:t>承诺提供1年免费质保服务（自项目通过终验之日起计算）</w:t>
            </w:r>
            <w:r>
              <w:rPr>
                <w:rFonts w:hint="eastAsia"/>
                <w:highlight w:val="none"/>
                <w:lang w:eastAsia="zh-CN"/>
              </w:rPr>
              <w:t>，</w:t>
            </w:r>
            <w:r>
              <w:rPr>
                <w:rFonts w:hint="eastAsia"/>
                <w:highlight w:val="none"/>
                <w:lang w:val="en-US" w:eastAsia="zh-CN"/>
              </w:rPr>
              <w:t>得0.5分；</w:t>
            </w:r>
            <w:r>
              <w:rPr>
                <w:rFonts w:hint="eastAsia"/>
                <w:highlight w:val="none"/>
              </w:rPr>
              <w:t>在1年基础上，每额外增加1年免费质保服务</w:t>
            </w:r>
            <w:r>
              <w:rPr>
                <w:rFonts w:hint="eastAsia"/>
                <w:highlight w:val="none"/>
                <w:lang w:eastAsia="zh-CN"/>
              </w:rPr>
              <w:t>，</w:t>
            </w:r>
            <w:r>
              <w:rPr>
                <w:rFonts w:hint="eastAsia"/>
                <w:highlight w:val="none"/>
                <w:lang w:val="en-US" w:eastAsia="zh-CN"/>
              </w:rPr>
              <w:t>加0.3分，本项最高得1分。</w:t>
            </w:r>
          </w:p>
          <w:p w14:paraId="7430BE2B">
            <w:pPr>
              <w:ind w:firstLine="0" w:firstLineChars="0"/>
              <w:jc w:val="left"/>
              <w:rPr>
                <w:highlight w:val="none"/>
              </w:rPr>
            </w:pPr>
            <w:r>
              <w:rPr>
                <w:rFonts w:hint="eastAsia"/>
                <w:highlight w:val="none"/>
              </w:rPr>
              <w:t>【提供承诺函并加盖投标人单位公章】</w:t>
            </w:r>
          </w:p>
        </w:tc>
      </w:tr>
      <w:bookmarkEnd w:id="1260"/>
      <w:tr w14:paraId="7718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5" w:hRule="atLeast"/>
          <w:jc w:val="center"/>
        </w:trPr>
        <w:tc>
          <w:tcPr>
            <w:tcW w:w="955" w:type="dxa"/>
            <w:vMerge w:val="restart"/>
            <w:tcBorders>
              <w:right w:val="single" w:color="auto" w:sz="4" w:space="0"/>
            </w:tcBorders>
            <w:tcMar>
              <w:left w:w="108" w:type="dxa"/>
              <w:right w:w="108" w:type="dxa"/>
            </w:tcMar>
            <w:vAlign w:val="center"/>
          </w:tcPr>
          <w:p w14:paraId="08030B7D">
            <w:pPr>
              <w:spacing w:line="440" w:lineRule="exact"/>
              <w:ind w:firstLine="0" w:firstLineChars="0"/>
              <w:jc w:val="center"/>
              <w:rPr>
                <w:highlight w:val="none"/>
              </w:rPr>
            </w:pPr>
            <w:r>
              <w:rPr>
                <w:spacing w:val="-7"/>
                <w:szCs w:val="21"/>
                <w:highlight w:val="none"/>
              </w:rPr>
              <w:t>2.2.4(3)</w:t>
            </w:r>
          </w:p>
        </w:tc>
        <w:tc>
          <w:tcPr>
            <w:tcW w:w="1202" w:type="dxa"/>
            <w:vMerge w:val="restart"/>
            <w:tcBorders>
              <w:right w:val="single" w:color="auto" w:sz="4" w:space="0"/>
            </w:tcBorders>
            <w:tcMar>
              <w:left w:w="108" w:type="dxa"/>
              <w:right w:w="108" w:type="dxa"/>
            </w:tcMar>
            <w:vAlign w:val="center"/>
          </w:tcPr>
          <w:p w14:paraId="0EC393A4">
            <w:pPr>
              <w:spacing w:line="440" w:lineRule="exact"/>
              <w:ind w:firstLine="0" w:firstLineChars="0"/>
              <w:jc w:val="center"/>
              <w:rPr>
                <w:highlight w:val="none"/>
              </w:rPr>
            </w:pPr>
            <w:r>
              <w:rPr>
                <w:spacing w:val="-7"/>
                <w:szCs w:val="21"/>
                <w:highlight w:val="none"/>
              </w:rPr>
              <w:t>技术评分标准</w:t>
            </w: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40D04BB">
            <w:pPr>
              <w:widowControl/>
              <w:spacing w:line="440" w:lineRule="exact"/>
              <w:ind w:firstLine="0" w:firstLineChars="0"/>
              <w:jc w:val="center"/>
              <w:rPr>
                <w:rFonts w:hint="eastAsia" w:eastAsia="华文宋体"/>
                <w:b/>
                <w:bCs/>
                <w:highlight w:val="none"/>
                <w:lang w:val="en-US" w:eastAsia="zh-CN"/>
              </w:rPr>
            </w:pPr>
            <w:r>
              <w:rPr>
                <w:rFonts w:hint="eastAsia"/>
                <w:b/>
                <w:bCs/>
                <w:highlight w:val="none"/>
                <w:lang w:val="en-US" w:eastAsia="zh-CN"/>
              </w:rPr>
              <w:t>前置条件</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7CD7E14">
            <w:pPr>
              <w:ind w:firstLine="0" w:firstLineChars="0"/>
              <w:jc w:val="left"/>
              <w:rPr>
                <w:rFonts w:hint="eastAsia"/>
                <w:highlight w:val="none"/>
              </w:rPr>
            </w:pPr>
            <w:r>
              <w:rPr>
                <w:rFonts w:hint="eastAsia"/>
                <w:highlight w:val="none"/>
              </w:rPr>
              <w:t>前置资格约束（仅作中标候选人资格否决判定）</w:t>
            </w:r>
          </w:p>
          <w:p w14:paraId="2E5BAD77">
            <w:pPr>
              <w:ind w:firstLine="0" w:firstLineChars="0"/>
              <w:jc w:val="left"/>
              <w:rPr>
                <w:rFonts w:hint="eastAsia"/>
                <w:highlight w:val="none"/>
              </w:rPr>
            </w:pPr>
            <w:r>
              <w:rPr>
                <w:rFonts w:hint="eastAsia"/>
                <w:highlight w:val="none"/>
              </w:rPr>
              <w:t>（1）★条款：投标文件须逐条提供功能截图或专项技术说明佐证，100%响应，存在负偏离→否决投标；</w:t>
            </w:r>
          </w:p>
          <w:p w14:paraId="68D3DA75">
            <w:pPr>
              <w:ind w:firstLine="0" w:firstLineChars="0"/>
              <w:jc w:val="left"/>
              <w:rPr>
                <w:rFonts w:hint="eastAsia"/>
                <w:highlight w:val="none"/>
              </w:rPr>
            </w:pPr>
            <w:r>
              <w:rPr>
                <w:rFonts w:hint="eastAsia"/>
                <w:highlight w:val="none"/>
              </w:rPr>
              <w:t>（2）△项：累计≥3条不满足（无佐证或负偏离） →否决投标。</w:t>
            </w:r>
          </w:p>
          <w:p w14:paraId="0A41FFAD">
            <w:pPr>
              <w:ind w:firstLine="0" w:firstLineChars="0"/>
              <w:jc w:val="left"/>
              <w:rPr>
                <w:rFonts w:hint="eastAsia"/>
                <w:highlight w:val="none"/>
              </w:rPr>
            </w:pPr>
            <w:r>
              <w:rPr>
                <w:rFonts w:hint="eastAsia"/>
                <w:highlight w:val="none"/>
              </w:rPr>
              <w:t>（3）★和△仅作资格符合性审查，不重复计入分值评审；</w:t>
            </w:r>
          </w:p>
          <w:p w14:paraId="4A9624A6">
            <w:pPr>
              <w:ind w:firstLine="0" w:firstLineChars="0"/>
              <w:jc w:val="left"/>
              <w:rPr>
                <w:rFonts w:hint="eastAsia"/>
                <w:highlight w:val="none"/>
              </w:rPr>
            </w:pPr>
            <w:r>
              <w:rPr>
                <w:rFonts w:hint="eastAsia"/>
                <w:highlight w:val="none"/>
              </w:rPr>
              <w:t>（4）评分范围：本评分表仅对本项目技术方案完整性、落地深度、行业适配、项目保障专项打分，总分40分。</w:t>
            </w:r>
          </w:p>
        </w:tc>
      </w:tr>
      <w:tr w14:paraId="17831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vMerge w:val="continue"/>
            <w:tcBorders>
              <w:right w:val="single" w:color="auto" w:sz="4" w:space="0"/>
            </w:tcBorders>
            <w:tcMar>
              <w:left w:w="108" w:type="dxa"/>
              <w:right w:w="108" w:type="dxa"/>
            </w:tcMar>
            <w:vAlign w:val="center"/>
          </w:tcPr>
          <w:p w14:paraId="38FEA2A2">
            <w:pPr>
              <w:spacing w:line="440" w:lineRule="exact"/>
              <w:ind w:firstLine="0" w:firstLineChars="0"/>
              <w:jc w:val="center"/>
              <w:rPr>
                <w:highlight w:val="none"/>
              </w:rPr>
            </w:pPr>
          </w:p>
        </w:tc>
        <w:tc>
          <w:tcPr>
            <w:tcW w:w="1202" w:type="dxa"/>
            <w:vMerge w:val="continue"/>
            <w:tcBorders>
              <w:right w:val="single" w:color="auto" w:sz="4" w:space="0"/>
            </w:tcBorders>
            <w:tcMar>
              <w:left w:w="108" w:type="dxa"/>
              <w:right w:w="108" w:type="dxa"/>
            </w:tcMar>
            <w:vAlign w:val="center"/>
          </w:tcPr>
          <w:p w14:paraId="40E24EBF">
            <w:pPr>
              <w:spacing w:line="440" w:lineRule="exact"/>
              <w:ind w:firstLine="0" w:firstLineChars="0"/>
              <w:jc w:val="center"/>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1BE7B0A">
            <w:pPr>
              <w:spacing w:line="440" w:lineRule="exact"/>
              <w:ind w:firstLine="0" w:firstLineChars="0"/>
              <w:jc w:val="center"/>
              <w:rPr>
                <w:b/>
                <w:bCs/>
                <w:highlight w:val="none"/>
              </w:rPr>
            </w:pPr>
            <w:r>
              <w:rPr>
                <w:b/>
                <w:bCs/>
                <w:highlight w:val="none"/>
              </w:rPr>
              <w:t>技术响应</w:t>
            </w:r>
          </w:p>
          <w:p w14:paraId="0102F627">
            <w:pPr>
              <w:spacing w:line="440" w:lineRule="exact"/>
              <w:ind w:firstLine="480"/>
              <w:rPr>
                <w:b/>
                <w:bCs/>
                <w:highlight w:val="none"/>
              </w:rPr>
            </w:pPr>
            <w:r>
              <w:rPr>
                <w:rFonts w:hint="eastAsia"/>
                <w:b/>
                <w:bCs/>
                <w:highlight w:val="none"/>
              </w:rPr>
              <w:t>1</w:t>
            </w:r>
            <w:r>
              <w:rPr>
                <w:b/>
                <w:bCs/>
                <w:highlight w:val="none"/>
              </w:rPr>
              <w:t>6分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21B6CA9">
            <w:pPr>
              <w:ind w:firstLine="0" w:firstLineChars="0"/>
              <w:jc w:val="left"/>
            </w:pPr>
            <w:bookmarkStart w:id="1261" w:name="OLE_LINK11"/>
            <w:r>
              <w:rPr>
                <w:rFonts w:hint="eastAsia"/>
              </w:rPr>
              <w:t>1. 系统核心功能匹配度（16分）</w:t>
            </w:r>
          </w:p>
          <w:p w14:paraId="22C3367D">
            <w:pPr>
              <w:ind w:firstLine="0" w:firstLineChars="0"/>
              <w:jc w:val="left"/>
            </w:pPr>
            <w:r>
              <w:rPr>
                <w:rFonts w:hint="eastAsia"/>
              </w:rPr>
              <w:t>依据招标文件技术需求全部智能配置管理功能要求（市场快速报价配置、产品线管理、配置特征库、超配BOM、配置规则引擎、精确BOM生成、CBB知识库管理、CATIA 3DE MBD模型的管理和可视化能力、系统集成能力）进行评审：</w:t>
            </w:r>
          </w:p>
          <w:p w14:paraId="69842738">
            <w:pPr>
              <w:ind w:firstLine="0" w:firstLineChars="0"/>
              <w:jc w:val="left"/>
            </w:pPr>
            <w:r>
              <w:rPr>
                <w:rFonts w:hint="eastAsia"/>
              </w:rPr>
              <w:t>（1）</w:t>
            </w:r>
            <w:r>
              <w:rPr>
                <w:rFonts w:hint="eastAsia"/>
                <w:lang w:val="en-US" w:eastAsia="zh-CN"/>
              </w:rPr>
              <w:t>优秀（14-16分）：功能全覆盖：以上功能逐一响应，无缺漏。 细节完整：每项功能均有清晰的功能截图或界面原型佐证，功能描述逻辑清晰、流程完整（如配置规则引擎须说明规则配置界面、规则类型、执行逻辑及输出结果）。可落地性强：有明确的应用场景用例（如“市场人员选择车型→配置特征库筛选→规则校验→精确BOM输出”全链路），证明方案可支撑实际业务运作。有增值优化：在满足招标要求基础上，提出额外优化点（如性能提升、操作简化、智能推荐等），体现“优于”要求</w:t>
            </w:r>
            <w:r>
              <w:rPr>
                <w:rFonts w:hint="eastAsia"/>
              </w:rPr>
              <w:t>；</w:t>
            </w:r>
          </w:p>
          <w:p w14:paraId="0D024A38">
            <w:pPr>
              <w:ind w:firstLine="0" w:firstLineChars="0"/>
              <w:jc w:val="left"/>
            </w:pPr>
            <w:r>
              <w:rPr>
                <w:rFonts w:hint="eastAsia"/>
              </w:rPr>
              <w:t>（2）</w:t>
            </w:r>
            <w:r>
              <w:rPr>
                <w:rFonts w:hint="eastAsia"/>
                <w:lang w:val="en-US" w:eastAsia="zh-CN"/>
              </w:rPr>
              <w:t>良好（7-13分）：功能基本覆盖，但存在1-2项描述简略或未提供截图佐证。功能描述正确但偏列表式，缺少业务流程串联和操作细节说明。有功能说明但无截图佐证，或截图与功能描述匹配度不高。能说明功能“是什么”，但未充分说明“怎么用”及“用在哪”</w:t>
            </w:r>
            <w:r>
              <w:rPr>
                <w:rFonts w:hint="eastAsia"/>
              </w:rPr>
              <w:t>；</w:t>
            </w:r>
          </w:p>
          <w:p w14:paraId="1C00111E">
            <w:pPr>
              <w:ind w:firstLine="0" w:firstLineChars="0"/>
              <w:jc w:val="left"/>
              <w:rPr>
                <w:rFonts w:hint="eastAsia"/>
                <w:lang w:val="en-US" w:eastAsia="zh-CN"/>
              </w:rPr>
            </w:pPr>
            <w:r>
              <w:rPr>
                <w:rFonts w:hint="eastAsia"/>
              </w:rPr>
              <w:t>（3）</w:t>
            </w:r>
            <w:r>
              <w:rPr>
                <w:rFonts w:hint="eastAsia"/>
                <w:lang w:val="en-US" w:eastAsia="zh-CN"/>
              </w:rPr>
              <w:t>一般（0-6分）：功能中缺项≥3项，或多项仅用一句话概括。功能描述笼统空泛，大量套用通用话术（如“支持BOM管理”、“具备配置功能”），无具体界面、流程或逻辑说明。未体现对本项目业务场景（如CATIA 3DE集成）的理解，方案不可落地或不满足基本业务需求。完全无截图或截图与系统功能无关。</w:t>
            </w:r>
            <w:bookmarkEnd w:id="1261"/>
          </w:p>
          <w:p w14:paraId="41FA75E9">
            <w:pPr>
              <w:ind w:firstLine="0" w:firstLineChars="0"/>
              <w:jc w:val="left"/>
            </w:pPr>
            <w:r>
              <w:rPr>
                <w:rFonts w:hint="eastAsia"/>
                <w:b/>
                <w:bCs/>
                <w:lang w:val="en-US" w:eastAsia="zh-CN"/>
              </w:rPr>
              <w:t>佐证材料要求</w:t>
            </w:r>
            <w:r>
              <w:rPr>
                <w:rFonts w:hint="eastAsia"/>
                <w:lang w:val="en-US" w:eastAsia="zh-CN"/>
              </w:rPr>
              <w:t>：逐一响应附功能截图/原型佐证，链路用例完整；CATIA 3DE MBD管理与可视化方案清晰；系统集成方式明确；附带规则智能推荐等增值优化点。</w:t>
            </w:r>
          </w:p>
        </w:tc>
      </w:tr>
      <w:tr w14:paraId="1BAF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vMerge w:val="continue"/>
            <w:tcBorders>
              <w:right w:val="single" w:color="auto" w:sz="4" w:space="0"/>
            </w:tcBorders>
            <w:tcMar>
              <w:left w:w="108" w:type="dxa"/>
              <w:right w:w="108" w:type="dxa"/>
            </w:tcMar>
            <w:vAlign w:val="center"/>
          </w:tcPr>
          <w:p w14:paraId="7F6FED2B">
            <w:pPr>
              <w:spacing w:line="440" w:lineRule="exact"/>
              <w:ind w:firstLine="0" w:firstLineChars="0"/>
              <w:jc w:val="center"/>
              <w:rPr>
                <w:highlight w:val="none"/>
              </w:rPr>
            </w:pPr>
          </w:p>
        </w:tc>
        <w:tc>
          <w:tcPr>
            <w:tcW w:w="1202" w:type="dxa"/>
            <w:vMerge w:val="continue"/>
            <w:tcBorders>
              <w:right w:val="single" w:color="auto" w:sz="4" w:space="0"/>
            </w:tcBorders>
            <w:tcMar>
              <w:left w:w="108" w:type="dxa"/>
              <w:right w:w="108" w:type="dxa"/>
            </w:tcMar>
            <w:vAlign w:val="center"/>
          </w:tcPr>
          <w:p w14:paraId="78187C10">
            <w:pPr>
              <w:spacing w:line="440" w:lineRule="exact"/>
              <w:ind w:firstLine="0" w:firstLineChars="0"/>
              <w:jc w:val="center"/>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0141810">
            <w:pPr>
              <w:ind w:firstLine="0" w:firstLineChars="0"/>
              <w:rPr>
                <w:b/>
                <w:bCs/>
                <w:highlight w:val="none"/>
              </w:rPr>
            </w:pPr>
          </w:p>
          <w:p w14:paraId="5F13D7A5">
            <w:pPr>
              <w:ind w:firstLine="0" w:firstLineChars="0"/>
              <w:rPr>
                <w:b/>
                <w:bCs/>
                <w:highlight w:val="none"/>
              </w:rPr>
            </w:pPr>
            <w:r>
              <w:rPr>
                <w:b/>
                <w:bCs/>
                <w:highlight w:val="none"/>
              </w:rPr>
              <w:t>关键方案匹配</w:t>
            </w:r>
          </w:p>
          <w:p w14:paraId="2BF33CFA">
            <w:pPr>
              <w:ind w:firstLine="480" w:firstLineChars="200"/>
              <w:rPr>
                <w:rFonts w:hint="eastAsia"/>
                <w:b/>
                <w:bCs/>
                <w:highlight w:val="none"/>
                <w:lang w:eastAsia="zh-CN"/>
              </w:rPr>
            </w:pPr>
            <w:r>
              <w:rPr>
                <w:rFonts w:hint="eastAsia"/>
                <w:b/>
                <w:bCs/>
                <w:highlight w:val="none"/>
                <w:lang w:eastAsia="zh-CN"/>
              </w:rPr>
              <w:t>评价</w:t>
            </w:r>
          </w:p>
          <w:p w14:paraId="2C9E4DB6">
            <w:pPr>
              <w:ind w:firstLine="480" w:firstLineChars="200"/>
              <w:rPr>
                <w:rFonts w:hint="eastAsia" w:ascii="Times New Roman" w:hAnsi="Times New Roman" w:eastAsia="华文宋体" w:cs="Times New Roman"/>
                <w:b/>
                <w:bCs/>
                <w:kern w:val="2"/>
                <w:sz w:val="24"/>
                <w:highlight w:val="none"/>
                <w:lang w:val="en-US" w:eastAsia="zh-CN" w:bidi="ar-SA"/>
              </w:rPr>
            </w:pPr>
            <w:r>
              <w:rPr>
                <w:rFonts w:hint="eastAsia"/>
                <w:b/>
                <w:bCs/>
                <w:highlight w:val="none"/>
                <w:lang w:val="en-US" w:eastAsia="zh-CN"/>
              </w:rPr>
              <w:t>7</w:t>
            </w:r>
            <w:r>
              <w:rPr>
                <w:b/>
                <w:bCs/>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1FBD077">
            <w:pPr>
              <w:ind w:firstLine="0" w:firstLineChars="0"/>
              <w:jc w:val="left"/>
            </w:pPr>
            <w:r>
              <w:rPr>
                <w:rFonts w:hint="eastAsia"/>
                <w:lang w:val="en-US" w:eastAsia="zh-CN"/>
              </w:rPr>
              <w:t>2</w:t>
            </w:r>
            <w:r>
              <w:rPr>
                <w:rFonts w:hint="eastAsia"/>
              </w:rPr>
              <w:t>. 智能化建设方案匹配度（</w:t>
            </w:r>
            <w:r>
              <w:rPr>
                <w:rFonts w:hint="eastAsia"/>
                <w:lang w:val="en-US" w:eastAsia="zh-CN"/>
              </w:rPr>
              <w:t>7</w:t>
            </w:r>
            <w:r>
              <w:rPr>
                <w:rFonts w:hint="eastAsia"/>
              </w:rPr>
              <w:t>分）</w:t>
            </w:r>
          </w:p>
          <w:p w14:paraId="2AFDD5D7">
            <w:pPr>
              <w:ind w:firstLine="0" w:firstLineChars="0"/>
              <w:jc w:val="left"/>
            </w:pPr>
            <w:r>
              <w:rPr>
                <w:rFonts w:hint="eastAsia"/>
              </w:rPr>
              <w:t>依据本项目智能化建设内容（智能配置引擎、知识图谱规则库、CATIA 3DE 3D设计联动、历史数据挖掘、供应链协同）评审：</w:t>
            </w:r>
          </w:p>
          <w:p w14:paraId="164A6194">
            <w:pPr>
              <w:numPr>
                <w:ilvl w:val="0"/>
                <w:numId w:val="5"/>
              </w:numPr>
              <w:ind w:firstLine="0" w:firstLineChars="0"/>
              <w:jc w:val="left"/>
              <w:rPr>
                <w:rFonts w:hint="eastAsia"/>
                <w:lang w:eastAsia="zh-CN"/>
              </w:rPr>
            </w:pPr>
            <w:r>
              <w:rPr>
                <w:rFonts w:hint="eastAsia"/>
                <w:lang w:val="en-US" w:eastAsia="zh-CN"/>
              </w:rPr>
              <w:t>优秀（6-7分）：方案须对智能配置引擎、知识图谱规则库、CATIA 3DE 3D设计联动、历史数据挖掘、供应链协同等建设内容以独立章节逐一响应，无一缺漏；在功能描述基础上，须进一步阐明技术实现路径——包括智能校验的规则类型与触发机制、数据挖掘的具体算法与输出形式、模型联动的接口协议与同步策略、供应链协同的覆盖范围与数据传递标准等；同时，须承诺交付规则库文档、接口规范、数据模型设计说明书等阶段性成果物，体现方案的落地闭环能力</w:t>
            </w:r>
            <w:r>
              <w:rPr>
                <w:rFonts w:hint="eastAsia"/>
                <w:lang w:eastAsia="zh-CN"/>
              </w:rPr>
              <w:t>；</w:t>
            </w:r>
          </w:p>
          <w:p w14:paraId="0584C285">
            <w:pPr>
              <w:numPr>
                <w:ilvl w:val="0"/>
                <w:numId w:val="5"/>
              </w:numPr>
              <w:ind w:firstLine="0" w:firstLineChars="0"/>
              <w:jc w:val="left"/>
            </w:pPr>
            <w:r>
              <w:rPr>
                <w:rFonts w:hint="eastAsia"/>
                <w:lang w:val="en-US" w:eastAsia="zh-CN"/>
              </w:rPr>
              <w:t>良好（3-5分）：但存在1-2项仅做表面描述（如一段话介绍概念），缺乏技术实现路径。有智能化设计的意识，但内容偏常规化。例如，提及“智能规则校验”但未说明校验规则的具体类型和来源；提及“数据洞察”但停留在报表统计层面，未涉及算法模型；提及“3D联动”但未说明接口协议和触发逻辑。方案多为功能列表式罗列，缺少业务场景驱动的设计思路；</w:t>
            </w:r>
          </w:p>
          <w:p w14:paraId="31B1D0F1">
            <w:pPr>
              <w:numPr>
                <w:ilvl w:val="0"/>
                <w:numId w:val="5"/>
              </w:numPr>
              <w:ind w:left="0" w:leftChars="0" w:firstLine="0" w:firstLineChars="0"/>
              <w:jc w:val="left"/>
              <w:rPr>
                <w:rFonts w:hint="eastAsia"/>
                <w:lang w:val="en-US" w:eastAsia="zh-CN"/>
              </w:rPr>
            </w:pPr>
            <w:r>
              <w:rPr>
                <w:rFonts w:hint="eastAsia"/>
                <w:lang w:val="en-US" w:eastAsia="zh-CN"/>
              </w:rPr>
              <w:t>一般（0-2分）：五项内容中缺项≥2项，或多项内容仅用寥寥数语概括。方案内容泛泛而谈，大量套用通用智能化话术（如“利用AI技术”、“实现大数据分析”），无具体技术选型、无实现路径、无落地保障。</w:t>
            </w:r>
            <w:r>
              <w:rPr>
                <w:rFonts w:hint="eastAsia"/>
                <w:lang w:val="en-US" w:eastAsia="zh-CN"/>
              </w:rPr>
              <w:br w:type="textWrapping"/>
            </w:r>
            <w:r>
              <w:rPr>
                <w:rFonts w:hint="eastAsia"/>
                <w:lang w:val="en-US" w:eastAsia="zh-CN"/>
              </w:rPr>
              <w:t>仅重复招标文件中的需求原文，未体现投标方对智能化建设的理解和深化设计能力。</w:t>
            </w:r>
          </w:p>
          <w:p w14:paraId="31F3A3C4">
            <w:pPr>
              <w:numPr>
                <w:ilvl w:val="0"/>
                <w:numId w:val="0"/>
              </w:numPr>
              <w:ind w:leftChars="0"/>
              <w:jc w:val="left"/>
              <w:rPr>
                <w:rFonts w:hint="eastAsia"/>
                <w:lang w:val="en-US" w:eastAsia="zh-CN"/>
              </w:rPr>
            </w:pPr>
            <w:r>
              <w:rPr>
                <w:rFonts w:hint="eastAsia"/>
                <w:b/>
                <w:bCs/>
                <w:lang w:val="en-US" w:eastAsia="zh-CN"/>
              </w:rPr>
              <w:t>佐证材料要求</w:t>
            </w:r>
            <w:r>
              <w:rPr>
                <w:rFonts w:hint="eastAsia"/>
                <w:lang w:val="en-US" w:eastAsia="zh-CN"/>
              </w:rPr>
              <w:t>：五项内容逐一响应，路径清晰，承诺交付规则库文档、接口规范及数据模型设计说明书。</w:t>
            </w:r>
          </w:p>
        </w:tc>
      </w:tr>
      <w:tr w14:paraId="615F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5" w:type="dxa"/>
            <w:vMerge w:val="continue"/>
            <w:tcBorders>
              <w:right w:val="single" w:color="auto" w:sz="4" w:space="0"/>
            </w:tcBorders>
            <w:tcMar>
              <w:left w:w="108" w:type="dxa"/>
              <w:right w:w="108" w:type="dxa"/>
            </w:tcMar>
            <w:vAlign w:val="center"/>
          </w:tcPr>
          <w:p w14:paraId="56A6E7CD">
            <w:pPr>
              <w:spacing w:line="440" w:lineRule="exact"/>
              <w:ind w:firstLine="0" w:firstLineChars="0"/>
              <w:jc w:val="center"/>
              <w:rPr>
                <w:highlight w:val="none"/>
              </w:rPr>
            </w:pPr>
          </w:p>
        </w:tc>
        <w:tc>
          <w:tcPr>
            <w:tcW w:w="1202" w:type="dxa"/>
            <w:vMerge w:val="continue"/>
            <w:tcBorders>
              <w:right w:val="single" w:color="auto" w:sz="4" w:space="0"/>
            </w:tcBorders>
            <w:tcMar>
              <w:left w:w="108" w:type="dxa"/>
              <w:right w:w="108" w:type="dxa"/>
            </w:tcMar>
            <w:vAlign w:val="center"/>
          </w:tcPr>
          <w:p w14:paraId="4CE30529">
            <w:pPr>
              <w:spacing w:line="440" w:lineRule="exact"/>
              <w:ind w:firstLine="0" w:firstLineChars="0"/>
              <w:jc w:val="center"/>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0EC82A6">
            <w:pPr>
              <w:ind w:firstLine="0" w:firstLineChars="0"/>
              <w:jc w:val="center"/>
              <w:rPr>
                <w:rFonts w:hint="eastAsia" w:eastAsia="华文宋体"/>
                <w:b/>
                <w:bCs/>
                <w:highlight w:val="none"/>
                <w:lang w:val="en-US" w:eastAsia="zh-CN"/>
              </w:rPr>
            </w:pPr>
            <w:r>
              <w:rPr>
                <w:rFonts w:hint="eastAsia"/>
                <w:b/>
                <w:bCs/>
                <w:highlight w:val="none"/>
              </w:rPr>
              <w:t>技术架构</w:t>
            </w:r>
            <w:r>
              <w:rPr>
                <w:rFonts w:hint="eastAsia"/>
                <w:b/>
                <w:bCs/>
                <w:highlight w:val="none"/>
                <w:lang w:val="en-US" w:eastAsia="zh-CN"/>
              </w:rPr>
              <w:t>能力</w:t>
            </w:r>
          </w:p>
          <w:p w14:paraId="3E177BDE">
            <w:pPr>
              <w:ind w:firstLine="480"/>
              <w:rPr>
                <w:b/>
                <w:bCs/>
                <w:highlight w:val="none"/>
              </w:rPr>
            </w:pPr>
            <w:r>
              <w:rPr>
                <w:rFonts w:hint="eastAsia"/>
                <w:b/>
                <w:bCs/>
                <w:highlight w:val="none"/>
                <w:lang w:val="en-US" w:eastAsia="zh-CN"/>
              </w:rPr>
              <w:t>4</w:t>
            </w:r>
            <w:r>
              <w:rPr>
                <w:rFonts w:hint="eastAsia"/>
                <w:b/>
                <w:bCs/>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9E4CFED">
            <w:pPr>
              <w:ind w:firstLine="0" w:firstLineChars="0"/>
              <w:jc w:val="left"/>
            </w:pPr>
            <w:bookmarkStart w:id="1262" w:name="OLE_LINK8"/>
            <w:r>
              <w:rPr>
                <w:rFonts w:hint="eastAsia"/>
                <w:lang w:val="en-US" w:eastAsia="zh-CN"/>
              </w:rPr>
              <w:t>3</w:t>
            </w:r>
            <w:r>
              <w:rPr>
                <w:rFonts w:hint="eastAsia"/>
              </w:rPr>
              <w:t>. 项目整体技术架构与部署方案（</w:t>
            </w:r>
            <w:r>
              <w:rPr>
                <w:rFonts w:hint="eastAsia"/>
                <w:lang w:val="en-US" w:eastAsia="zh-CN"/>
              </w:rPr>
              <w:t>4</w:t>
            </w:r>
            <w:r>
              <w:rPr>
                <w:rFonts w:hint="eastAsia"/>
              </w:rPr>
              <w:t>分）</w:t>
            </w:r>
          </w:p>
          <w:p w14:paraId="25B77D85">
            <w:pPr>
              <w:ind w:firstLine="0" w:firstLineChars="0"/>
              <w:jc w:val="left"/>
            </w:pPr>
            <w:r>
              <w:rPr>
                <w:rFonts w:hint="eastAsia"/>
              </w:rPr>
              <w:t>依据招标文件平台架构能力核心配置要求（用户并发规模、虚拟机部署方案、私有云适配、稳定性、扩展性、数据安全、兼容现有协同开发系统、</w:t>
            </w:r>
            <w:r>
              <w:t>对</w:t>
            </w:r>
            <w:r>
              <w:rPr>
                <w:rFonts w:hint="eastAsia"/>
              </w:rPr>
              <w:t>CATIA 3DE</w:t>
            </w:r>
            <w:r>
              <w:t>三维数模及其 MBD 信息进行本地化大文件访问与轻量化浏览</w:t>
            </w:r>
            <w:r>
              <w:rPr>
                <w:rFonts w:hint="eastAsia"/>
              </w:rPr>
              <w:t>、ERP系统）以及平台架构能力要求（部署环境、容错及可靠性、可扩展性等）评审：</w:t>
            </w:r>
          </w:p>
          <w:p w14:paraId="56D11874">
            <w:pPr>
              <w:ind w:firstLine="0" w:firstLineChars="0"/>
              <w:jc w:val="left"/>
              <w:rPr>
                <w:rFonts w:hint="eastAsia"/>
                <w:lang w:eastAsia="zh-CN"/>
              </w:rPr>
            </w:pPr>
            <w:r>
              <w:rPr>
                <w:rFonts w:hint="eastAsia"/>
              </w:rPr>
              <w:t>（1）</w:t>
            </w:r>
            <w:r>
              <w:rPr>
                <w:rFonts w:hint="eastAsia"/>
                <w:lang w:val="en-US" w:eastAsia="zh-CN"/>
              </w:rPr>
              <w:t>优秀（3-4分）：技术架构先进，说明选型依据；适配私有云部署，给出具体云平台版本及网络、存储规划；软硬件参数配置合理，提供虚拟机CPU/内存/存储规格清单及测算依据；兼容性说明完整，逐一说明与现有协同开发系统、ERP、CAD等的集成方式（接口/中间件/数据同步），并提供既往成功案例或可行性证明；性能优势量化；扩容方案详实，明确扩容触发条件与实现方式；同时针对CATIA 3DE三维数模及MBD信息，明确本地化大文件访问的缓存机制与轻量化浏览的技术实现路径</w:t>
            </w:r>
            <w:r>
              <w:rPr>
                <w:rFonts w:hint="eastAsia"/>
                <w:lang w:eastAsia="zh-CN"/>
              </w:rPr>
              <w:t>；</w:t>
            </w:r>
          </w:p>
          <w:p w14:paraId="34A66953">
            <w:pPr>
              <w:ind w:firstLine="0" w:firstLineChars="0"/>
              <w:jc w:val="left"/>
              <w:rPr>
                <w:rFonts w:hint="eastAsia"/>
                <w:lang w:eastAsia="zh-CN"/>
              </w:rPr>
            </w:pPr>
            <w:r>
              <w:rPr>
                <w:rFonts w:hint="eastAsia"/>
              </w:rPr>
              <w:t>（2）</w:t>
            </w:r>
            <w:r>
              <w:rPr>
                <w:rFonts w:hint="eastAsia"/>
                <w:lang w:val="en-US" w:eastAsia="zh-CN"/>
              </w:rPr>
              <w:t>良好（1-2分）：架构方案完整，包含部署环境描述与软硬件配置清单，兼容性基本满足要求，对各系统集成方式有说明但细节不够深入；有性能、安全、扩展性方面的考虑，但缺少量化指标、具体技术措施或扩容触发条件等实质性内容，CATIA 3DE大文件与轻量化方案有描述但较简略</w:t>
            </w:r>
            <w:r>
              <w:rPr>
                <w:rFonts w:hint="eastAsia"/>
                <w:lang w:eastAsia="zh-CN"/>
              </w:rPr>
              <w:t>；</w:t>
            </w:r>
          </w:p>
          <w:p w14:paraId="3029B0D9">
            <w:pPr>
              <w:ind w:firstLine="0" w:firstLineChars="0"/>
              <w:jc w:val="left"/>
              <w:rPr>
                <w:rFonts w:hint="eastAsia"/>
                <w:lang w:val="en-US" w:eastAsia="zh-CN"/>
              </w:rPr>
            </w:pPr>
            <w:r>
              <w:rPr>
                <w:rFonts w:hint="eastAsia"/>
              </w:rPr>
              <w:t>（3）</w:t>
            </w:r>
            <w:r>
              <w:rPr>
                <w:rFonts w:hint="eastAsia"/>
                <w:lang w:val="en-US" w:eastAsia="zh-CN"/>
              </w:rPr>
              <w:t>一般（0-1分）：方案简单笼统，部署描述模糊，仅有通用性表述而无具体软硬件参数配置；未体现与现有业务系统（协同开发系统、ERP、CAD）的适配分析；性能、安全、扩展性等方面无实质性描述或严重缺项。</w:t>
            </w:r>
            <w:bookmarkEnd w:id="1262"/>
          </w:p>
          <w:p w14:paraId="52CC4D1C">
            <w:pPr>
              <w:ind w:firstLine="0" w:firstLineChars="0"/>
              <w:jc w:val="left"/>
              <w:rPr>
                <w:rFonts w:hint="eastAsia"/>
                <w:lang w:eastAsia="zh-CN"/>
              </w:rPr>
            </w:pPr>
            <w:bookmarkStart w:id="1263" w:name="OLE_LINK10"/>
            <w:r>
              <w:rPr>
                <w:rFonts w:hint="eastAsia"/>
                <w:b/>
                <w:bCs/>
                <w:lang w:val="en-US" w:eastAsia="zh-CN"/>
              </w:rPr>
              <w:t>佐证材料要求</w:t>
            </w:r>
            <w:r>
              <w:rPr>
                <w:rFonts w:hint="eastAsia"/>
                <w:lang w:val="en-US" w:eastAsia="zh-CN"/>
              </w:rPr>
              <w:t>：提供完整的混合部署架构图、跨平台适配方案、容灾备份方案、断点续算技术实现说明、扩展预留接口设计方案，以及CATIA 3DE大文件本地化缓存机制与轻量化浏览技术实现路径，佐证材料齐全完备。</w:t>
            </w:r>
            <w:bookmarkEnd w:id="1263"/>
          </w:p>
        </w:tc>
      </w:tr>
      <w:tr w14:paraId="059D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955" w:type="dxa"/>
            <w:vMerge w:val="continue"/>
            <w:tcBorders>
              <w:right w:val="single" w:color="auto" w:sz="4" w:space="0"/>
            </w:tcBorders>
            <w:tcMar>
              <w:left w:w="108" w:type="dxa"/>
              <w:right w:w="108" w:type="dxa"/>
            </w:tcMar>
            <w:vAlign w:val="center"/>
          </w:tcPr>
          <w:p w14:paraId="2AD9EF23">
            <w:pPr>
              <w:ind w:firstLine="480"/>
              <w:rPr>
                <w:highlight w:val="none"/>
              </w:rPr>
            </w:pPr>
          </w:p>
        </w:tc>
        <w:tc>
          <w:tcPr>
            <w:tcW w:w="1202" w:type="dxa"/>
            <w:vMerge w:val="continue"/>
            <w:tcBorders>
              <w:right w:val="single" w:color="auto" w:sz="4" w:space="0"/>
            </w:tcBorders>
            <w:tcMar>
              <w:left w:w="108" w:type="dxa"/>
              <w:right w:w="108" w:type="dxa"/>
            </w:tcMar>
            <w:vAlign w:val="center"/>
          </w:tcPr>
          <w:p w14:paraId="27B18E12">
            <w:pPr>
              <w:ind w:firstLine="480"/>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F657B23">
            <w:pPr>
              <w:ind w:firstLine="0" w:firstLineChars="0"/>
              <w:jc w:val="center"/>
              <w:rPr>
                <w:rFonts w:hint="eastAsia" w:eastAsia="华文宋体"/>
                <w:b/>
                <w:bCs/>
                <w:highlight w:val="none"/>
                <w:lang w:eastAsia="zh-CN"/>
              </w:rPr>
            </w:pPr>
            <w:r>
              <w:rPr>
                <w:b/>
                <w:bCs/>
                <w:highlight w:val="none"/>
              </w:rPr>
              <w:t>集成</w:t>
            </w:r>
            <w:r>
              <w:rPr>
                <w:rFonts w:hint="eastAsia"/>
                <w:b/>
                <w:bCs/>
                <w:highlight w:val="none"/>
                <w:lang w:val="en-US" w:eastAsia="zh-CN"/>
              </w:rPr>
              <w:t>能力</w:t>
            </w:r>
          </w:p>
          <w:p w14:paraId="289D77EF">
            <w:pPr>
              <w:ind w:firstLine="480"/>
              <w:rPr>
                <w:b/>
                <w:bCs/>
                <w:highlight w:val="none"/>
              </w:rPr>
            </w:pPr>
            <w:r>
              <w:rPr>
                <w:rFonts w:hint="eastAsia"/>
                <w:b/>
                <w:bCs/>
                <w:highlight w:val="none"/>
                <w:lang w:val="en-US" w:eastAsia="zh-CN"/>
              </w:rPr>
              <w:t>4</w:t>
            </w:r>
            <w:r>
              <w:rPr>
                <w:rFonts w:hint="eastAsia"/>
                <w:b/>
                <w:bCs/>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2661957">
            <w:pPr>
              <w:ind w:firstLine="0" w:firstLineChars="0"/>
              <w:jc w:val="left"/>
            </w:pPr>
            <w:bookmarkStart w:id="1264" w:name="OLE_LINK9"/>
            <w:r>
              <w:rPr>
                <w:rFonts w:hint="eastAsia"/>
                <w:lang w:val="en-US" w:eastAsia="zh-CN"/>
              </w:rPr>
              <w:t>4</w:t>
            </w:r>
            <w:r>
              <w:rPr>
                <w:rFonts w:hint="eastAsia"/>
              </w:rPr>
              <w:t>. 系统集成与二次开发能力（</w:t>
            </w:r>
            <w:r>
              <w:rPr>
                <w:rFonts w:hint="eastAsia"/>
                <w:lang w:val="en-US" w:eastAsia="zh-CN"/>
              </w:rPr>
              <w:t>4</w:t>
            </w:r>
            <w:r>
              <w:rPr>
                <w:rFonts w:hint="eastAsia"/>
              </w:rPr>
              <w:t>分）</w:t>
            </w:r>
          </w:p>
          <w:p w14:paraId="3946C516">
            <w:pPr>
              <w:ind w:firstLine="0" w:firstLineChars="0"/>
              <w:jc w:val="left"/>
            </w:pPr>
            <w:r>
              <w:rPr>
                <w:rFonts w:hint="eastAsia"/>
              </w:rPr>
              <w:t>针对本项目二次开发、</w:t>
            </w:r>
            <w:r>
              <w:rPr>
                <w:rFonts w:hint="eastAsia"/>
                <w:lang w:val="en-US" w:eastAsia="zh-CN"/>
              </w:rPr>
              <w:t>各</w:t>
            </w:r>
            <w:r>
              <w:rPr>
                <w:rFonts w:hint="eastAsia"/>
              </w:rPr>
              <w:t>开发模块、协同开发管理系统</w:t>
            </w:r>
            <w:r>
              <w:rPr>
                <w:rFonts w:hint="eastAsia"/>
                <w:lang w:eastAsia="zh-CN"/>
              </w:rPr>
              <w:t>、</w:t>
            </w:r>
            <w:r>
              <w:rPr>
                <w:rFonts w:hint="eastAsia"/>
              </w:rPr>
              <w:t>ERP</w:t>
            </w:r>
            <w:r>
              <w:rPr>
                <w:rFonts w:hint="eastAsia"/>
                <w:lang w:val="en-US" w:eastAsia="zh-CN"/>
              </w:rPr>
              <w:t>等</w:t>
            </w:r>
            <w:r>
              <w:rPr>
                <w:rFonts w:hint="eastAsia"/>
              </w:rPr>
              <w:t>深度集成能力评审：</w:t>
            </w:r>
          </w:p>
          <w:p w14:paraId="66FED59E">
            <w:pPr>
              <w:ind w:firstLine="0" w:firstLineChars="0"/>
              <w:jc w:val="left"/>
              <w:rPr>
                <w:rFonts w:hint="eastAsia"/>
                <w:lang w:eastAsia="zh-CN"/>
              </w:rPr>
            </w:pPr>
            <w:r>
              <w:rPr>
                <w:rFonts w:hint="eastAsia"/>
              </w:rPr>
              <w:t>（1）优秀（3-4分）</w:t>
            </w:r>
            <w:r>
              <w:rPr>
                <w:rFonts w:hint="eastAsia"/>
                <w:lang w:val="en-US" w:eastAsia="zh-CN"/>
              </w:rPr>
              <w:t>:</w:t>
            </w:r>
            <w:r>
              <w:rPr>
                <w:rFonts w:hint="eastAsia"/>
              </w:rPr>
              <w:t>提供完整的二次开发方案，明确开发范围、技术选型（如开发语言、框架、ORM/API工具）、模块划分及功能说明，各开发模块逻辑清晰；多系统接口集成方案详实，逐一说明与协同开发管理系统、ERP、</w:t>
            </w:r>
            <w:r>
              <w:rPr>
                <w:rFonts w:hint="eastAsia"/>
                <w:lang w:val="en-US" w:eastAsia="zh-CN"/>
              </w:rPr>
              <w:t>CAPP</w:t>
            </w:r>
            <w:r>
              <w:rPr>
                <w:rFonts w:hint="eastAsia"/>
              </w:rPr>
              <w:t>的集成方式（API/中间件/消息队列/文件交换），明确接口协议、数据格式及调用频率，并附接口清单；数据互通逻辑清晰，提供数据流向图或E-R图说明各系统间数据映射、同步机制及冲突处理策略；兼容现有业务体系，说明与现有系统版本适配情况及历史数据迁移方案；承诺交付接口规范、二次开发手册等成果物</w:t>
            </w:r>
            <w:r>
              <w:rPr>
                <w:rFonts w:hint="eastAsia"/>
                <w:lang w:eastAsia="zh-CN"/>
              </w:rPr>
              <w:t>；</w:t>
            </w:r>
          </w:p>
          <w:p w14:paraId="3F69AB63">
            <w:pPr>
              <w:ind w:firstLine="0" w:firstLineChars="0"/>
              <w:jc w:val="left"/>
            </w:pPr>
            <w:r>
              <w:rPr>
                <w:rFonts w:hint="eastAsia"/>
              </w:rPr>
              <w:t>（2）良好（</w:t>
            </w:r>
            <w:r>
              <w:rPr>
                <w:rFonts w:hint="eastAsia"/>
                <w:lang w:val="en-US" w:eastAsia="zh-CN"/>
              </w:rPr>
              <w:t>1</w:t>
            </w:r>
            <w:r>
              <w:rPr>
                <w:rFonts w:hint="eastAsia"/>
              </w:rPr>
              <w:t>-</w:t>
            </w:r>
            <w:r>
              <w:rPr>
                <w:rFonts w:hint="eastAsia"/>
                <w:lang w:val="en-US" w:eastAsia="zh-CN"/>
              </w:rPr>
              <w:t>2</w:t>
            </w:r>
            <w:r>
              <w:rPr>
                <w:rFonts w:hint="eastAsia"/>
              </w:rPr>
              <w:t>分）</w:t>
            </w:r>
            <w:r>
              <w:rPr>
                <w:rFonts w:hint="eastAsia"/>
                <w:lang w:eastAsia="zh-CN"/>
              </w:rPr>
              <w:t>：</w:t>
            </w:r>
            <w:r>
              <w:rPr>
                <w:rFonts w:hint="eastAsia"/>
              </w:rPr>
              <w:t>具备集成与二次开发方案，内容较完整，有开发模块划分和集成方式的基本描述；提及与协同开发管理系统、ERP、</w:t>
            </w:r>
            <w:r>
              <w:rPr>
                <w:rFonts w:hint="eastAsia"/>
                <w:lang w:val="en-US" w:eastAsia="zh-CN"/>
              </w:rPr>
              <w:t>CAPP</w:t>
            </w:r>
            <w:r>
              <w:rPr>
                <w:rFonts w:hint="eastAsia"/>
              </w:rPr>
              <w:t>的集成，但接口细节（如协议、格式）不充分；数据互通有说明但逻辑不够清晰，缺少数据流图等辅助说明；兼容性描述较笼统，整体方案可落地但深度不足</w:t>
            </w:r>
            <w:r>
              <w:rPr>
                <w:rFonts w:hint="eastAsia"/>
                <w:lang w:eastAsia="zh-CN"/>
              </w:rPr>
              <w:t>；</w:t>
            </w:r>
          </w:p>
          <w:p w14:paraId="6E9CD048">
            <w:pPr>
              <w:ind w:firstLine="0" w:firstLineChars="0"/>
              <w:jc w:val="left"/>
              <w:rPr>
                <w:rFonts w:hint="eastAsia"/>
                <w:lang w:eastAsia="zh-CN"/>
              </w:rPr>
            </w:pPr>
            <w:r>
              <w:rPr>
                <w:rFonts w:hint="eastAsia"/>
              </w:rPr>
              <w:t>（3）</w:t>
            </w:r>
            <w:bookmarkEnd w:id="1264"/>
            <w:r>
              <w:rPr>
                <w:rFonts w:hint="eastAsia"/>
              </w:rPr>
              <w:t>一般（</w:t>
            </w:r>
            <w:r>
              <w:rPr>
                <w:rFonts w:hint="eastAsia"/>
                <w:lang w:val="en-US" w:eastAsia="zh-CN"/>
              </w:rPr>
              <w:t>0</w:t>
            </w:r>
            <w:r>
              <w:rPr>
                <w:rFonts w:hint="eastAsia"/>
              </w:rPr>
              <w:t>-</w:t>
            </w:r>
            <w:r>
              <w:rPr>
                <w:rFonts w:hint="eastAsia"/>
                <w:lang w:val="en-US" w:eastAsia="zh-CN"/>
              </w:rPr>
              <w:t>1</w:t>
            </w:r>
            <w:r>
              <w:rPr>
                <w:rFonts w:hint="eastAsia"/>
              </w:rPr>
              <w:t>分）</w:t>
            </w:r>
            <w:r>
              <w:rPr>
                <w:rFonts w:hint="eastAsia"/>
                <w:lang w:eastAsia="zh-CN"/>
              </w:rPr>
              <w:t>：</w:t>
            </w:r>
            <w:r>
              <w:rPr>
                <w:rFonts w:hint="eastAsia"/>
              </w:rPr>
              <w:t>仅简单描述有二次开发和系统集成能力，无具体开发模块划分、无接口协议与技术实现细节、无数据交互逻辑说明；对各系统集成仅泛泛提及，未体现对现有业务体系的兼容分析</w:t>
            </w:r>
            <w:r>
              <w:rPr>
                <w:rFonts w:hint="eastAsia"/>
                <w:lang w:eastAsia="zh-CN"/>
              </w:rPr>
              <w:t>。</w:t>
            </w:r>
          </w:p>
          <w:p w14:paraId="30E7980B">
            <w:pPr>
              <w:ind w:firstLine="0" w:firstLineChars="0"/>
              <w:jc w:val="left"/>
              <w:rPr>
                <w:rFonts w:hint="eastAsia" w:eastAsia="华文宋体"/>
                <w:lang w:eastAsia="zh-CN"/>
              </w:rPr>
            </w:pPr>
            <w:r>
              <w:rPr>
                <w:rFonts w:hint="eastAsia"/>
                <w:b/>
                <w:bCs/>
                <w:lang w:val="en-US" w:eastAsia="zh-CN"/>
              </w:rPr>
              <w:t>佐证材料要求</w:t>
            </w:r>
            <w:r>
              <w:rPr>
                <w:rFonts w:hint="eastAsia"/>
                <w:lang w:val="en-US" w:eastAsia="zh-CN"/>
              </w:rPr>
              <w:t>：</w:t>
            </w:r>
            <w:r>
              <w:rPr>
                <w:rFonts w:hint="eastAsia"/>
              </w:rPr>
              <w:t>提供完整二次开发方案；详述多系统接口集成方式、协议与格式；数据互通逻辑清晰；兼容现有系统，迁移方案完备；交付接口规范与开发手册</w:t>
            </w:r>
            <w:r>
              <w:rPr>
                <w:rFonts w:hint="eastAsia"/>
                <w:lang w:eastAsia="zh-CN"/>
              </w:rPr>
              <w:t>。</w:t>
            </w:r>
          </w:p>
        </w:tc>
      </w:tr>
      <w:tr w14:paraId="411D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955" w:type="dxa"/>
            <w:vMerge w:val="continue"/>
            <w:tcBorders>
              <w:right w:val="single" w:color="auto" w:sz="4" w:space="0"/>
            </w:tcBorders>
            <w:tcMar>
              <w:left w:w="108" w:type="dxa"/>
              <w:right w:w="108" w:type="dxa"/>
            </w:tcMar>
            <w:vAlign w:val="center"/>
          </w:tcPr>
          <w:p w14:paraId="2233617C">
            <w:pPr>
              <w:ind w:firstLine="480"/>
              <w:rPr>
                <w:highlight w:val="none"/>
              </w:rPr>
            </w:pPr>
          </w:p>
        </w:tc>
        <w:tc>
          <w:tcPr>
            <w:tcW w:w="1202" w:type="dxa"/>
            <w:vMerge w:val="continue"/>
            <w:tcBorders>
              <w:right w:val="single" w:color="auto" w:sz="4" w:space="0"/>
            </w:tcBorders>
            <w:tcMar>
              <w:left w:w="108" w:type="dxa"/>
              <w:right w:w="108" w:type="dxa"/>
            </w:tcMar>
            <w:vAlign w:val="center"/>
          </w:tcPr>
          <w:p w14:paraId="0E200523">
            <w:pPr>
              <w:ind w:firstLine="480"/>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0CD656F">
            <w:pPr>
              <w:ind w:firstLine="0" w:firstLineChars="0"/>
              <w:jc w:val="center"/>
              <w:rPr>
                <w:rFonts w:hint="eastAsia"/>
                <w:b/>
                <w:bCs/>
                <w:highlight w:val="none"/>
                <w:lang w:val="en-US" w:eastAsia="zh-CN"/>
              </w:rPr>
            </w:pPr>
          </w:p>
          <w:p w14:paraId="4AEE0A3D">
            <w:pPr>
              <w:ind w:left="0" w:leftChars="0" w:firstLine="0" w:firstLineChars="0"/>
              <w:jc w:val="center"/>
              <w:rPr>
                <w:rFonts w:hint="eastAsia"/>
                <w:b/>
                <w:bCs/>
                <w:highlight w:val="none"/>
                <w:lang w:eastAsia="zh-CN"/>
              </w:rPr>
            </w:pPr>
            <w:r>
              <w:rPr>
                <w:rFonts w:ascii="华文宋体" w:hAnsi="华文宋体" w:eastAsia="华文宋体"/>
                <w:b/>
                <w:sz w:val="24"/>
                <w:szCs w:val="20"/>
                <w:highlight w:val="none"/>
              </w:rPr>
              <w:t>项目实施方案</w:t>
            </w:r>
            <w:r>
              <w:rPr>
                <w:rFonts w:hint="eastAsia"/>
                <w:b/>
                <w:bCs/>
                <w:highlight w:val="none"/>
                <w:lang w:eastAsia="zh-CN"/>
              </w:rPr>
              <w:t>评价</w:t>
            </w:r>
          </w:p>
          <w:p w14:paraId="40884C6C">
            <w:pPr>
              <w:ind w:firstLine="0" w:firstLineChars="0"/>
              <w:jc w:val="center"/>
              <w:rPr>
                <w:rFonts w:hint="eastAsia" w:ascii="Times New Roman" w:hAnsi="Times New Roman" w:eastAsia="华文宋体" w:cs="Times New Roman"/>
                <w:b/>
                <w:bCs/>
                <w:kern w:val="2"/>
                <w:sz w:val="24"/>
                <w:highlight w:val="none"/>
                <w:lang w:val="en-US" w:eastAsia="zh-CN" w:bidi="ar-SA"/>
              </w:rPr>
            </w:pPr>
            <w:r>
              <w:rPr>
                <w:rFonts w:hint="eastAsia"/>
                <w:b/>
                <w:bCs/>
                <w:highlight w:val="none"/>
                <w:lang w:val="en-US" w:eastAsia="zh-CN"/>
              </w:rPr>
              <w:t>5</w:t>
            </w:r>
            <w:r>
              <w:rPr>
                <w:rFonts w:hint="eastAsia"/>
                <w:b/>
                <w:bCs/>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0EA1107">
            <w:pPr>
              <w:keepNext w:val="0"/>
              <w:keepLines w:val="0"/>
              <w:adjustRightInd w:val="0"/>
              <w:snapToGrid w:val="0"/>
              <w:spacing w:line="440" w:lineRule="exact"/>
              <w:ind w:left="0" w:leftChars="0" w:firstLine="0" w:firstLineChars="0"/>
              <w:jc w:val="left"/>
            </w:pPr>
            <w:r>
              <w:rPr>
                <w:rFonts w:hint="eastAsia"/>
                <w:lang w:val="en-US" w:eastAsia="zh-CN"/>
              </w:rPr>
              <w:t>5</w:t>
            </w:r>
            <w:r>
              <w:t>. 项目实施方案</w:t>
            </w:r>
            <w:r>
              <w:rPr>
                <w:rFonts w:hint="eastAsia"/>
                <w:lang w:val="en-US" w:eastAsia="zh-CN"/>
              </w:rPr>
              <w:t>完整性评价</w:t>
            </w:r>
            <w:r>
              <w:t>（</w:t>
            </w:r>
            <w:r>
              <w:rPr>
                <w:rFonts w:hint="eastAsia"/>
                <w:lang w:val="en-US" w:eastAsia="zh-CN"/>
              </w:rPr>
              <w:t>5</w:t>
            </w:r>
            <w:r>
              <w:t>分）</w:t>
            </w:r>
          </w:p>
          <w:p w14:paraId="21F8179D">
            <w:pPr>
              <w:keepNext w:val="0"/>
              <w:keepLines w:val="0"/>
              <w:adjustRightInd w:val="0"/>
              <w:snapToGrid w:val="0"/>
              <w:spacing w:line="440" w:lineRule="exact"/>
              <w:jc w:val="left"/>
            </w:pPr>
            <w:r>
              <w:t>根据投标人提供的安装调试计划、实施流程、进度规划、突发应急预案、交付保障措施，以及基于现场调研形成的针对性分析与风险预判</w:t>
            </w:r>
            <w:r>
              <w:rPr>
                <w:rFonts w:hint="eastAsia"/>
                <w:lang w:val="en-US" w:eastAsia="zh-CN"/>
              </w:rPr>
              <w:t>实施</w:t>
            </w:r>
            <w:r>
              <w:t>方案综合评审：</w:t>
            </w:r>
          </w:p>
          <w:p w14:paraId="04A7D1A8">
            <w:pPr>
              <w:keepNext w:val="0"/>
              <w:keepLines w:val="0"/>
              <w:adjustRightInd w:val="0"/>
              <w:snapToGrid w:val="0"/>
              <w:spacing w:line="440" w:lineRule="exact"/>
              <w:ind w:left="0" w:leftChars="0" w:firstLine="0" w:firstLineChars="0"/>
              <w:jc w:val="left"/>
              <w:rPr>
                <w:rFonts w:hint="eastAsia"/>
                <w:lang w:eastAsia="zh-CN"/>
              </w:rPr>
            </w:pPr>
            <w:r>
              <w:rPr>
                <w:rFonts w:hint="eastAsia"/>
              </w:rPr>
              <w:t>（1）优秀（4-5分）</w:t>
            </w:r>
            <w:r>
              <w:rPr>
                <w:rFonts w:hint="eastAsia"/>
                <w:lang w:eastAsia="zh-CN"/>
              </w:rPr>
              <w:t>：</w:t>
            </w:r>
            <w:r>
              <w:rPr>
                <w:rFonts w:hint="eastAsia"/>
              </w:rPr>
              <w:t>实施计划完整详实，含安装调试步骤、里程碑节点、进度安排及人员分工，流程规范清晰；应急预案完善，覆盖系统故障、数据丢失、网络中断、第三方接口异常等常见风险场景，且各场景均有明确的应急处理流程与责任到人的处置机制；交付保障措施可落地性强，含阶段性成果确认、验收标准及知识转移计划。同时，基于对项目现场环境及业务现状的深入</w:t>
            </w:r>
            <w:r>
              <w:rPr>
                <w:rFonts w:hint="eastAsia"/>
                <w:lang w:val="en-US" w:eastAsia="zh-CN"/>
              </w:rPr>
              <w:t>分析</w:t>
            </w:r>
            <w:r>
              <w:rPr>
                <w:rFonts w:hint="eastAsia"/>
              </w:rPr>
              <w:t>，在投标文件中提供内容详实的</w:t>
            </w:r>
            <w:r>
              <w:rPr>
                <w:rFonts w:hint="eastAsia"/>
                <w:lang w:val="en-US" w:eastAsia="zh-CN"/>
              </w:rPr>
              <w:t>需求</w:t>
            </w:r>
            <w:r>
              <w:rPr>
                <w:rFonts w:hint="eastAsia"/>
              </w:rPr>
              <w:t>分析报告，问题诊断精准，能深刻理解项目背景与实施挑战；所提初步解决方案或风险规避设想紧扣业务痛点，针对性强、具备高度可行性，并在实施计划中有对应体现（如针对现有系统停机窗口、数据迁移风险、新旧系统切换兼容性等提出具体解决措施）</w:t>
            </w:r>
            <w:r>
              <w:rPr>
                <w:rFonts w:hint="eastAsia"/>
                <w:lang w:eastAsia="zh-CN"/>
              </w:rPr>
              <w:t>；</w:t>
            </w:r>
          </w:p>
          <w:p w14:paraId="23E7BE04">
            <w:pPr>
              <w:keepNext w:val="0"/>
              <w:keepLines w:val="0"/>
              <w:adjustRightInd w:val="0"/>
              <w:snapToGrid w:val="0"/>
              <w:spacing w:line="440" w:lineRule="exact"/>
              <w:ind w:left="0" w:leftChars="0" w:firstLine="0" w:firstLineChars="0"/>
              <w:jc w:val="left"/>
            </w:pPr>
            <w:r>
              <w:rPr>
                <w:rFonts w:hint="eastAsia"/>
              </w:rPr>
              <w:t>（2）良好（2-3分）</w:t>
            </w:r>
            <w:r>
              <w:rPr>
                <w:rFonts w:hint="eastAsia"/>
                <w:lang w:eastAsia="zh-CN"/>
              </w:rPr>
              <w:t>：</w:t>
            </w:r>
            <w:r>
              <w:rPr>
                <w:rFonts w:hint="eastAsia"/>
              </w:rPr>
              <w:t>实施计划基本完整，流程规范但细节不够深入，有进度规划与人员安排；应急预案覆盖主要风险场景但处置措施较为笼统；交付保障方案基本齐全但常规化。</w:t>
            </w:r>
            <w:r>
              <w:rPr>
                <w:rFonts w:hint="eastAsia"/>
                <w:lang w:val="en-US" w:eastAsia="zh-CN"/>
              </w:rPr>
              <w:t>需求</w:t>
            </w:r>
            <w:r>
              <w:rPr>
                <w:rFonts w:hint="eastAsia"/>
              </w:rPr>
              <w:t>分析报告内容较为完整，问题诊断基本准确，能结合项目需求提出一定的分析与设想，但针对性或深度有所欠缺；所提建议与实施计划的关联性不够紧密</w:t>
            </w:r>
            <w:r>
              <w:rPr>
                <w:rFonts w:hint="eastAsia"/>
                <w:lang w:eastAsia="zh-CN"/>
              </w:rPr>
              <w:t>；</w:t>
            </w:r>
          </w:p>
          <w:p w14:paraId="02878DAD">
            <w:pPr>
              <w:keepNext w:val="0"/>
              <w:keepLines w:val="0"/>
              <w:adjustRightInd w:val="0"/>
              <w:snapToGrid w:val="0"/>
              <w:spacing w:line="440" w:lineRule="exact"/>
              <w:ind w:left="0" w:leftChars="0" w:firstLine="0" w:firstLineChars="0"/>
              <w:jc w:val="left"/>
              <w:rPr>
                <w:rFonts w:hint="eastAsia"/>
              </w:rPr>
            </w:pPr>
            <w:r>
              <w:rPr>
                <w:rFonts w:hint="eastAsia"/>
              </w:rPr>
              <w:t>（3）一般（0-1分）</w:t>
            </w:r>
            <w:r>
              <w:rPr>
                <w:rFonts w:hint="eastAsia"/>
                <w:lang w:eastAsia="zh-CN"/>
              </w:rPr>
              <w:t>：</w:t>
            </w:r>
            <w:r>
              <w:rPr>
                <w:rFonts w:hint="eastAsia"/>
              </w:rPr>
              <w:t>实施计划内容简略，仅有大致时间安排，无细化流程、里程碑或管控措施；应急预案缺失或仅简单提及；交付保障方案无实质性内容。</w:t>
            </w:r>
            <w:r>
              <w:rPr>
                <w:rFonts w:hint="eastAsia"/>
                <w:lang w:val="en-US" w:eastAsia="zh-CN"/>
              </w:rPr>
              <w:t>需求</w:t>
            </w:r>
            <w:r>
              <w:rPr>
                <w:rFonts w:hint="eastAsia"/>
              </w:rPr>
              <w:t>分析报告内容简单，仅对项目现状进行泛泛描述，缺乏深入的问题诊断与分析，未体现对项目风险和实施难点的理解；或未提供调研分析报告。</w:t>
            </w:r>
          </w:p>
          <w:p w14:paraId="3842FF2C">
            <w:pPr>
              <w:keepNext w:val="0"/>
              <w:keepLines w:val="0"/>
              <w:adjustRightInd w:val="0"/>
              <w:snapToGrid w:val="0"/>
              <w:spacing w:line="440" w:lineRule="exact"/>
              <w:ind w:left="0" w:leftChars="0" w:firstLine="0" w:firstLineChars="0"/>
              <w:jc w:val="left"/>
              <w:rPr>
                <w:rFonts w:hint="eastAsia"/>
                <w:lang w:val="en-US" w:eastAsia="zh-CN"/>
              </w:rPr>
            </w:pPr>
            <w:r>
              <w:rPr>
                <w:rFonts w:hint="eastAsia"/>
                <w:b/>
                <w:bCs/>
                <w:lang w:val="en-US" w:eastAsia="zh-CN"/>
              </w:rPr>
              <w:t>佐证材料要求</w:t>
            </w:r>
            <w:r>
              <w:rPr>
                <w:rFonts w:hint="eastAsia"/>
                <w:lang w:val="en-US" w:eastAsia="zh-CN"/>
              </w:rPr>
              <w:t>：须提供项目进度甘特图、人员配置表及简历、风险管理矩阵、交付物清单。</w:t>
            </w:r>
          </w:p>
        </w:tc>
      </w:tr>
      <w:tr w14:paraId="6275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955" w:type="dxa"/>
            <w:vMerge w:val="continue"/>
            <w:tcBorders>
              <w:right w:val="single" w:color="auto" w:sz="4" w:space="0"/>
            </w:tcBorders>
            <w:tcMar>
              <w:left w:w="108" w:type="dxa"/>
              <w:right w:w="108" w:type="dxa"/>
            </w:tcMar>
            <w:vAlign w:val="center"/>
          </w:tcPr>
          <w:p w14:paraId="7F97D244">
            <w:pPr>
              <w:ind w:firstLine="480"/>
              <w:rPr>
                <w:highlight w:val="none"/>
              </w:rPr>
            </w:pPr>
          </w:p>
        </w:tc>
        <w:tc>
          <w:tcPr>
            <w:tcW w:w="1202" w:type="dxa"/>
            <w:vMerge w:val="continue"/>
            <w:tcBorders>
              <w:right w:val="single" w:color="auto" w:sz="4" w:space="0"/>
            </w:tcBorders>
            <w:tcMar>
              <w:left w:w="108" w:type="dxa"/>
              <w:right w:w="108" w:type="dxa"/>
            </w:tcMar>
            <w:vAlign w:val="center"/>
          </w:tcPr>
          <w:p w14:paraId="2D93B884">
            <w:pPr>
              <w:ind w:firstLine="480"/>
              <w:rPr>
                <w:highlight w:val="none"/>
              </w:rPr>
            </w:pP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0CCCF55">
            <w:pPr>
              <w:ind w:firstLine="0" w:firstLineChars="0"/>
              <w:jc w:val="center"/>
              <w:rPr>
                <w:rFonts w:hint="eastAsia" w:eastAsia="华文宋体"/>
                <w:b/>
                <w:bCs/>
                <w:highlight w:val="none"/>
                <w:lang w:eastAsia="zh-CN"/>
              </w:rPr>
            </w:pPr>
            <w:r>
              <w:rPr>
                <w:rFonts w:hint="eastAsia"/>
                <w:b/>
                <w:bCs/>
                <w:highlight w:val="none"/>
              </w:rPr>
              <w:t>培训</w:t>
            </w:r>
            <w:r>
              <w:rPr>
                <w:rFonts w:hint="eastAsia"/>
                <w:b/>
                <w:bCs/>
                <w:highlight w:val="none"/>
                <w:lang w:val="en-US" w:eastAsia="zh-CN"/>
              </w:rPr>
              <w:t>方案</w:t>
            </w:r>
          </w:p>
          <w:p w14:paraId="6F5A2051">
            <w:pPr>
              <w:ind w:firstLine="0" w:firstLineChars="0"/>
              <w:jc w:val="center"/>
              <w:rPr>
                <w:rFonts w:hint="eastAsia" w:ascii="Times New Roman" w:hAnsi="Times New Roman" w:eastAsia="华文宋体" w:cs="Times New Roman"/>
                <w:b/>
                <w:bCs/>
                <w:color w:val="FF0000"/>
                <w:kern w:val="2"/>
                <w:sz w:val="24"/>
                <w:highlight w:val="none"/>
                <w:lang w:val="en-US" w:eastAsia="zh-CN" w:bidi="ar-SA"/>
              </w:rPr>
            </w:pPr>
            <w:r>
              <w:rPr>
                <w:rFonts w:hint="eastAsia"/>
                <w:b/>
                <w:bCs/>
                <w:highlight w:val="none"/>
                <w:lang w:val="en-US" w:eastAsia="zh-CN"/>
              </w:rPr>
              <w:t>4</w:t>
            </w:r>
            <w:r>
              <w:rPr>
                <w:rFonts w:hint="eastAsia"/>
                <w:b/>
                <w:bCs/>
                <w:highlight w:val="none"/>
              </w:rPr>
              <w:t>分</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2C8F10B">
            <w:pPr>
              <w:keepNext w:val="0"/>
              <w:keepLines w:val="0"/>
              <w:adjustRightInd w:val="0"/>
              <w:snapToGrid w:val="0"/>
              <w:spacing w:line="440" w:lineRule="exact"/>
              <w:ind w:left="0" w:leftChars="0" w:firstLine="0" w:firstLineChars="0"/>
              <w:jc w:val="left"/>
            </w:pPr>
            <w:bookmarkStart w:id="1265" w:name="OLE_LINK7"/>
            <w:r>
              <w:rPr>
                <w:rFonts w:hint="eastAsia"/>
                <w:lang w:val="en-US" w:eastAsia="zh-CN"/>
              </w:rPr>
              <w:t>6</w:t>
            </w:r>
            <w:r>
              <w:t>. 培训方案（</w:t>
            </w:r>
            <w:r>
              <w:rPr>
                <w:rFonts w:hint="eastAsia"/>
                <w:lang w:val="en-US" w:eastAsia="zh-CN"/>
              </w:rPr>
              <w:t>4</w:t>
            </w:r>
            <w:r>
              <w:t>分）</w:t>
            </w:r>
          </w:p>
          <w:p w14:paraId="4C4397A6">
            <w:pPr>
              <w:keepNext w:val="0"/>
              <w:keepLines w:val="0"/>
              <w:adjustRightInd w:val="0"/>
              <w:snapToGrid w:val="0"/>
              <w:spacing w:line="440" w:lineRule="exact"/>
              <w:jc w:val="left"/>
            </w:pPr>
            <w:r>
              <w:t>根据系统应用培训方案、培训教材、考核机制、技术支持保障体系评审：</w:t>
            </w:r>
          </w:p>
          <w:p w14:paraId="2BA7ACFD">
            <w:pPr>
              <w:keepNext w:val="0"/>
              <w:keepLines w:val="0"/>
              <w:adjustRightInd w:val="0"/>
              <w:snapToGrid w:val="0"/>
              <w:spacing w:line="440" w:lineRule="exact"/>
              <w:ind w:left="0" w:leftChars="0" w:firstLine="0" w:firstLineChars="0"/>
              <w:jc w:val="left"/>
              <w:rPr>
                <w:rFonts w:hint="eastAsia"/>
                <w:lang w:eastAsia="zh-CN"/>
              </w:rPr>
            </w:pPr>
            <w:r>
              <w:rPr>
                <w:rFonts w:hint="eastAsia"/>
              </w:rPr>
              <w:t>（1）</w:t>
            </w:r>
            <w:r>
              <w:rPr>
                <w:rFonts w:hint="eastAsia"/>
                <w:lang w:val="en-US" w:eastAsia="zh-CN"/>
              </w:rPr>
              <w:t>优秀（3-4分）：四类培训对象（普通用户、管理层、系统维护、开发人员）均有针对性课程与课时安排；培训计划详细，含具体课时安排表、培训教材清单（含课件+操作视频+实验案例）；开展深度培训有考试+实操结合的考核机制与效果评估方案</w:t>
            </w:r>
            <w:r>
              <w:rPr>
                <w:rFonts w:hint="eastAsia"/>
                <w:lang w:eastAsia="zh-CN"/>
              </w:rPr>
              <w:t>；</w:t>
            </w:r>
          </w:p>
          <w:p w14:paraId="0001814B">
            <w:pPr>
              <w:keepNext w:val="0"/>
              <w:keepLines w:val="0"/>
              <w:adjustRightInd w:val="0"/>
              <w:snapToGrid w:val="0"/>
              <w:spacing w:line="440" w:lineRule="exact"/>
              <w:ind w:left="0" w:leftChars="0" w:firstLine="0" w:firstLineChars="0"/>
              <w:jc w:val="left"/>
            </w:pPr>
            <w:r>
              <w:rPr>
                <w:rFonts w:hint="eastAsia"/>
              </w:rPr>
              <w:t>（2）</w:t>
            </w:r>
            <w:r>
              <w:rPr>
                <w:rFonts w:hint="eastAsia"/>
                <w:lang w:val="en-US" w:eastAsia="zh-CN"/>
              </w:rPr>
              <w:t>良好（1-2分）：培训对象覆盖完整但内容简略；人员数量承诺达标；有基本考核机制但不够具体；</w:t>
            </w:r>
          </w:p>
          <w:p w14:paraId="4A063428">
            <w:pPr>
              <w:keepNext w:val="0"/>
              <w:keepLines w:val="0"/>
              <w:adjustRightInd w:val="0"/>
              <w:snapToGrid w:val="0"/>
              <w:spacing w:line="440" w:lineRule="exact"/>
              <w:ind w:left="0" w:leftChars="0" w:firstLine="0" w:firstLineChars="0"/>
              <w:jc w:val="left"/>
              <w:rPr>
                <w:rFonts w:hint="eastAsia"/>
                <w:lang w:val="en-US" w:eastAsia="zh-CN"/>
              </w:rPr>
            </w:pPr>
            <w:r>
              <w:rPr>
                <w:rFonts w:hint="eastAsia"/>
              </w:rPr>
              <w:t>（3）</w:t>
            </w:r>
            <w:r>
              <w:rPr>
                <w:rFonts w:hint="eastAsia"/>
                <w:lang w:val="en-US" w:eastAsia="zh-CN"/>
              </w:rPr>
              <w:t>一般（0-1分）：</w:t>
            </w:r>
            <w:bookmarkEnd w:id="1265"/>
            <w:r>
              <w:rPr>
                <w:rFonts w:hint="eastAsia"/>
                <w:lang w:val="en-US" w:eastAsia="zh-CN"/>
              </w:rPr>
              <w:t>培训内容空泛或缺失；培训对象未分类；无考核机制。</w:t>
            </w:r>
          </w:p>
          <w:p w14:paraId="07C1106F">
            <w:pPr>
              <w:keepNext w:val="0"/>
              <w:keepLines w:val="0"/>
              <w:adjustRightInd w:val="0"/>
              <w:snapToGrid w:val="0"/>
              <w:spacing w:line="440" w:lineRule="exact"/>
              <w:ind w:left="0" w:leftChars="0" w:firstLine="0" w:firstLineChars="0"/>
              <w:jc w:val="left"/>
              <w:rPr>
                <w:rFonts w:hint="eastAsia"/>
                <w:lang w:val="en-US" w:eastAsia="zh-CN"/>
              </w:rPr>
            </w:pPr>
            <w:r>
              <w:rPr>
                <w:rFonts w:hint="eastAsia"/>
                <w:b/>
                <w:bCs/>
                <w:lang w:val="en-US" w:eastAsia="zh-CN"/>
              </w:rPr>
              <w:t>佐证材料要求</w:t>
            </w:r>
            <w:r>
              <w:rPr>
                <w:rFonts w:hint="eastAsia"/>
                <w:lang w:val="en-US" w:eastAsia="zh-CN"/>
              </w:rPr>
              <w:t>：须提供分角色培训课程表（含课时）、教材清单、培训考核方案。</w:t>
            </w:r>
          </w:p>
        </w:tc>
      </w:tr>
      <w:tr w14:paraId="2517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95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B65FBC4">
            <w:pPr>
              <w:spacing w:line="440" w:lineRule="exact"/>
              <w:ind w:firstLine="0" w:firstLineChars="0"/>
              <w:jc w:val="center"/>
              <w:rPr>
                <w:highlight w:val="none"/>
              </w:rPr>
            </w:pPr>
            <w:r>
              <w:rPr>
                <w:spacing w:val="-7"/>
                <w:szCs w:val="21"/>
                <w:highlight w:val="none"/>
              </w:rPr>
              <w:t>2.2.4(4)</w:t>
            </w:r>
          </w:p>
        </w:tc>
        <w:tc>
          <w:tcPr>
            <w:tcW w:w="120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C426062">
            <w:pPr>
              <w:spacing w:line="440" w:lineRule="exact"/>
              <w:ind w:firstLine="0" w:firstLineChars="0"/>
              <w:jc w:val="center"/>
              <w:rPr>
                <w:highlight w:val="none"/>
              </w:rPr>
            </w:pPr>
            <w:r>
              <w:rPr>
                <w:spacing w:val="-7"/>
                <w:szCs w:val="21"/>
                <w:highlight w:val="none"/>
              </w:rPr>
              <w:t>其他因素评分标准</w:t>
            </w:r>
          </w:p>
        </w:tc>
        <w:tc>
          <w:tcPr>
            <w:tcW w:w="168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FA08B5D">
            <w:pPr>
              <w:spacing w:line="440" w:lineRule="exact"/>
              <w:ind w:firstLine="0" w:firstLineChars="0"/>
              <w:jc w:val="center"/>
              <w:rPr>
                <w:highlight w:val="none"/>
              </w:rPr>
            </w:pPr>
            <w:r>
              <w:rPr>
                <w:spacing w:val="-7"/>
                <w:szCs w:val="21"/>
                <w:highlight w:val="none"/>
              </w:rPr>
              <w:t>/</w:t>
            </w:r>
          </w:p>
        </w:tc>
        <w:tc>
          <w:tcPr>
            <w:tcW w:w="59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0F95F7A">
            <w:pPr>
              <w:spacing w:line="440" w:lineRule="exact"/>
              <w:ind w:firstLine="0" w:firstLineChars="0"/>
              <w:jc w:val="center"/>
              <w:rPr>
                <w:highlight w:val="none"/>
              </w:rPr>
            </w:pPr>
            <w:r>
              <w:rPr>
                <w:spacing w:val="-7"/>
                <w:szCs w:val="21"/>
                <w:highlight w:val="none"/>
              </w:rPr>
              <w:t>/</w:t>
            </w:r>
          </w:p>
        </w:tc>
      </w:tr>
      <w:tr w14:paraId="2CE4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95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D764AF9">
            <w:pPr>
              <w:spacing w:line="440" w:lineRule="exact"/>
              <w:ind w:firstLine="0" w:firstLineChars="0"/>
              <w:jc w:val="center"/>
              <w:rPr>
                <w:highlight w:val="none"/>
              </w:rPr>
            </w:pPr>
            <w:r>
              <w:rPr>
                <w:spacing w:val="-7"/>
                <w:szCs w:val="21"/>
                <w:highlight w:val="none"/>
              </w:rPr>
              <w:t>3.1.3</w:t>
            </w:r>
          </w:p>
        </w:tc>
        <w:tc>
          <w:tcPr>
            <w:tcW w:w="120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A84AA64">
            <w:pPr>
              <w:spacing w:line="440" w:lineRule="exact"/>
              <w:ind w:firstLine="0" w:firstLineChars="0"/>
              <w:jc w:val="center"/>
              <w:rPr>
                <w:highlight w:val="none"/>
              </w:rPr>
            </w:pPr>
            <w:r>
              <w:rPr>
                <w:spacing w:val="-7"/>
                <w:szCs w:val="21"/>
                <w:highlight w:val="none"/>
              </w:rPr>
              <w:t>投标报价缺漏项的要求</w:t>
            </w:r>
          </w:p>
          <w:p w14:paraId="19269C5F">
            <w:pPr>
              <w:spacing w:line="440" w:lineRule="exact"/>
              <w:ind w:firstLine="0" w:firstLineChars="0"/>
              <w:jc w:val="center"/>
              <w:rPr>
                <w:highlight w:val="none"/>
              </w:rPr>
            </w:pPr>
            <w:r>
              <w:rPr>
                <w:spacing w:val="-7"/>
                <w:szCs w:val="21"/>
                <w:highlight w:val="none"/>
              </w:rPr>
              <w:t>（如有）</w:t>
            </w:r>
          </w:p>
        </w:tc>
        <w:tc>
          <w:tcPr>
            <w:tcW w:w="7648" w:type="dxa"/>
            <w:gridSpan w:val="2"/>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F019589">
            <w:pPr>
              <w:spacing w:line="440" w:lineRule="exact"/>
              <w:ind w:firstLine="0" w:firstLineChars="0"/>
              <w:rPr>
                <w:highlight w:val="none"/>
              </w:rPr>
            </w:pPr>
            <w:r>
              <w:rPr>
                <w:rFonts w:hint="eastAsia"/>
                <w:spacing w:val="-7"/>
                <w:szCs w:val="21"/>
                <w:highlight w:val="none"/>
              </w:rPr>
              <w:t>/</w:t>
            </w:r>
            <w:r>
              <w:rPr>
                <w:spacing w:val="-7"/>
                <w:szCs w:val="21"/>
                <w:highlight w:val="none"/>
              </w:rPr>
              <w:t>。</w:t>
            </w:r>
          </w:p>
        </w:tc>
      </w:tr>
    </w:tbl>
    <w:p w14:paraId="1E1FA089">
      <w:pPr>
        <w:spacing w:line="400" w:lineRule="exact"/>
        <w:ind w:firstLine="0" w:firstLineChars="0"/>
      </w:pPr>
      <w:r>
        <w:br w:type="page"/>
      </w:r>
    </w:p>
    <w:p w14:paraId="0E758A73">
      <w:pPr>
        <w:pStyle w:val="4"/>
        <w:spacing w:before="312" w:after="312" w:line="360" w:lineRule="auto"/>
        <w:ind w:firstLine="641"/>
        <w:rPr>
          <w:rFonts w:ascii="Times New Roman" w:hAnsi="Times New Roman"/>
        </w:rPr>
      </w:pPr>
      <w:bookmarkStart w:id="1266" w:name="_Toc1716807631"/>
      <w:bookmarkStart w:id="1267" w:name="_Toc999042056"/>
      <w:bookmarkStart w:id="1268" w:name="_Toc21184"/>
      <w:bookmarkStart w:id="1269" w:name="_Toc15102"/>
      <w:bookmarkStart w:id="1270" w:name="_Toc1676997798"/>
      <w:bookmarkStart w:id="1271" w:name="_Toc30369"/>
      <w:bookmarkStart w:id="1272" w:name="_Toc489087487"/>
      <w:bookmarkStart w:id="1273" w:name="_Toc18807"/>
      <w:bookmarkStart w:id="1274" w:name="_Toc346740247"/>
      <w:bookmarkStart w:id="1275" w:name="_Toc25797"/>
      <w:bookmarkStart w:id="1276" w:name="_Toc28422"/>
      <w:bookmarkStart w:id="1277" w:name="_Toc1231718631"/>
      <w:bookmarkStart w:id="1278" w:name="_Toc1360423041"/>
      <w:bookmarkStart w:id="1279" w:name="_Toc633219541"/>
      <w:bookmarkStart w:id="1280" w:name="_Toc1709726225"/>
      <w:r>
        <w:rPr>
          <w:rFonts w:ascii="Times New Roman" w:hAnsi="Times New Roman"/>
        </w:rPr>
        <w:t>1.评标方法</w:t>
      </w:r>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p>
    <w:p w14:paraId="265FD605">
      <w:pPr>
        <w:spacing w:line="360" w:lineRule="auto"/>
        <w:ind w:firstLine="480"/>
      </w:pPr>
      <w:r>
        <w:t>见评标办法前附表。</w:t>
      </w:r>
    </w:p>
    <w:p w14:paraId="73F10FD6">
      <w:pPr>
        <w:pStyle w:val="4"/>
        <w:spacing w:before="312" w:after="312" w:line="360" w:lineRule="auto"/>
        <w:ind w:firstLine="641"/>
        <w:rPr>
          <w:rFonts w:ascii="Times New Roman" w:hAnsi="Times New Roman"/>
        </w:rPr>
      </w:pPr>
      <w:bookmarkStart w:id="1281" w:name="_Toc24143"/>
      <w:bookmarkStart w:id="1282" w:name="_Toc29537"/>
      <w:bookmarkStart w:id="1283" w:name="_Toc371660478"/>
      <w:bookmarkStart w:id="1284" w:name="_Toc1726607758"/>
      <w:bookmarkStart w:id="1285" w:name="_Toc6473"/>
      <w:bookmarkStart w:id="1286" w:name="_Toc25107"/>
      <w:bookmarkStart w:id="1287" w:name="_Toc1872682946"/>
      <w:bookmarkStart w:id="1288" w:name="_Toc22470"/>
      <w:bookmarkStart w:id="1289" w:name="_Toc795573125"/>
      <w:bookmarkStart w:id="1290" w:name="_Toc1739354702"/>
      <w:bookmarkStart w:id="1291" w:name="_Toc1540197018"/>
      <w:bookmarkStart w:id="1292" w:name="_Toc27016"/>
      <w:bookmarkStart w:id="1293" w:name="_Toc2037466715"/>
      <w:bookmarkStart w:id="1294" w:name="_Toc1900157784"/>
      <w:bookmarkStart w:id="1295" w:name="_Toc1673476940"/>
      <w:r>
        <w:rPr>
          <w:rFonts w:ascii="Times New Roman" w:hAnsi="Times New Roman"/>
        </w:rPr>
        <w:t>2.评审标准</w:t>
      </w:r>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p>
    <w:p w14:paraId="5BFC2FF9">
      <w:pPr>
        <w:pStyle w:val="5"/>
        <w:spacing w:line="360" w:lineRule="auto"/>
        <w:ind w:firstLine="561"/>
      </w:pPr>
      <w:bookmarkStart w:id="1296" w:name="_Toc661942990"/>
      <w:bookmarkStart w:id="1297" w:name="_Toc27270"/>
      <w:bookmarkStart w:id="1298" w:name="_Toc722561151"/>
      <w:bookmarkStart w:id="1299" w:name="_Toc15643"/>
      <w:bookmarkStart w:id="1300" w:name="_Toc323400588"/>
      <w:bookmarkStart w:id="1301" w:name="_Toc1787073550"/>
      <w:bookmarkStart w:id="1302" w:name="_Toc964325653"/>
      <w:bookmarkStart w:id="1303" w:name="_Toc24170"/>
      <w:bookmarkStart w:id="1304" w:name="_Toc2076327590"/>
      <w:bookmarkStart w:id="1305" w:name="_Toc10787"/>
      <w:bookmarkStart w:id="1306" w:name="_Toc7109"/>
      <w:bookmarkStart w:id="1307" w:name="_Toc150066795"/>
      <w:bookmarkStart w:id="1308" w:name="_Toc26310"/>
      <w:bookmarkStart w:id="1309" w:name="_Toc1615208270"/>
      <w:r>
        <w:t>2.1初步评审标准</w:t>
      </w:r>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p>
    <w:p w14:paraId="002FFD85">
      <w:pPr>
        <w:spacing w:line="360" w:lineRule="auto"/>
        <w:ind w:firstLine="480"/>
      </w:pPr>
      <w:r>
        <w:t>2.1.1形式评审标准：见评标办法前附表。</w:t>
      </w:r>
    </w:p>
    <w:p w14:paraId="49F2597C">
      <w:pPr>
        <w:spacing w:line="360" w:lineRule="auto"/>
        <w:ind w:firstLine="480"/>
      </w:pPr>
      <w:r>
        <w:t>2.1.2资格评审标准：见评标办法前附表。</w:t>
      </w:r>
    </w:p>
    <w:p w14:paraId="22D6D40B">
      <w:pPr>
        <w:spacing w:line="360" w:lineRule="auto"/>
        <w:ind w:firstLine="480"/>
      </w:pPr>
      <w:r>
        <w:t>2.1.3响应性评审标准：见评标办法前附表。</w:t>
      </w:r>
    </w:p>
    <w:p w14:paraId="091D5649">
      <w:pPr>
        <w:pStyle w:val="5"/>
        <w:spacing w:line="360" w:lineRule="auto"/>
        <w:ind w:firstLine="561"/>
      </w:pPr>
      <w:bookmarkStart w:id="1310" w:name="_Toc362166062"/>
      <w:bookmarkStart w:id="1311" w:name="_Toc112571959"/>
      <w:bookmarkStart w:id="1312" w:name="_Toc14962"/>
      <w:bookmarkStart w:id="1313" w:name="_Toc1310541470"/>
      <w:bookmarkStart w:id="1314" w:name="_Toc638867908"/>
      <w:bookmarkStart w:id="1315" w:name="_Toc2257"/>
      <w:bookmarkStart w:id="1316" w:name="_Toc1779"/>
      <w:bookmarkStart w:id="1317" w:name="_Toc464612163"/>
      <w:bookmarkStart w:id="1318" w:name="_Toc65241072"/>
      <w:bookmarkStart w:id="1319" w:name="_Toc15126"/>
      <w:bookmarkStart w:id="1320" w:name="_Toc21368"/>
      <w:bookmarkStart w:id="1321" w:name="_Toc1026821987"/>
      <w:bookmarkStart w:id="1322" w:name="_Toc228541380"/>
      <w:bookmarkStart w:id="1323" w:name="_Toc7076"/>
      <w:r>
        <w:t>2.2分值构成与评分标准</w:t>
      </w:r>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p>
    <w:p w14:paraId="0EE0A8A1">
      <w:pPr>
        <w:spacing w:line="360" w:lineRule="auto"/>
        <w:ind w:firstLine="480"/>
      </w:pPr>
      <w:r>
        <w:t>2.2.1分值构成</w:t>
      </w:r>
    </w:p>
    <w:p w14:paraId="01AE70C6">
      <w:pPr>
        <w:spacing w:line="360" w:lineRule="auto"/>
        <w:ind w:firstLine="480"/>
      </w:pPr>
      <w:r>
        <w:t>（1）商务部分：见评标办法前附表；</w:t>
      </w:r>
    </w:p>
    <w:p w14:paraId="1D928D6D">
      <w:pPr>
        <w:spacing w:line="360" w:lineRule="auto"/>
        <w:ind w:firstLine="480"/>
      </w:pPr>
      <w:r>
        <w:t>（2）技术部分：见评标办法前附表；</w:t>
      </w:r>
    </w:p>
    <w:p w14:paraId="25EB7F99">
      <w:pPr>
        <w:spacing w:line="360" w:lineRule="auto"/>
        <w:ind w:firstLine="480"/>
      </w:pPr>
      <w:r>
        <w:t>（3）投标报价：见评标办法前附表；</w:t>
      </w:r>
    </w:p>
    <w:p w14:paraId="3E4C075E">
      <w:pPr>
        <w:spacing w:line="360" w:lineRule="auto"/>
        <w:ind w:firstLine="480"/>
      </w:pPr>
      <w:r>
        <w:t>（4）其他评分因素：见评标办法前附表。</w:t>
      </w:r>
    </w:p>
    <w:p w14:paraId="248E4C45">
      <w:pPr>
        <w:spacing w:line="360" w:lineRule="auto"/>
        <w:ind w:firstLine="480"/>
      </w:pPr>
      <w:r>
        <w:t>2.2.2评标基准价计算</w:t>
      </w:r>
    </w:p>
    <w:p w14:paraId="7F88F1FF">
      <w:pPr>
        <w:spacing w:line="360" w:lineRule="auto"/>
        <w:ind w:firstLine="480"/>
      </w:pPr>
      <w:r>
        <w:t>评标基准价计算方法：见评标办法前附表。</w:t>
      </w:r>
    </w:p>
    <w:p w14:paraId="7A06AC00">
      <w:pPr>
        <w:spacing w:line="360" w:lineRule="auto"/>
        <w:ind w:firstLine="480"/>
      </w:pPr>
      <w:r>
        <w:t>2.2.3投标报价的偏差率计算</w:t>
      </w:r>
    </w:p>
    <w:p w14:paraId="75974B81">
      <w:pPr>
        <w:spacing w:line="360" w:lineRule="auto"/>
        <w:ind w:firstLine="480"/>
      </w:pPr>
      <w:r>
        <w:t>投标报价的偏差率计算公式：见评标办法前附表。</w:t>
      </w:r>
    </w:p>
    <w:p w14:paraId="53684E64">
      <w:pPr>
        <w:spacing w:line="360" w:lineRule="auto"/>
        <w:ind w:firstLine="480"/>
      </w:pPr>
      <w:r>
        <w:t>2.2.4评分标准</w:t>
      </w:r>
    </w:p>
    <w:p w14:paraId="4D7088F2">
      <w:pPr>
        <w:spacing w:line="360" w:lineRule="auto"/>
        <w:ind w:firstLine="480"/>
      </w:pPr>
      <w:r>
        <w:t>（1）投标报价评分标准：见评标办法前附表；</w:t>
      </w:r>
    </w:p>
    <w:p w14:paraId="3B482A07">
      <w:pPr>
        <w:spacing w:line="360" w:lineRule="auto"/>
        <w:ind w:firstLine="480"/>
      </w:pPr>
      <w:r>
        <w:t>（2）商务评分标准：见评标办法前附表；</w:t>
      </w:r>
    </w:p>
    <w:p w14:paraId="3E610374">
      <w:pPr>
        <w:spacing w:line="360" w:lineRule="auto"/>
        <w:ind w:firstLine="480"/>
      </w:pPr>
      <w:r>
        <w:t>（3）技术评分标准：见评标办法前附表；</w:t>
      </w:r>
    </w:p>
    <w:p w14:paraId="0BDF1572">
      <w:pPr>
        <w:spacing w:line="360" w:lineRule="auto"/>
        <w:ind w:firstLine="480"/>
      </w:pPr>
      <w:r>
        <w:t>（4）其他因素评分标准：见评标办法前附表。</w:t>
      </w:r>
    </w:p>
    <w:p w14:paraId="0AC2F8FB">
      <w:pPr>
        <w:pStyle w:val="4"/>
        <w:spacing w:before="312" w:after="312" w:line="360" w:lineRule="auto"/>
        <w:ind w:firstLine="641"/>
        <w:rPr>
          <w:rFonts w:ascii="Times New Roman" w:hAnsi="Times New Roman"/>
        </w:rPr>
      </w:pPr>
      <w:bookmarkStart w:id="1324" w:name="_Toc486083049"/>
      <w:bookmarkStart w:id="1325" w:name="_Toc956348436"/>
      <w:bookmarkStart w:id="1326" w:name="_Toc25409"/>
      <w:bookmarkStart w:id="1327" w:name="_Toc20168"/>
      <w:bookmarkStart w:id="1328" w:name="_Toc34694756"/>
      <w:bookmarkStart w:id="1329" w:name="_Toc1394212824"/>
      <w:bookmarkStart w:id="1330" w:name="_Toc11259"/>
      <w:bookmarkStart w:id="1331" w:name="_Toc533605821"/>
      <w:bookmarkStart w:id="1332" w:name="_Toc1678202658"/>
      <w:bookmarkStart w:id="1333" w:name="_Toc452"/>
      <w:bookmarkStart w:id="1334" w:name="_Toc1290037134"/>
      <w:bookmarkStart w:id="1335" w:name="_Toc618548217"/>
      <w:bookmarkStart w:id="1336" w:name="_Toc23596"/>
      <w:bookmarkStart w:id="1337" w:name="_Toc27996"/>
      <w:bookmarkStart w:id="1338" w:name="_Toc63821906"/>
      <w:r>
        <w:rPr>
          <w:rFonts w:ascii="Times New Roman" w:hAnsi="Times New Roman"/>
        </w:rPr>
        <w:t>3.评标程序</w:t>
      </w:r>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p>
    <w:p w14:paraId="31CF6344">
      <w:pPr>
        <w:pStyle w:val="5"/>
        <w:spacing w:line="360" w:lineRule="auto"/>
        <w:ind w:firstLine="561"/>
      </w:pPr>
      <w:bookmarkStart w:id="1339" w:name="_Toc20147"/>
      <w:bookmarkStart w:id="1340" w:name="_Toc18730"/>
      <w:bookmarkStart w:id="1341" w:name="_Toc12619"/>
      <w:bookmarkStart w:id="1342" w:name="_Toc1340860551"/>
      <w:bookmarkStart w:id="1343" w:name="_Toc1060434289"/>
      <w:bookmarkStart w:id="1344" w:name="_Toc659211026"/>
      <w:bookmarkStart w:id="1345" w:name="_Toc1146695755"/>
      <w:bookmarkStart w:id="1346" w:name="_Toc2119031639"/>
      <w:bookmarkStart w:id="1347" w:name="_Toc501853308"/>
      <w:bookmarkStart w:id="1348" w:name="_Toc30683"/>
      <w:bookmarkStart w:id="1349" w:name="_Toc14140"/>
      <w:bookmarkStart w:id="1350" w:name="_Toc1580549704"/>
      <w:bookmarkStart w:id="1351" w:name="_Toc570011355"/>
      <w:bookmarkStart w:id="1352" w:name="_Toc6483"/>
      <w:r>
        <w:t>3.1初步评审</w:t>
      </w:r>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p>
    <w:p w14:paraId="058ED752">
      <w:pPr>
        <w:wordWrap/>
        <w:adjustRightInd/>
        <w:snapToGrid/>
        <w:spacing w:line="360" w:lineRule="auto"/>
        <w:ind w:firstLine="480"/>
      </w:pPr>
      <w:r>
        <w:t>3.1.1评标委员会可以要求投标人提交第二章“投标人须知”规定的有关证明，以便核验。</w:t>
      </w:r>
    </w:p>
    <w:p w14:paraId="3FEB7D90">
      <w:pPr>
        <w:wordWrap/>
        <w:adjustRightInd/>
        <w:snapToGrid/>
        <w:spacing w:line="360" w:lineRule="auto"/>
        <w:ind w:firstLine="480"/>
        <w:rPr>
          <w:b/>
          <w:bCs/>
        </w:rPr>
      </w:pPr>
      <w:r>
        <w:rPr>
          <w:b/>
          <w:bCs/>
        </w:rPr>
        <w:t>评标委员会依据本章第2.1款规定的初步评审标准对投标文件进行初步评审。初步评审包含2.1.1形式评审标准，2.1.2资格评审标准和2.1.3响应性评审标准三个部分，其中有任意一项不符合评审标准的，评标委员会应当否决其投标。</w:t>
      </w:r>
    </w:p>
    <w:p w14:paraId="65EBB74E">
      <w:pPr>
        <w:wordWrap/>
        <w:adjustRightInd/>
        <w:snapToGrid/>
        <w:spacing w:line="360" w:lineRule="auto"/>
        <w:ind w:firstLine="480"/>
      </w:pPr>
      <w:r>
        <w:t>初步评审采用合格制。评标委员会按招标文件2.1.1形式评审标准，2.1.2资格评审标准和2.1.3响应性评审标准要求对投标人进行初步审查。投标人必须提供真实的审查资料，投标人只有完全达到或符合表中形式，资格和响应</w:t>
      </w:r>
      <w:r>
        <w:rPr>
          <w:rFonts w:hint="eastAsia"/>
        </w:rPr>
        <w:t>性</w:t>
      </w:r>
      <w:r>
        <w:t>评审合格标准所要求的全部内容，方可通过初步审查</w:t>
      </w:r>
      <w:r>
        <w:rPr>
          <w:rFonts w:hint="eastAsia"/>
        </w:rPr>
        <w:t>；</w:t>
      </w:r>
      <w:r>
        <w:t>否则，如有任意一项不能满足或不符合要求的，则均不能通过初步审查，投标将被否决。初步审查内容及合格标准见《评标办法前附表》。</w:t>
      </w:r>
    </w:p>
    <w:p w14:paraId="4686DA37">
      <w:pPr>
        <w:spacing w:line="360" w:lineRule="auto"/>
        <w:ind w:firstLine="452"/>
      </w:pPr>
      <w:r>
        <w:rPr>
          <w:spacing w:val="-7"/>
          <w:szCs w:val="21"/>
        </w:rPr>
        <w:t>评标委员会对投标人进行初步评审审查时，对符合或不符合资格条件的投标人都做出详细的书面记录，并作为评标报告的组成内容。</w:t>
      </w:r>
    </w:p>
    <w:p w14:paraId="79EEB9EC">
      <w:pPr>
        <w:wordWrap/>
        <w:adjustRightInd/>
        <w:snapToGrid/>
        <w:spacing w:line="360" w:lineRule="auto"/>
        <w:ind w:firstLine="480"/>
        <w:rPr>
          <w:b/>
          <w:bCs/>
        </w:rPr>
      </w:pPr>
      <w:r>
        <w:t>初步评审</w:t>
      </w:r>
      <w:r>
        <w:rPr>
          <w:rFonts w:hint="eastAsia"/>
        </w:rPr>
        <w:t>不合格的投标人不进入后续的评标。</w:t>
      </w:r>
    </w:p>
    <w:p w14:paraId="213F93F5">
      <w:pPr>
        <w:wordWrap/>
        <w:adjustRightInd/>
        <w:snapToGrid/>
        <w:spacing w:line="360" w:lineRule="auto"/>
        <w:ind w:firstLine="480"/>
        <w:rPr>
          <w:b/>
          <w:bCs/>
        </w:rPr>
      </w:pPr>
      <w:r>
        <w:t>3.1.2</w:t>
      </w:r>
      <w:r>
        <w:rPr>
          <w:b/>
          <w:bCs/>
        </w:rPr>
        <w:t>初步评审时，如发现投标人的投标文件存在下述情形之一的，视为不满足招标文件实质性要求的重大偏差，其投标将被否决：</w:t>
      </w:r>
    </w:p>
    <w:p w14:paraId="1587763C">
      <w:pPr>
        <w:wordWrap/>
        <w:adjustRightInd/>
        <w:snapToGrid/>
        <w:spacing w:line="360" w:lineRule="auto"/>
        <w:ind w:firstLine="480"/>
      </w:pPr>
      <w:r>
        <w:t>（1）没有按照招标文件格式要求提供的投标文件，致使专家无法评审的，或内容不全或关键字迹模糊、无法辨认的；</w:t>
      </w:r>
    </w:p>
    <w:p w14:paraId="6FAD4F60">
      <w:pPr>
        <w:wordWrap/>
        <w:adjustRightInd/>
        <w:snapToGrid/>
        <w:spacing w:line="360" w:lineRule="auto"/>
        <w:ind w:firstLine="480"/>
      </w:pPr>
      <w:r>
        <w:t>（2）投标人未按招标文件要求提交投标保证金或金额不足、投标保证金形式不符合招标文件要求的；</w:t>
      </w:r>
    </w:p>
    <w:p w14:paraId="5A046937">
      <w:pPr>
        <w:wordWrap/>
        <w:adjustRightInd/>
        <w:snapToGrid/>
        <w:spacing w:line="360" w:lineRule="auto"/>
        <w:ind w:firstLine="480"/>
      </w:pPr>
      <w:r>
        <w:t>（3）投标人的投标函或法定代表人授权委托书不符合要求的；</w:t>
      </w:r>
    </w:p>
    <w:p w14:paraId="434E0A62">
      <w:pPr>
        <w:wordWrap/>
        <w:adjustRightInd/>
        <w:snapToGrid/>
        <w:spacing w:line="360" w:lineRule="auto"/>
        <w:ind w:firstLine="480"/>
      </w:pPr>
      <w:r>
        <w:t>（4）投标文件无法定代表人签字（或签字人无法定代表人有效授权书的）且未加盖公章；</w:t>
      </w:r>
    </w:p>
    <w:p w14:paraId="33C35ACB">
      <w:pPr>
        <w:wordWrap/>
        <w:adjustRightInd/>
        <w:snapToGrid/>
        <w:spacing w:line="360" w:lineRule="auto"/>
        <w:ind w:firstLine="480"/>
      </w:pPr>
      <w:r>
        <w:t>（5）投标有效期不足的；</w:t>
      </w:r>
    </w:p>
    <w:p w14:paraId="02FF591B">
      <w:pPr>
        <w:wordWrap/>
        <w:adjustRightInd/>
        <w:snapToGrid/>
        <w:spacing w:line="360" w:lineRule="auto"/>
        <w:ind w:firstLine="480"/>
      </w:pPr>
      <w:r>
        <w:t>（6）投标联合体没有提交共同投标协议的；</w:t>
      </w:r>
    </w:p>
    <w:p w14:paraId="17EBB399">
      <w:pPr>
        <w:wordWrap/>
        <w:adjustRightInd/>
        <w:snapToGrid/>
        <w:spacing w:line="360" w:lineRule="auto"/>
        <w:ind w:firstLine="480"/>
      </w:pPr>
      <w:r>
        <w:t>（7）投标人在同一份投标文件中，对同一工程/货物/服务招标项目有两个或多个报价的（允许有备选方案除外）；</w:t>
      </w:r>
    </w:p>
    <w:p w14:paraId="5F51D201">
      <w:pPr>
        <w:wordWrap/>
        <w:adjustRightInd/>
        <w:snapToGrid/>
        <w:spacing w:line="360" w:lineRule="auto"/>
        <w:ind w:firstLine="480"/>
      </w:pPr>
      <w:r>
        <w:t>（8）投标报价高于招标文件设定的最高投标限价的；</w:t>
      </w:r>
    </w:p>
    <w:p w14:paraId="21832820">
      <w:pPr>
        <w:wordWrap/>
        <w:adjustRightInd/>
        <w:snapToGrid/>
        <w:spacing w:line="360" w:lineRule="auto"/>
        <w:ind w:firstLine="480"/>
      </w:pPr>
      <w:r>
        <w:t>（9）分项报价中有错误，缺项，混乱，致使专家无法评审的；</w:t>
      </w:r>
    </w:p>
    <w:p w14:paraId="40680483">
      <w:pPr>
        <w:wordWrap/>
        <w:adjustRightInd/>
        <w:snapToGrid/>
        <w:spacing w:line="360" w:lineRule="auto"/>
        <w:ind w:firstLine="480"/>
      </w:pPr>
      <w:r>
        <w:t>（10）投标文件附有招标方不能接受的条件的；</w:t>
      </w:r>
    </w:p>
    <w:p w14:paraId="24F8DD99">
      <w:pPr>
        <w:wordWrap/>
        <w:adjustRightInd/>
        <w:snapToGrid/>
        <w:spacing w:line="360" w:lineRule="auto"/>
        <w:ind w:firstLine="480"/>
      </w:pPr>
      <w:r>
        <w:t>（11）投标文件没有对招标文件的实质性要求和条件做出响应，或者对招标文件的偏差超出招标文件规定的偏差范围或最高项数；</w:t>
      </w:r>
    </w:p>
    <w:p w14:paraId="2382DFAB">
      <w:pPr>
        <w:wordWrap/>
        <w:adjustRightInd/>
        <w:snapToGrid/>
        <w:spacing w:line="360" w:lineRule="auto"/>
        <w:ind w:firstLine="480"/>
      </w:pPr>
      <w:r>
        <w:t>（12）经评审，投标文件不能满足招标文件中项目需求的。</w:t>
      </w:r>
    </w:p>
    <w:p w14:paraId="4466305C">
      <w:pPr>
        <w:pStyle w:val="6"/>
        <w:wordWrap/>
        <w:adjustRightInd/>
        <w:snapToGrid/>
        <w:spacing w:line="360" w:lineRule="auto"/>
        <w:ind w:firstLine="480"/>
        <w:textAlignment w:val="auto"/>
      </w:pPr>
      <w:r>
        <w:t>3.1.3关于投标报价缺漏项的要求见评标办法前附表。</w:t>
      </w:r>
    </w:p>
    <w:p w14:paraId="21B4C783">
      <w:pPr>
        <w:wordWrap/>
        <w:adjustRightInd/>
        <w:snapToGrid/>
        <w:spacing w:line="360" w:lineRule="auto"/>
        <w:ind w:firstLine="480"/>
      </w:pPr>
      <w:r>
        <w:t>3.1.4投标报价有算术错误及其他错误的，评标委员会按以下原则对投标报价进</w:t>
      </w:r>
      <w:bookmarkStart w:id="1353" w:name="_Toc152045603"/>
      <w:bookmarkStart w:id="1354" w:name="_Toc152042380"/>
      <w:bookmarkStart w:id="1355" w:name="_Toc247527628"/>
      <w:bookmarkStart w:id="1356" w:name="_Toc352691538"/>
      <w:bookmarkStart w:id="1357" w:name="_Toc361508651"/>
      <w:bookmarkStart w:id="1358" w:name="_Toc2907"/>
      <w:bookmarkStart w:id="1359" w:name="_Toc384308277"/>
      <w:bookmarkStart w:id="1360" w:name="_Toc300835013"/>
      <w:bookmarkStart w:id="1361" w:name="_Toc369531582"/>
      <w:bookmarkStart w:id="1362" w:name="_Toc247514027"/>
      <w:bookmarkStart w:id="1363" w:name="_Toc144974570"/>
      <w:r>
        <w:t>行修正（小数点或单位等明显错误的除外），并要求投标人书面澄清确认。</w:t>
      </w:r>
      <w:bookmarkEnd w:id="1353"/>
      <w:bookmarkEnd w:id="1354"/>
      <w:bookmarkEnd w:id="1355"/>
      <w:bookmarkEnd w:id="1356"/>
      <w:bookmarkEnd w:id="1357"/>
      <w:bookmarkEnd w:id="1358"/>
      <w:bookmarkEnd w:id="1359"/>
      <w:bookmarkEnd w:id="1360"/>
      <w:bookmarkEnd w:id="1361"/>
      <w:bookmarkEnd w:id="1362"/>
      <w:bookmarkEnd w:id="1363"/>
      <w:r>
        <w:t>投标人拒不澄清确认的，评标委员会应当否决其投标：</w:t>
      </w:r>
    </w:p>
    <w:p w14:paraId="09DAD475">
      <w:pPr>
        <w:wordWrap/>
        <w:adjustRightInd/>
        <w:snapToGrid/>
        <w:spacing w:line="360" w:lineRule="auto"/>
        <w:ind w:firstLine="480"/>
      </w:pPr>
      <w:r>
        <w:t>（1）投标文件中的大写金额与小写金额不一致的，以大写金额为准；</w:t>
      </w:r>
    </w:p>
    <w:p w14:paraId="61210DF2">
      <w:pPr>
        <w:wordWrap/>
        <w:adjustRightInd/>
        <w:snapToGrid/>
        <w:spacing w:line="360" w:lineRule="auto"/>
        <w:ind w:firstLine="480"/>
      </w:pPr>
      <w:r>
        <w:t>（2）总价金额与单价金额不一致的，以单价金额为准，但单价金额小数点有明显错误的除外；</w:t>
      </w:r>
    </w:p>
    <w:p w14:paraId="6652DE62">
      <w:pPr>
        <w:wordWrap/>
        <w:adjustRightInd/>
        <w:snapToGrid/>
        <w:spacing w:line="360" w:lineRule="auto"/>
        <w:ind w:firstLine="480"/>
      </w:pPr>
      <w:r>
        <w:t>（3）投标报价为各分项报价金额之和，投标报价与分项报价的合价不一致的，以不利于投标人的原则进行修正；</w:t>
      </w:r>
    </w:p>
    <w:p w14:paraId="1B6F4EE4">
      <w:pPr>
        <w:wordWrap/>
        <w:adjustRightInd/>
        <w:snapToGrid/>
        <w:spacing w:line="360" w:lineRule="auto"/>
        <w:ind w:firstLine="480"/>
      </w:pPr>
      <w:r>
        <w:t>（4）开标记录表、投标函和分项报价的合计价不一致的，按照以下原则进行调整：</w:t>
      </w:r>
    </w:p>
    <w:p w14:paraId="68256765">
      <w:pPr>
        <w:wordWrap/>
        <w:adjustRightInd/>
        <w:snapToGrid/>
        <w:spacing w:line="360" w:lineRule="auto"/>
        <w:ind w:firstLine="720" w:firstLineChars="300"/>
      </w:pPr>
      <w:r>
        <w:t>若开标记录表中有投标声明的，以投标声明为准；</w:t>
      </w:r>
    </w:p>
    <w:p w14:paraId="2265DF16">
      <w:pPr>
        <w:wordWrap/>
        <w:adjustRightInd/>
        <w:snapToGrid/>
        <w:spacing w:line="360" w:lineRule="auto"/>
        <w:ind w:firstLine="720" w:firstLineChars="300"/>
      </w:pPr>
      <w:r>
        <w:t>若开标记录表中无投标声明的，评标时以三者之中最高的作为评标价，签订合同时合同价为三者之中最低价，并对所有分项进行同比例调整；</w:t>
      </w:r>
    </w:p>
    <w:p w14:paraId="21040DD7">
      <w:pPr>
        <w:wordWrap/>
        <w:adjustRightInd/>
        <w:snapToGrid/>
        <w:spacing w:line="360" w:lineRule="auto"/>
        <w:ind w:firstLine="480"/>
      </w:pPr>
      <w:r>
        <w:t>（5）如果报价范围超出招标范围，评标时不予核减。</w:t>
      </w:r>
    </w:p>
    <w:p w14:paraId="26FB6C6E">
      <w:pPr>
        <w:pStyle w:val="5"/>
        <w:spacing w:line="360" w:lineRule="auto"/>
        <w:ind w:firstLine="561"/>
      </w:pPr>
      <w:bookmarkStart w:id="1364" w:name="_Toc2073645385"/>
      <w:bookmarkStart w:id="1365" w:name="_Toc752308770"/>
      <w:bookmarkStart w:id="1366" w:name="_Toc256294218"/>
      <w:bookmarkStart w:id="1367" w:name="_Toc25822"/>
      <w:bookmarkStart w:id="1368" w:name="_Toc695954825"/>
      <w:bookmarkStart w:id="1369" w:name="_Toc149889039"/>
      <w:bookmarkStart w:id="1370" w:name="_Toc30392"/>
      <w:bookmarkStart w:id="1371" w:name="_Toc2967"/>
      <w:bookmarkStart w:id="1372" w:name="_Toc491579109"/>
      <w:bookmarkStart w:id="1373" w:name="_Toc23421"/>
      <w:bookmarkStart w:id="1374" w:name="_Toc1480265787"/>
      <w:bookmarkStart w:id="1375" w:name="_Toc13476"/>
      <w:bookmarkStart w:id="1376" w:name="_Toc28150"/>
      <w:bookmarkStart w:id="1377" w:name="_Toc997306107"/>
      <w:r>
        <w:t>3.2详细评审</w:t>
      </w:r>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p>
    <w:p w14:paraId="2C2E8BA1">
      <w:pPr>
        <w:spacing w:line="360" w:lineRule="auto"/>
        <w:ind w:firstLine="480"/>
      </w:pPr>
      <w:r>
        <w:t>通过初步评审后，满足评标办法前附表评审条件要求的，参与后续技术、商务、价格评审。</w:t>
      </w:r>
    </w:p>
    <w:p w14:paraId="04CC76E7">
      <w:pPr>
        <w:spacing w:line="360" w:lineRule="auto"/>
        <w:ind w:firstLine="480"/>
      </w:pPr>
      <w:r>
        <w:t>3.2.1评标委员会按本章第2.2款规定的量化因素和分值进行打分，并计算出综合评估得分。</w:t>
      </w:r>
    </w:p>
    <w:p w14:paraId="76FBE663">
      <w:pPr>
        <w:spacing w:line="360" w:lineRule="auto"/>
        <w:ind w:firstLine="480"/>
      </w:pPr>
      <w:r>
        <w:t>（1）按本章第2.2.4（1）目规定的评审因素和分值对投标报价计算出得分A；</w:t>
      </w:r>
    </w:p>
    <w:p w14:paraId="4CBC6F49">
      <w:pPr>
        <w:spacing w:line="360" w:lineRule="auto"/>
        <w:ind w:firstLine="452"/>
      </w:pPr>
      <w:r>
        <w:rPr>
          <w:spacing w:val="-7"/>
          <w:szCs w:val="21"/>
        </w:rPr>
        <w:t>（2）按本章第2.2.4（3）目规定的评审因素和分值对商务部分计算出得分B；</w:t>
      </w:r>
    </w:p>
    <w:p w14:paraId="78C34BA1">
      <w:pPr>
        <w:spacing w:line="360" w:lineRule="auto"/>
        <w:ind w:firstLine="480"/>
      </w:pPr>
      <w:r>
        <w:t>（3）按本章第2.2.4（3）目规定的评审因素和</w:t>
      </w:r>
      <w:bookmarkStart w:id="1378" w:name="_Toc384308278"/>
      <w:bookmarkStart w:id="1379" w:name="_Toc352691539"/>
      <w:bookmarkStart w:id="1380" w:name="_Toc300835014"/>
      <w:bookmarkStart w:id="1381" w:name="_Toc152042381"/>
      <w:bookmarkStart w:id="1382" w:name="_Toc152045604"/>
      <w:bookmarkStart w:id="1383" w:name="_Toc247514028"/>
      <w:bookmarkStart w:id="1384" w:name="_Toc369531583"/>
      <w:bookmarkStart w:id="1385" w:name="_Toc24330"/>
      <w:bookmarkStart w:id="1386" w:name="_Toc144974571"/>
      <w:bookmarkStart w:id="1387" w:name="_Toc247527629"/>
      <w:bookmarkStart w:id="1388" w:name="_Toc361508652"/>
      <w:r>
        <w:t>分值对</w:t>
      </w:r>
      <w:bookmarkEnd w:id="1378"/>
      <w:bookmarkEnd w:id="1379"/>
      <w:bookmarkEnd w:id="1380"/>
      <w:bookmarkEnd w:id="1381"/>
      <w:bookmarkEnd w:id="1382"/>
      <w:bookmarkEnd w:id="1383"/>
      <w:bookmarkEnd w:id="1384"/>
      <w:bookmarkEnd w:id="1385"/>
      <w:bookmarkEnd w:id="1386"/>
      <w:bookmarkEnd w:id="1387"/>
      <w:bookmarkEnd w:id="1388"/>
      <w:r>
        <w:t>技术部分计</w:t>
      </w:r>
      <w:bookmarkStart w:id="1389" w:name="_Toc361508653"/>
      <w:bookmarkStart w:id="1390" w:name="_Toc152042382"/>
      <w:bookmarkStart w:id="1391" w:name="_Toc152045605"/>
      <w:bookmarkStart w:id="1392" w:name="_Toc369531584"/>
      <w:bookmarkStart w:id="1393" w:name="_Toc247527630"/>
      <w:bookmarkStart w:id="1394" w:name="_Toc18141"/>
      <w:bookmarkStart w:id="1395" w:name="_Toc300835015"/>
      <w:bookmarkStart w:id="1396" w:name="_Toc384308279"/>
      <w:bookmarkStart w:id="1397" w:name="_Toc352691540"/>
      <w:bookmarkStart w:id="1398" w:name="_Toc247514029"/>
      <w:bookmarkStart w:id="1399" w:name="_Toc144974572"/>
      <w:r>
        <w:t>算出得分C；</w:t>
      </w:r>
    </w:p>
    <w:bookmarkEnd w:id="1389"/>
    <w:bookmarkEnd w:id="1390"/>
    <w:bookmarkEnd w:id="1391"/>
    <w:bookmarkEnd w:id="1392"/>
    <w:bookmarkEnd w:id="1393"/>
    <w:bookmarkEnd w:id="1394"/>
    <w:bookmarkEnd w:id="1395"/>
    <w:bookmarkEnd w:id="1396"/>
    <w:bookmarkEnd w:id="1397"/>
    <w:bookmarkEnd w:id="1398"/>
    <w:bookmarkEnd w:id="1399"/>
    <w:p w14:paraId="1B23282B">
      <w:pPr>
        <w:spacing w:line="360" w:lineRule="auto"/>
        <w:ind w:firstLine="480"/>
      </w:pPr>
      <w:r>
        <w:t>3.2.2评分分值计算保留小数点后两位，小数点后第三位“四舍五入”。</w:t>
      </w:r>
    </w:p>
    <w:p w14:paraId="66294DCA">
      <w:pPr>
        <w:spacing w:line="360" w:lineRule="auto"/>
        <w:ind w:firstLine="452"/>
      </w:pPr>
      <w:r>
        <w:rPr>
          <w:spacing w:val="-7"/>
          <w:szCs w:val="21"/>
        </w:rPr>
        <w:t>3.2.3投标人得分=A+B+C。</w:t>
      </w:r>
    </w:p>
    <w:p w14:paraId="38E02C07">
      <w:pPr>
        <w:spacing w:line="360" w:lineRule="auto"/>
        <w:ind w:firstLine="480"/>
      </w:pPr>
      <w:r>
        <w:t>3.2.4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14:paraId="6C00D492">
      <w:pPr>
        <w:pStyle w:val="5"/>
        <w:spacing w:line="360" w:lineRule="auto"/>
        <w:ind w:firstLine="561"/>
      </w:pPr>
      <w:bookmarkStart w:id="1400" w:name="_Toc20040"/>
      <w:bookmarkStart w:id="1401" w:name="_Toc613875514"/>
      <w:bookmarkStart w:id="1402" w:name="_Toc186760542"/>
      <w:bookmarkStart w:id="1403" w:name="_Toc26451"/>
      <w:bookmarkStart w:id="1404" w:name="_Toc1716802213"/>
      <w:bookmarkStart w:id="1405" w:name="_Toc600494954"/>
      <w:bookmarkStart w:id="1406" w:name="_Toc15702"/>
      <w:bookmarkStart w:id="1407" w:name="_Toc11247"/>
      <w:bookmarkStart w:id="1408" w:name="_Toc229031614"/>
      <w:bookmarkStart w:id="1409" w:name="_Toc10340"/>
      <w:bookmarkStart w:id="1410" w:name="_Toc1817267501"/>
      <w:bookmarkStart w:id="1411" w:name="_Toc1832209691"/>
      <w:bookmarkStart w:id="1412" w:name="_Toc6504"/>
      <w:bookmarkStart w:id="1413" w:name="_Toc245878532"/>
      <w:r>
        <w:t>3.3投标文件的澄清</w:t>
      </w:r>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p>
    <w:p w14:paraId="2FAB7317">
      <w:pPr>
        <w:spacing w:line="360" w:lineRule="auto"/>
        <w:ind w:firstLine="480"/>
      </w:pPr>
      <w:r>
        <w:t>3.3.1在评标过程中，评标委员会可以书面形式要求投标人对投标文件中含义不明确、对同类问题表述不一致或者有明显文字和计算错误的内容做必要的澄清、说明或补正。澄清、说明或补正应以书面方式进行。评标委员会不接受投标人主动提出的澄清、说明或补正。</w:t>
      </w:r>
    </w:p>
    <w:p w14:paraId="052EB5EC">
      <w:pPr>
        <w:spacing w:line="360" w:lineRule="auto"/>
        <w:ind w:firstLine="480"/>
      </w:pPr>
      <w:r>
        <w:t>3.3.2澄清、说明或补正不得超出投标文件的范围且不得改变投标文件的实质性内容，并构成投标文件的组成部分。</w:t>
      </w:r>
    </w:p>
    <w:p w14:paraId="41F9751C">
      <w:pPr>
        <w:spacing w:line="360" w:lineRule="auto"/>
        <w:ind w:firstLine="480"/>
      </w:pPr>
      <w:r>
        <w:t>3.3.3评标委员会对投标人提交的澄清、说明或补正有疑问的，可以要求投标人进一步澄清、说明或补正，直至满足评标委员会的要求。</w:t>
      </w:r>
    </w:p>
    <w:p w14:paraId="277703DF">
      <w:pPr>
        <w:pStyle w:val="5"/>
        <w:spacing w:line="360" w:lineRule="auto"/>
        <w:ind w:firstLine="561"/>
      </w:pPr>
      <w:bookmarkStart w:id="1414" w:name="_Toc1043641074"/>
      <w:bookmarkStart w:id="1415" w:name="_Toc1302461673"/>
      <w:bookmarkStart w:id="1416" w:name="_Toc704512799"/>
      <w:bookmarkStart w:id="1417" w:name="_Toc12609"/>
      <w:bookmarkStart w:id="1418" w:name="_Toc1180262304"/>
      <w:bookmarkStart w:id="1419" w:name="_Toc721950496"/>
      <w:bookmarkStart w:id="1420" w:name="_Toc13571"/>
      <w:bookmarkStart w:id="1421" w:name="_Toc1410821127"/>
      <w:bookmarkStart w:id="1422" w:name="_Toc894323610"/>
      <w:bookmarkStart w:id="1423" w:name="_Toc1493034625"/>
      <w:bookmarkStart w:id="1424" w:name="_Toc11646"/>
      <w:bookmarkStart w:id="1425" w:name="_Toc8552"/>
      <w:bookmarkStart w:id="1426" w:name="_Toc17732"/>
      <w:bookmarkStart w:id="1427" w:name="_Toc15591"/>
      <w:r>
        <w:t>3.4评标结果</w:t>
      </w:r>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p>
    <w:p w14:paraId="0EA57E3B">
      <w:pPr>
        <w:spacing w:line="360" w:lineRule="auto"/>
        <w:ind w:firstLine="480"/>
      </w:pPr>
      <w:r>
        <w:t>3.4.1评标委员会按照得分由高到低的顺序推荐中标候选人，并标明排序。</w:t>
      </w:r>
    </w:p>
    <w:p w14:paraId="79A7397F">
      <w:pPr>
        <w:spacing w:line="360" w:lineRule="auto"/>
        <w:ind w:firstLine="480"/>
      </w:pPr>
      <w:r>
        <w:t>3.4.2评标委员会完成评标后，应当向招标人提交书面评标报告和中标候选人名单。</w:t>
      </w:r>
    </w:p>
    <w:p w14:paraId="0B574583">
      <w:pPr>
        <w:pStyle w:val="5"/>
        <w:spacing w:line="360" w:lineRule="auto"/>
        <w:ind w:firstLine="561"/>
      </w:pPr>
      <w:bookmarkStart w:id="1428" w:name="_Toc26192498"/>
      <w:bookmarkStart w:id="1429" w:name="_Toc1304956808"/>
      <w:bookmarkStart w:id="1430" w:name="_Toc843320667"/>
      <w:bookmarkStart w:id="1431" w:name="_Toc3522"/>
      <w:bookmarkStart w:id="1432" w:name="_Toc1097855993"/>
      <w:bookmarkStart w:id="1433" w:name="_Toc1167397087"/>
      <w:bookmarkStart w:id="1434" w:name="_Toc16624"/>
      <w:bookmarkStart w:id="1435" w:name="_Toc16772"/>
      <w:bookmarkStart w:id="1436" w:name="_Toc12842"/>
      <w:bookmarkStart w:id="1437" w:name="_Toc1050803440"/>
      <w:bookmarkStart w:id="1438" w:name="_Toc415885241"/>
      <w:bookmarkStart w:id="1439" w:name="_Toc26192414"/>
      <w:bookmarkStart w:id="1440" w:name="_Toc1926115172"/>
      <w:bookmarkStart w:id="1441" w:name="_Toc28985"/>
      <w:bookmarkStart w:id="1442" w:name="_Toc14599"/>
      <w:bookmarkStart w:id="1443" w:name="_Toc642121366"/>
      <w:bookmarkStart w:id="1444" w:name="_Toc332101962"/>
      <w:r>
        <w:t>3.</w:t>
      </w:r>
      <w:r>
        <w:rPr>
          <w:rFonts w:hint="eastAsia"/>
        </w:rPr>
        <w:t>5</w:t>
      </w:r>
      <w:r>
        <w:t>确定中标人</w:t>
      </w:r>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11BF0BBF">
      <w:pPr>
        <w:pStyle w:val="2"/>
        <w:spacing w:line="360" w:lineRule="auto"/>
        <w:ind w:firstLine="480"/>
        <w:rPr>
          <w:sz w:val="24"/>
          <w:szCs w:val="22"/>
        </w:rPr>
      </w:pPr>
      <w:r>
        <w:rPr>
          <w:rFonts w:hint="eastAsia"/>
          <w:sz w:val="24"/>
          <w:szCs w:val="22"/>
        </w:rPr>
        <w:t>本项目各标段只确定1名中标人，招标人原则上按照评标委员会推荐的中标候选人的排序确定中标人，不能保证最低报价的投标最终中标。</w:t>
      </w:r>
      <w:bookmarkEnd w:id="1444"/>
    </w:p>
    <w:p w14:paraId="60438E68">
      <w:pPr>
        <w:ind w:firstLine="480"/>
      </w:pPr>
      <w:r>
        <w:br w:type="page"/>
      </w:r>
    </w:p>
    <w:p w14:paraId="4447DFF1">
      <w:pPr>
        <w:pStyle w:val="3"/>
        <w:pageBreakBefore/>
        <w:spacing w:line="400" w:lineRule="exact"/>
        <w:rPr>
          <w:rFonts w:hint="eastAsia"/>
          <w:highlight w:val="none"/>
          <w:u w:val="single"/>
        </w:rPr>
      </w:pPr>
      <w:bookmarkStart w:id="1445" w:name="_Toc211195411"/>
      <w:bookmarkStart w:id="1446" w:name="_Toc211529224"/>
      <w:bookmarkStart w:id="1447" w:name="_Toc3706"/>
      <w:bookmarkStart w:id="1448" w:name="_Toc21250"/>
      <w:bookmarkStart w:id="1449" w:name="_Toc6213"/>
      <w:bookmarkStart w:id="1450" w:name="_Toc141110752"/>
      <w:bookmarkStart w:id="1451" w:name="_Toc221874057"/>
      <w:bookmarkStart w:id="1452" w:name="_Toc1706"/>
      <w:bookmarkStart w:id="1453" w:name="_Toc32109"/>
      <w:bookmarkStart w:id="1454" w:name="_Toc30106"/>
      <w:bookmarkStart w:id="1455" w:name="_Toc503293859"/>
      <w:bookmarkStart w:id="1456" w:name="_Toc30354"/>
      <w:bookmarkStart w:id="1457" w:name="_Toc6377"/>
      <w:bookmarkStart w:id="1458" w:name="_Toc667"/>
      <w:bookmarkStart w:id="1459" w:name="_Toc503297209"/>
      <w:bookmarkStart w:id="1460" w:name="_Toc6768"/>
      <w:bookmarkStart w:id="1461" w:name="_Toc9035"/>
      <w:bookmarkStart w:id="1462" w:name="_Toc17746583"/>
      <w:bookmarkStart w:id="1463" w:name="_Toc21341"/>
      <w:bookmarkStart w:id="1464" w:name="_Toc14923"/>
      <w:bookmarkStart w:id="1465" w:name="_Toc503510939"/>
      <w:bookmarkStart w:id="1466" w:name="_Toc231546391"/>
      <w:bookmarkStart w:id="1467" w:name="_Toc23681"/>
      <w:bookmarkStart w:id="1468" w:name="_Toc5831"/>
      <w:r>
        <w:rPr>
          <w:rFonts w:hint="eastAsia"/>
          <w:highlight w:val="none"/>
          <w:u w:val="single"/>
        </w:rPr>
        <w:t>第四章  合同条款及格式</w:t>
      </w:r>
      <w:bookmarkEnd w:id="1445"/>
      <w:bookmarkEnd w:id="1446"/>
      <w:bookmarkEnd w:id="1447"/>
      <w:bookmarkEnd w:id="1448"/>
      <w:bookmarkEnd w:id="1449"/>
      <w:bookmarkEnd w:id="1450"/>
      <w:bookmarkEnd w:id="1451"/>
      <w:bookmarkEnd w:id="1452"/>
      <w:bookmarkEnd w:id="1453"/>
    </w:p>
    <w:p w14:paraId="51920548">
      <w:pPr>
        <w:spacing w:before="312" w:beforeLines="100" w:after="312" w:afterLines="100" w:line="400" w:lineRule="exact"/>
        <w:ind w:firstLine="723"/>
        <w:jc w:val="center"/>
        <w:rPr>
          <w:rFonts w:eastAsiaTheme="minorEastAsia"/>
          <w:b/>
          <w:sz w:val="36"/>
          <w:szCs w:val="36"/>
        </w:rPr>
      </w:pPr>
      <w:r>
        <w:rPr>
          <w:rFonts w:eastAsiaTheme="minorEastAsia"/>
          <w:b/>
          <w:sz w:val="36"/>
          <w:szCs w:val="36"/>
        </w:rPr>
        <w:t>XXXXXXX（招标文件名称）</w:t>
      </w:r>
    </w:p>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p w14:paraId="1E82870F">
      <w:pPr>
        <w:spacing w:before="240" w:beforeLines="100" w:after="240" w:afterLines="100" w:line="400" w:lineRule="exact"/>
        <w:jc w:val="center"/>
        <w:rPr>
          <w:rFonts w:hint="eastAsia" w:asciiTheme="minorEastAsia" w:hAnsiTheme="minorEastAsia" w:eastAsiaTheme="minorEastAsia" w:cstheme="minorEastAsia"/>
          <w:b/>
          <w:sz w:val="24"/>
        </w:rPr>
      </w:pPr>
      <w:bookmarkStart w:id="1469" w:name="page76"/>
      <w:bookmarkEnd w:id="1469"/>
      <w:bookmarkStart w:id="1470" w:name="_Toc231854111"/>
      <w:bookmarkStart w:id="1471" w:name="_Toc335"/>
      <w:bookmarkStart w:id="1472" w:name="_Toc30126"/>
      <w:bookmarkStart w:id="1473" w:name="_Toc211529233"/>
      <w:bookmarkStart w:id="1474" w:name="_Toc211195423"/>
      <w:bookmarkStart w:id="1475" w:name="_Toc18209"/>
      <w:bookmarkStart w:id="1476" w:name="_Toc7206"/>
      <w:bookmarkStart w:id="1477" w:name="_Toc14277"/>
      <w:r>
        <w:rPr>
          <w:rFonts w:hint="eastAsia" w:asciiTheme="minorEastAsia" w:hAnsiTheme="minorEastAsia" w:eastAsiaTheme="minorEastAsia" w:cstheme="minorEastAsia"/>
          <w:b/>
          <w:sz w:val="24"/>
        </w:rPr>
        <w:t>（以双方最终协商签订内容为准）</w:t>
      </w:r>
    </w:p>
    <w:p w14:paraId="1291E801">
      <w:pPr>
        <w:jc w:val="center"/>
        <w:rPr>
          <w:rFonts w:hint="eastAsia"/>
          <w:b/>
          <w:bCs/>
          <w:sz w:val="36"/>
          <w:szCs w:val="36"/>
        </w:rPr>
      </w:pPr>
      <w:r>
        <w:rPr>
          <w:rFonts w:hint="eastAsia"/>
          <w:b/>
          <w:bCs/>
          <w:sz w:val="36"/>
          <w:szCs w:val="36"/>
        </w:rPr>
        <w:t>工业品买卖合同</w:t>
      </w:r>
    </w:p>
    <w:p w14:paraId="7E3547E5">
      <w:pPr>
        <w:spacing w:line="360" w:lineRule="auto"/>
        <w:ind w:firstLine="480" w:firstLineChars="200"/>
        <w:contextualSpacing/>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合同编号：</w:t>
      </w:r>
      <w:r>
        <w:rPr>
          <w:rFonts w:hint="eastAsia" w:asciiTheme="minorEastAsia" w:hAnsiTheme="minorEastAsia" w:eastAsiaTheme="minorEastAsia" w:cstheme="minorEastAsia"/>
          <w:sz w:val="24"/>
          <w:lang w:val="en-US" w:eastAsia="zh-CN"/>
        </w:rPr>
        <w:t xml:space="preserve"> </w:t>
      </w:r>
    </w:p>
    <w:p w14:paraId="28EB21A0">
      <w:pPr>
        <w:spacing w:line="360" w:lineRule="auto"/>
        <w:ind w:firstLine="480" w:firstLineChars="200"/>
        <w:contextualSpacing/>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买受人：</w:t>
      </w:r>
      <w:bookmarkStart w:id="1478" w:name="variablexFdBdi_1780390922118"/>
      <w:r>
        <w:rPr>
          <w:rFonts w:hint="eastAsia" w:asciiTheme="minorEastAsia" w:hAnsiTheme="minorEastAsia" w:eastAsiaTheme="minorEastAsia" w:cstheme="minorEastAsia"/>
          <w:sz w:val="24"/>
          <w:lang w:eastAsia="zh-CN"/>
        </w:rPr>
        <w:t>中煤科工集团重庆研究院有限公司</w:t>
      </w:r>
      <w:bookmarkEnd w:id="1478"/>
    </w:p>
    <w:p w14:paraId="5F5A7E35">
      <w:pPr>
        <w:spacing w:line="360" w:lineRule="auto"/>
        <w:ind w:firstLine="480" w:firstLineChars="200"/>
        <w:contextualSpacing/>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签订地点：</w:t>
      </w:r>
      <w:bookmarkStart w:id="1479" w:name="variablepY9Mzz_cqkd_signpalce"/>
      <w:r>
        <w:rPr>
          <w:rFonts w:hint="eastAsia" w:asciiTheme="minorEastAsia" w:hAnsiTheme="minorEastAsia" w:eastAsiaTheme="minorEastAsia" w:cstheme="minorEastAsia"/>
          <w:sz w:val="24"/>
          <w:lang w:eastAsia="zh-CN"/>
        </w:rPr>
        <w:t>重庆市九龙坡区</w:t>
      </w:r>
      <w:bookmarkEnd w:id="1479"/>
    </w:p>
    <w:p w14:paraId="4CEBE3EE">
      <w:pPr>
        <w:spacing w:line="360" w:lineRule="auto"/>
        <w:ind w:firstLine="480" w:firstLineChars="200"/>
        <w:contextualSpacing/>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 xml:space="preserve">出卖人： </w:t>
      </w:r>
      <w:r>
        <w:rPr>
          <w:rFonts w:hint="eastAsia" w:asciiTheme="minorEastAsia" w:hAnsiTheme="minorEastAsia" w:eastAsiaTheme="minorEastAsia" w:cstheme="minorEastAsia"/>
          <w:sz w:val="24"/>
          <w:lang w:val="en-US" w:eastAsia="zh-CN"/>
        </w:rPr>
        <w:t xml:space="preserve"> </w:t>
      </w:r>
    </w:p>
    <w:p w14:paraId="1BF7F878">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签订时间：</w:t>
      </w:r>
    </w:p>
    <w:p w14:paraId="75A233AF">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为明确各自的权利、义务，根据《中华人民共和国民法典》及相关法律、法规，经平等协商，在真实、充分地表达各自意愿的基础上买卖双方就</w:t>
      </w:r>
      <w:r>
        <w:rPr>
          <w:rFonts w:hint="eastAsia" w:asciiTheme="minorEastAsia" w:hAnsiTheme="minorEastAsia" w:eastAsiaTheme="minorEastAsia" w:cstheme="minorEastAsia"/>
          <w:sz w:val="24"/>
          <w:u w:val="single"/>
          <w:lang w:val="en-US" w:eastAsia="zh-CN"/>
        </w:rPr>
        <w:t xml:space="preserve">        </w:t>
      </w:r>
      <w:r>
        <w:rPr>
          <w:rFonts w:hint="eastAsia" w:asciiTheme="minorEastAsia" w:hAnsiTheme="minorEastAsia" w:eastAsiaTheme="minorEastAsia" w:cstheme="minorEastAsia"/>
          <w:sz w:val="24"/>
        </w:rPr>
        <w:t>买卖事宜达成如下协议，以资共同遵守。</w:t>
      </w:r>
    </w:p>
    <w:p w14:paraId="243969E9">
      <w:pPr>
        <w:pStyle w:val="28"/>
        <w:keepNext w:val="0"/>
        <w:keepLines w:val="0"/>
        <w:pageBreakBefore w:val="0"/>
        <w:widowControl w:val="0"/>
        <w:numPr>
          <w:ilvl w:val="0"/>
          <w:numId w:val="6"/>
        </w:numPr>
        <w:kinsoku/>
        <w:wordWrap/>
        <w:overflowPunct/>
        <w:topLinePunct w:val="0"/>
        <w:autoSpaceDE/>
        <w:autoSpaceDN/>
        <w:bidi w:val="0"/>
        <w:adjustRightInd/>
        <w:snapToGrid w:val="0"/>
        <w:spacing w:line="360" w:lineRule="auto"/>
        <w:ind w:left="768" w:leftChars="0" w:hanging="768" w:hangingChars="3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标的物</w:t>
      </w:r>
    </w:p>
    <w:tbl>
      <w:tblPr>
        <w:tblStyle w:val="21"/>
        <w:tblW w:w="49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04"/>
        <w:gridCol w:w="804"/>
        <w:gridCol w:w="804"/>
        <w:gridCol w:w="804"/>
        <w:gridCol w:w="804"/>
        <w:gridCol w:w="804"/>
        <w:gridCol w:w="805"/>
        <w:gridCol w:w="805"/>
        <w:gridCol w:w="807"/>
        <w:gridCol w:w="807"/>
        <w:gridCol w:w="807"/>
      </w:tblGrid>
      <w:tr w14:paraId="33B50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416" w:type="pct"/>
          </w:tcPr>
          <w:p w14:paraId="77BF6231">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bookmarkStart w:id="1480" w:name="variable5OKxrL_billentry"/>
            <w:bookmarkStart w:id="1481" w:name="_Toc227055358"/>
            <w:r>
              <w:rPr>
                <w:rFonts w:hint="eastAsia" w:ascii="宋体" w:hAnsi="宋体" w:eastAsia="宋体" w:cs="宋体"/>
                <w:b w:val="0"/>
                <w:bCs w:val="0"/>
                <w:sz w:val="20"/>
                <w:szCs w:val="20"/>
                <w:vertAlign w:val="baseline"/>
                <w:lang w:val="en-US" w:eastAsia="zh-CN"/>
              </w:rPr>
              <w:t>序号</w:t>
            </w:r>
          </w:p>
        </w:tc>
        <w:tc>
          <w:tcPr>
            <w:tcW w:w="416" w:type="pct"/>
          </w:tcPr>
          <w:p w14:paraId="3D47F3DD">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物料编码</w:t>
            </w:r>
          </w:p>
        </w:tc>
        <w:tc>
          <w:tcPr>
            <w:tcW w:w="416" w:type="pct"/>
          </w:tcPr>
          <w:p w14:paraId="314E42A9">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物料名称</w:t>
            </w:r>
          </w:p>
        </w:tc>
        <w:tc>
          <w:tcPr>
            <w:tcW w:w="416" w:type="pct"/>
          </w:tcPr>
          <w:p w14:paraId="43E61546">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规格型号</w:t>
            </w:r>
          </w:p>
        </w:tc>
        <w:tc>
          <w:tcPr>
            <w:tcW w:w="416" w:type="pct"/>
          </w:tcPr>
          <w:p w14:paraId="3D99F08E">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数量</w:t>
            </w:r>
          </w:p>
        </w:tc>
        <w:tc>
          <w:tcPr>
            <w:tcW w:w="416" w:type="pct"/>
          </w:tcPr>
          <w:p w14:paraId="54A047F4">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计量单位</w:t>
            </w:r>
          </w:p>
        </w:tc>
        <w:tc>
          <w:tcPr>
            <w:tcW w:w="416" w:type="pct"/>
          </w:tcPr>
          <w:p w14:paraId="4FCAF9F0">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单价</w:t>
            </w:r>
          </w:p>
        </w:tc>
        <w:tc>
          <w:tcPr>
            <w:tcW w:w="416" w:type="pct"/>
          </w:tcPr>
          <w:p w14:paraId="708118CB">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税率(%)</w:t>
            </w:r>
          </w:p>
        </w:tc>
        <w:tc>
          <w:tcPr>
            <w:tcW w:w="416" w:type="pct"/>
          </w:tcPr>
          <w:p w14:paraId="5A8979E3">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含税单价</w:t>
            </w:r>
          </w:p>
        </w:tc>
        <w:tc>
          <w:tcPr>
            <w:tcW w:w="417" w:type="pct"/>
          </w:tcPr>
          <w:p w14:paraId="48611BDA">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金额</w:t>
            </w:r>
          </w:p>
        </w:tc>
        <w:tc>
          <w:tcPr>
            <w:tcW w:w="417" w:type="pct"/>
          </w:tcPr>
          <w:p w14:paraId="088AE1D8">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价税合计</w:t>
            </w:r>
          </w:p>
        </w:tc>
        <w:tc>
          <w:tcPr>
            <w:tcW w:w="417" w:type="pct"/>
          </w:tcPr>
          <w:p w14:paraId="07253664">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交货日期</w:t>
            </w:r>
          </w:p>
        </w:tc>
      </w:tr>
      <w:tr w14:paraId="75E7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416" w:type="pct"/>
          </w:tcPr>
          <w:p w14:paraId="2030FCC5">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r>
              <w:rPr>
                <w:rFonts w:hint="eastAsia" w:ascii="宋体" w:hAnsi="宋体" w:eastAsia="宋体" w:cs="宋体"/>
                <w:b w:val="0"/>
                <w:bCs w:val="0"/>
                <w:sz w:val="20"/>
                <w:szCs w:val="20"/>
                <w:vertAlign w:val="baseline"/>
                <w:lang w:val="en-US" w:eastAsia="zh-CN"/>
              </w:rPr>
              <w:t>1</w:t>
            </w:r>
          </w:p>
        </w:tc>
        <w:tc>
          <w:tcPr>
            <w:tcW w:w="416" w:type="pct"/>
          </w:tcPr>
          <w:p w14:paraId="1DF0C488">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6" w:type="pct"/>
          </w:tcPr>
          <w:p w14:paraId="70AFEBDD">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6" w:type="pct"/>
          </w:tcPr>
          <w:p w14:paraId="471CD12E">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6" w:type="pct"/>
          </w:tcPr>
          <w:p w14:paraId="2C885B4F">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6" w:type="pct"/>
          </w:tcPr>
          <w:p w14:paraId="03B67825">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6" w:type="pct"/>
          </w:tcPr>
          <w:p w14:paraId="7161C053">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6" w:type="pct"/>
          </w:tcPr>
          <w:p w14:paraId="380A35FD">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6" w:type="pct"/>
          </w:tcPr>
          <w:p w14:paraId="2EB2EE27">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7" w:type="pct"/>
          </w:tcPr>
          <w:p w14:paraId="5FCA86C2">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7" w:type="pct"/>
          </w:tcPr>
          <w:p w14:paraId="45D6B8F7">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c>
          <w:tcPr>
            <w:tcW w:w="417" w:type="pct"/>
          </w:tcPr>
          <w:p w14:paraId="4B22483B">
            <w:pPr>
              <w:keepNext w:val="0"/>
              <w:keepLines w:val="0"/>
              <w:pageBreakBefore w:val="0"/>
              <w:widowControl w:val="0"/>
              <w:kinsoku/>
              <w:wordWrap w:val="0"/>
              <w:overflowPunct/>
              <w:topLinePunct w:val="0"/>
              <w:autoSpaceDE/>
              <w:autoSpaceDN/>
              <w:bidi w:val="0"/>
              <w:adjustRightInd w:val="0"/>
              <w:snapToGrid w:val="0"/>
              <w:ind w:firstLine="0" w:firstLineChars="0"/>
              <w:textAlignment w:val="auto"/>
              <w:rPr>
                <w:rFonts w:hint="eastAsia" w:ascii="宋体" w:hAnsi="宋体" w:eastAsia="宋体" w:cs="宋体"/>
                <w:b w:val="0"/>
                <w:bCs w:val="0"/>
                <w:sz w:val="20"/>
                <w:szCs w:val="20"/>
                <w:vertAlign w:val="baseline"/>
                <w:lang w:val="en-US" w:eastAsia="zh-CN"/>
              </w:rPr>
            </w:pPr>
          </w:p>
        </w:tc>
      </w:tr>
      <w:bookmarkEnd w:id="1480"/>
    </w:tbl>
    <w:p w14:paraId="2CDAC394">
      <w:pPr>
        <w:pStyle w:val="26"/>
        <w:rPr>
          <w:rFonts w:hint="eastAsia"/>
        </w:rPr>
      </w:pPr>
    </w:p>
    <w:p w14:paraId="35E97AEF">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合计：</w:t>
      </w:r>
      <w:bookmarkStart w:id="1482" w:name="variableiVMteX_totalallamount"/>
      <w:r>
        <w:rPr>
          <w:rFonts w:hint="eastAsia" w:ascii="宋体" w:hAnsi="宋体" w:eastAsia="宋体" w:cs="宋体"/>
          <w:b w:val="0"/>
          <w:bCs w:val="0"/>
          <w:sz w:val="24"/>
          <w:szCs w:val="24"/>
          <w:lang w:val="en-US" w:eastAsia="zh-CN"/>
        </w:rPr>
        <w:t>￥</w:t>
      </w:r>
      <w:bookmarkEnd w:id="1482"/>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 xml:space="preserve">           大写金额：</w:t>
      </w:r>
    </w:p>
    <w:p w14:paraId="1AC0D1D0">
      <w:pPr>
        <w:spacing w:line="400" w:lineRule="exact"/>
        <w:contextualSpacing/>
        <w:rPr>
          <w:rFonts w:hint="eastAsia" w:asciiTheme="minorEastAsia" w:hAnsiTheme="minorEastAsia" w:eastAsiaTheme="minorEastAsia" w:cstheme="minorEastAsia"/>
          <w:sz w:val="24"/>
        </w:rPr>
      </w:pPr>
      <w:bookmarkStart w:id="1483" w:name="_Toc1302"/>
      <w:bookmarkStart w:id="1484" w:name="_Toc17746576"/>
      <w:bookmarkStart w:id="1485" w:name="_Toc13200"/>
      <w:bookmarkStart w:id="1486" w:name="_Toc503297202"/>
      <w:bookmarkStart w:id="1487" w:name="_Toc503510932"/>
      <w:bookmarkStart w:id="1488" w:name="_Toc15893"/>
      <w:r>
        <w:rPr>
          <w:rFonts w:hint="eastAsia" w:asciiTheme="minorEastAsia" w:hAnsiTheme="minorEastAsia" w:eastAsiaTheme="minorEastAsia" w:cstheme="minorEastAsia"/>
          <w:sz w:val="24"/>
        </w:rPr>
        <w:t>第二条 合同签订依据与执行标准：</w:t>
      </w:r>
    </w:p>
    <w:p w14:paraId="0463BEAA">
      <w:pPr>
        <w:spacing w:line="400" w:lineRule="exact"/>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2.1、本合同依据双方签订的</w:t>
      </w:r>
      <w:bookmarkStart w:id="1489" w:name="variable97VpGV_cqkd_mulcombofield"/>
      <w:r>
        <w:rPr>
          <w:rFonts w:hint="eastAsia" w:asciiTheme="minorEastAsia" w:hAnsiTheme="minorEastAsia" w:eastAsiaTheme="minorEastAsia" w:cstheme="minorEastAsia"/>
          <w:sz w:val="24"/>
          <w:lang w:eastAsia="zh-CN"/>
        </w:rPr>
        <w:t xml:space="preserve">    </w:t>
      </w:r>
      <w:bookmarkEnd w:id="1489"/>
      <w:r>
        <w:rPr>
          <w:rFonts w:hint="eastAsia" w:asciiTheme="minorEastAsia" w:hAnsiTheme="minorEastAsia" w:eastAsiaTheme="minorEastAsia" w:cstheme="minorEastAsia"/>
          <w:sz w:val="24"/>
        </w:rPr>
        <w:t>等文件执行。双方签订的文件</w:t>
      </w:r>
      <w:bookmarkStart w:id="1490" w:name="variableSQXrvZ_cqkd_textareafield8"/>
      <w:r>
        <w:rPr>
          <w:rFonts w:hint="eastAsia" w:asciiTheme="minorEastAsia" w:hAnsiTheme="minorEastAsia" w:eastAsiaTheme="minorEastAsia" w:cstheme="minorEastAsia"/>
          <w:sz w:val="24"/>
          <w:lang w:val="en-US" w:eastAsia="zh-CN"/>
        </w:rPr>
        <w:t xml:space="preserve">    </w:t>
      </w:r>
      <w:bookmarkEnd w:id="1490"/>
      <w:r>
        <w:rPr>
          <w:rFonts w:hint="eastAsia" w:asciiTheme="minorEastAsia" w:hAnsiTheme="minorEastAsia" w:eastAsiaTheme="minorEastAsia" w:cstheme="minorEastAsia"/>
          <w:sz w:val="24"/>
        </w:rPr>
        <w:t>。</w:t>
      </w:r>
    </w:p>
    <w:p w14:paraId="42ECEA3F">
      <w:pPr>
        <w:spacing w:line="400" w:lineRule="exact"/>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2.2、出卖人所供标的物必须为正规渠道的合法产品，出卖人需保证买受人使用其产品时，不受到第三方关于侵犯涉及工艺、方法、技术资料、软件、专利、外协产品等知识产权方面的指控，如果任何第三方提出侵权指控，出卖人必须承担由此产生的一切索赔和责任，并承担买受人在这期间的所有损失。出卖人根据买受人提供的图纸、技术协议等定制的标的物，必须严格按照买受人要求制作，因出卖人不按要求制作标的物给买受人造成的损失由出卖人承担。</w:t>
      </w:r>
    </w:p>
    <w:p w14:paraId="0C033E95">
      <w:pPr>
        <w:spacing w:line="400" w:lineRule="exact"/>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2.3、本合同约定条款与双方签订的其他有关文件约定不一致时，以签订时间在后的条款执行。</w:t>
      </w:r>
    </w:p>
    <w:p w14:paraId="37E0BC58">
      <w:pPr>
        <w:spacing w:line="400" w:lineRule="exact"/>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2.4、当国家标准、行业标准与本合同约定标准不一致时，按技术、质量等要求最严的标准执行。</w:t>
      </w:r>
    </w:p>
    <w:p w14:paraId="5316518F">
      <w:pPr>
        <w:spacing w:line="400" w:lineRule="exact"/>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2.5</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出卖人需遵守相关环境保护、职业健康和安全法律法规的要求，所供产品及服务需按买受人要求送至指定地点，且不得在买受人指定的收货、存放场所内造成环境污染、安全事故。如出卖人通过第三方运送货物，因承运人未遵守上述要求对买受人造成损失的，出卖人承担连带责任。</w:t>
      </w:r>
    </w:p>
    <w:p w14:paraId="45BE6B80">
      <w:pPr>
        <w:spacing w:line="400" w:lineRule="exact"/>
        <w:ind w:firstLine="480" w:firstLineChars="200"/>
        <w:contextualSpacing/>
        <w:rPr>
          <w:rFonts w:hint="eastAsia" w:asciiTheme="minorEastAsia" w:hAnsiTheme="minorEastAsia" w:eastAsiaTheme="minorEastAsia" w:cstheme="minorEastAsia"/>
          <w:sz w:val="24"/>
        </w:rPr>
      </w:pPr>
      <w:bookmarkStart w:id="1491" w:name="_Toc1551"/>
      <w:bookmarkStart w:id="1492" w:name="_Toc24290"/>
      <w:bookmarkStart w:id="1493" w:name="_Toc4575"/>
      <w:r>
        <w:rPr>
          <w:rFonts w:hint="eastAsia" w:asciiTheme="minorEastAsia" w:hAnsiTheme="minorEastAsia" w:eastAsiaTheme="minorEastAsia" w:cstheme="minorEastAsia"/>
          <w:sz w:val="24"/>
          <w:lang w:val="en-US" w:eastAsia="zh-CN"/>
        </w:rPr>
        <w:t>2.6、</w:t>
      </w:r>
      <w:r>
        <w:rPr>
          <w:rFonts w:hint="eastAsia" w:asciiTheme="minorEastAsia" w:hAnsiTheme="minorEastAsia" w:eastAsiaTheme="minorEastAsia" w:cstheme="minorEastAsia"/>
          <w:sz w:val="24"/>
        </w:rPr>
        <w:t>合同履约保证金</w:t>
      </w:r>
      <w:bookmarkEnd w:id="1491"/>
      <w:bookmarkEnd w:id="1492"/>
      <w:bookmarkEnd w:id="1493"/>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出卖人</w:t>
      </w:r>
      <w:r>
        <w:rPr>
          <w:rFonts w:hint="eastAsia" w:asciiTheme="minorEastAsia" w:hAnsiTheme="minorEastAsia" w:eastAsiaTheme="minorEastAsia" w:cstheme="minorEastAsia"/>
          <w:sz w:val="24"/>
        </w:rPr>
        <w:t>需在合同签订后15个工作日内向买方提交合同价的10%（金额大写：人民币元整，金额小写：元）的履约保证金。履约保证金在终验收合格后15个工作日内无息退还。</w:t>
      </w:r>
    </w:p>
    <w:p w14:paraId="431D0882">
      <w:pPr>
        <w:pStyle w:val="26"/>
        <w:rPr>
          <w:rFonts w:hint="eastAsia"/>
        </w:rPr>
      </w:pPr>
    </w:p>
    <w:bookmarkEnd w:id="1481"/>
    <w:bookmarkEnd w:id="1483"/>
    <w:bookmarkEnd w:id="1484"/>
    <w:bookmarkEnd w:id="1485"/>
    <w:bookmarkEnd w:id="1486"/>
    <w:bookmarkEnd w:id="1487"/>
    <w:bookmarkEnd w:id="1488"/>
    <w:p w14:paraId="27FA779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Theme="minorEastAsia" w:hAnsiTheme="minorEastAsia" w:eastAsiaTheme="minorEastAsia" w:cstheme="minorEastAsia"/>
          <w:kern w:val="0"/>
          <w:sz w:val="24"/>
          <w:shd w:val="clear" w:color="auto" w:fill="FFFFFF"/>
        </w:rPr>
      </w:pPr>
      <w:bookmarkStart w:id="1494" w:name="_Toc227055360"/>
      <w:r>
        <w:rPr>
          <w:rFonts w:hint="eastAsia" w:asciiTheme="minorEastAsia" w:hAnsiTheme="minorEastAsia" w:eastAsiaTheme="minorEastAsia" w:cstheme="minorEastAsia"/>
          <w:kern w:val="0"/>
          <w:sz w:val="24"/>
          <w:shd w:val="clear" w:color="auto" w:fill="FFFFFF"/>
        </w:rPr>
        <w:t>第三条 货物验收及质保：</w:t>
      </w:r>
    </w:p>
    <w:p w14:paraId="6655B12D">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3.1、</w:t>
      </w:r>
      <w:r>
        <w:rPr>
          <w:rFonts w:hint="eastAsia" w:asciiTheme="minorEastAsia" w:hAnsiTheme="minorEastAsia" w:eastAsiaTheme="minorEastAsia" w:cstheme="minorEastAsia"/>
          <w:sz w:val="24"/>
          <w:lang w:val="en-US" w:eastAsia="zh-CN"/>
        </w:rPr>
        <w:t>出卖人</w:t>
      </w:r>
      <w:r>
        <w:rPr>
          <w:rFonts w:hint="eastAsia" w:asciiTheme="minorEastAsia" w:hAnsiTheme="minorEastAsia" w:eastAsiaTheme="minorEastAsia" w:cstheme="minorEastAsia"/>
          <w:kern w:val="0"/>
          <w:sz w:val="24"/>
          <w:shd w:val="clear" w:color="auto" w:fill="FFFFFF"/>
        </w:rPr>
        <w:t>应于合同生效后</w:t>
      </w:r>
      <w:r>
        <w:rPr>
          <w:rFonts w:hint="eastAsia" w:asciiTheme="minorEastAsia" w:hAnsiTheme="minorEastAsia" w:eastAsiaTheme="minorEastAsia" w:cstheme="minorEastAsia"/>
          <w:kern w:val="0"/>
          <w:sz w:val="24"/>
          <w:u w:val="single"/>
          <w:shd w:val="clear" w:color="auto" w:fill="FFFFFF"/>
        </w:rPr>
        <w:t xml:space="preserve">    </w:t>
      </w:r>
      <w:r>
        <w:rPr>
          <w:rFonts w:hint="eastAsia" w:asciiTheme="minorEastAsia" w:hAnsiTheme="minorEastAsia" w:eastAsiaTheme="minorEastAsia" w:cstheme="minorEastAsia"/>
          <w:kern w:val="0"/>
          <w:sz w:val="24"/>
          <w:shd w:val="clear" w:color="auto" w:fill="FFFFFF"/>
        </w:rPr>
        <w:t>个</w:t>
      </w:r>
      <w:r>
        <w:rPr>
          <w:rFonts w:hint="eastAsia" w:asciiTheme="minorEastAsia" w:hAnsiTheme="minorEastAsia" w:eastAsiaTheme="minorEastAsia" w:cstheme="minorEastAsia"/>
          <w:kern w:val="0"/>
          <w:sz w:val="24"/>
          <w:shd w:val="clear" w:color="auto" w:fill="FFFFFF"/>
          <w:lang w:val="en-US" w:eastAsia="zh-CN"/>
        </w:rPr>
        <w:t>日</w:t>
      </w:r>
      <w:r>
        <w:rPr>
          <w:rFonts w:hint="eastAsia" w:asciiTheme="minorEastAsia" w:hAnsiTheme="minorEastAsia" w:eastAsiaTheme="minorEastAsia" w:cstheme="minorEastAsia"/>
          <w:kern w:val="0"/>
          <w:sz w:val="24"/>
          <w:shd w:val="clear" w:color="auto" w:fill="FFFFFF"/>
        </w:rPr>
        <w:t>内到货。货到买方建设地点后    个工作日内安装调试完毕。因买方安装条件不符合要求，可按买方造成的实际延迟时间顺延安装调试期。</w:t>
      </w:r>
    </w:p>
    <w:p w14:paraId="3B0AB4BF">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lang w:val="en-US" w:eastAsia="zh-CN"/>
        </w:rPr>
        <w:t>3.2、</w:t>
      </w:r>
      <w:r>
        <w:rPr>
          <w:rFonts w:hint="eastAsia" w:asciiTheme="minorEastAsia" w:hAnsiTheme="minorEastAsia" w:eastAsiaTheme="minorEastAsia" w:cstheme="minorEastAsia"/>
          <w:kern w:val="0"/>
          <w:sz w:val="24"/>
          <w:shd w:val="clear" w:color="auto" w:fill="FFFFFF"/>
        </w:rPr>
        <w:t>货物到达买受人指定地点后，买受人按第一条、第二条及第四条约定先行进行数量及外观验收，之后根据前述约定及产品的特性，完成质量验收。</w:t>
      </w:r>
    </w:p>
    <w:p w14:paraId="78E6D007">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3.</w:t>
      </w:r>
      <w:r>
        <w:rPr>
          <w:rFonts w:hint="eastAsia" w:asciiTheme="minorEastAsia" w:hAnsiTheme="minorEastAsia" w:eastAsiaTheme="minorEastAsia" w:cstheme="minorEastAsia"/>
          <w:kern w:val="0"/>
          <w:sz w:val="24"/>
          <w:shd w:val="clear" w:color="auto" w:fill="FFFFFF"/>
          <w:lang w:val="en-US" w:eastAsia="zh-CN"/>
        </w:rPr>
        <w:t>3</w:t>
      </w:r>
      <w:r>
        <w:rPr>
          <w:rFonts w:hint="eastAsia" w:asciiTheme="minorEastAsia" w:hAnsiTheme="minorEastAsia" w:eastAsiaTheme="minorEastAsia" w:cstheme="minorEastAsia"/>
          <w:kern w:val="0"/>
          <w:sz w:val="24"/>
          <w:shd w:val="clear" w:color="auto" w:fill="FFFFFF"/>
        </w:rPr>
        <w:t>、质保期</w:t>
      </w:r>
      <w:bookmarkStart w:id="1495" w:name="variableoPP30v_cqkd_warrantyperiod"/>
      <w:r>
        <w:rPr>
          <w:rFonts w:hint="eastAsia" w:asciiTheme="minorEastAsia" w:hAnsiTheme="minorEastAsia" w:eastAsiaTheme="minorEastAsia" w:cstheme="minorEastAsia"/>
          <w:kern w:val="0"/>
          <w:sz w:val="24"/>
          <w:shd w:val="clear" w:color="auto" w:fill="FFFFFF"/>
          <w:lang w:eastAsia="zh-CN"/>
        </w:rPr>
        <w:t>12</w:t>
      </w:r>
      <w:bookmarkEnd w:id="1495"/>
      <w:r>
        <w:rPr>
          <w:rFonts w:hint="eastAsia" w:asciiTheme="minorEastAsia" w:hAnsiTheme="minorEastAsia" w:eastAsiaTheme="minorEastAsia" w:cstheme="minorEastAsia"/>
          <w:kern w:val="0"/>
          <w:sz w:val="24"/>
          <w:shd w:val="clear" w:color="auto" w:fill="FFFFFF"/>
        </w:rPr>
        <w:t>月，自货物验收合格之日时起算。</w:t>
      </w:r>
    </w:p>
    <w:p w14:paraId="2F1FE4DA">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3.</w:t>
      </w:r>
      <w:r>
        <w:rPr>
          <w:rFonts w:hint="eastAsia" w:asciiTheme="minorEastAsia" w:hAnsiTheme="minorEastAsia" w:eastAsiaTheme="minorEastAsia" w:cstheme="minorEastAsia"/>
          <w:kern w:val="0"/>
          <w:sz w:val="24"/>
          <w:shd w:val="clear" w:color="auto" w:fill="FFFFFF"/>
          <w:lang w:val="en-US" w:eastAsia="zh-CN"/>
        </w:rPr>
        <w:t>4</w:t>
      </w:r>
      <w:r>
        <w:rPr>
          <w:rFonts w:hint="eastAsia" w:asciiTheme="minorEastAsia" w:hAnsiTheme="minorEastAsia" w:eastAsiaTheme="minorEastAsia" w:cstheme="minorEastAsia"/>
          <w:kern w:val="0"/>
          <w:sz w:val="24"/>
          <w:shd w:val="clear" w:color="auto" w:fill="FFFFFF"/>
        </w:rPr>
        <w:t>、标的物</w:t>
      </w:r>
      <w:bookmarkStart w:id="1496" w:name="variablethumVW_cqkd_combofield1"/>
      <w:r>
        <w:rPr>
          <w:rFonts w:hint="eastAsia" w:asciiTheme="minorEastAsia" w:hAnsiTheme="minorEastAsia" w:eastAsiaTheme="minorEastAsia" w:cstheme="minorEastAsia"/>
          <w:kern w:val="0"/>
          <w:sz w:val="24"/>
          <w:shd w:val="clear" w:color="auto" w:fill="FFFFFF"/>
          <w:lang w:eastAsia="zh-CN"/>
        </w:rPr>
        <w:t>交付</w:t>
      </w:r>
      <w:bookmarkEnd w:id="1496"/>
      <w:r>
        <w:rPr>
          <w:rFonts w:hint="eastAsia" w:asciiTheme="minorEastAsia" w:hAnsiTheme="minorEastAsia" w:eastAsiaTheme="minorEastAsia" w:cstheme="minorEastAsia"/>
          <w:kern w:val="0"/>
          <w:sz w:val="24"/>
          <w:shd w:val="clear" w:color="auto" w:fill="FFFFFF"/>
        </w:rPr>
        <w:t>，标的物毁损、灭失的风险自标的物所有权转移时起由买受人承担。</w:t>
      </w:r>
    </w:p>
    <w:p w14:paraId="36C9A55A">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3.</w:t>
      </w:r>
      <w:r>
        <w:rPr>
          <w:rFonts w:hint="eastAsia" w:asciiTheme="minorEastAsia" w:hAnsiTheme="minorEastAsia" w:eastAsiaTheme="minorEastAsia" w:cstheme="minorEastAsia"/>
          <w:kern w:val="0"/>
          <w:sz w:val="24"/>
          <w:shd w:val="clear" w:color="auto" w:fill="FFFFFF"/>
          <w:lang w:val="en-US" w:eastAsia="zh-CN"/>
        </w:rPr>
        <w:t>5</w:t>
      </w:r>
      <w:r>
        <w:rPr>
          <w:rFonts w:hint="eastAsia" w:asciiTheme="minorEastAsia" w:hAnsiTheme="minorEastAsia" w:eastAsiaTheme="minorEastAsia" w:cstheme="minorEastAsia"/>
          <w:kern w:val="0"/>
          <w:sz w:val="24"/>
          <w:shd w:val="clear" w:color="auto" w:fill="FFFFFF"/>
        </w:rPr>
        <w:t>、在质保期内因标的物自身问题造成买受人无法正常使用的，由出卖人负责维修、费用由出卖人承担。出卖人在收到买受人通知后，应在4小时内给予响应，24小时内到达现场，到达现场后1小时内予以解决；维修时间超过</w:t>
      </w:r>
      <w:bookmarkStart w:id="1497" w:name="variableYQrlrM_cqkd_repairtime"/>
      <w:r>
        <w:rPr>
          <w:rFonts w:hint="eastAsia" w:asciiTheme="minorEastAsia" w:hAnsiTheme="minorEastAsia" w:eastAsiaTheme="minorEastAsia" w:cstheme="minorEastAsia"/>
          <w:kern w:val="0"/>
          <w:sz w:val="24"/>
          <w:shd w:val="clear" w:color="auto" w:fill="FFFFFF"/>
          <w:lang w:eastAsia="zh-CN"/>
        </w:rPr>
        <w:t xml:space="preserve">   </w:t>
      </w:r>
      <w:r>
        <w:rPr>
          <w:rFonts w:hint="eastAsia" w:asciiTheme="minorEastAsia" w:hAnsiTheme="minorEastAsia" w:eastAsiaTheme="minorEastAsia" w:cstheme="minorEastAsia"/>
          <w:kern w:val="0"/>
          <w:sz w:val="24"/>
          <w:shd w:val="clear" w:color="auto" w:fill="FFFFFF"/>
          <w:lang w:val="en-US" w:eastAsia="zh-CN"/>
        </w:rPr>
        <w:t xml:space="preserve">  </w:t>
      </w:r>
      <w:r>
        <w:rPr>
          <w:rFonts w:hint="eastAsia" w:asciiTheme="minorEastAsia" w:hAnsiTheme="minorEastAsia" w:eastAsiaTheme="minorEastAsia" w:cstheme="minorEastAsia"/>
          <w:kern w:val="0"/>
          <w:sz w:val="24"/>
          <w:shd w:val="clear" w:color="auto" w:fill="FFFFFF"/>
          <w:lang w:eastAsia="zh-CN"/>
        </w:rPr>
        <w:t xml:space="preserve"> </w:t>
      </w:r>
      <w:bookmarkEnd w:id="1497"/>
      <w:r>
        <w:rPr>
          <w:rFonts w:hint="eastAsia" w:asciiTheme="minorEastAsia" w:hAnsiTheme="minorEastAsia" w:eastAsiaTheme="minorEastAsia" w:cstheme="minorEastAsia"/>
          <w:kern w:val="0"/>
          <w:sz w:val="24"/>
          <w:shd w:val="clear" w:color="auto" w:fill="FFFFFF"/>
        </w:rPr>
        <w:t>天的，出卖人应提供备品给买受人使用，且在双方约定时间内排除故障、恢复正常并交付买受人使用，故障解决后，质保期重新计算。</w:t>
      </w:r>
    </w:p>
    <w:p w14:paraId="77B53F11">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维修后仍无法正常使用或无法进行维修的，出卖人应在24小时内负责调换，费用由出卖人承担；调换的产品应满足第一条、第二条及第四条约定或双方另行书面约定；调换后，质保期重新计算。</w:t>
      </w:r>
    </w:p>
    <w:p w14:paraId="323FA93F">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如出卖人未能按约到达现场或恢复正常，视为违约，出卖人应向买受人支付违约金</w:t>
      </w:r>
      <w:bookmarkStart w:id="1498" w:name="variableGwzV5H_cqkd_textareafield1"/>
      <w:r>
        <w:rPr>
          <w:rFonts w:hint="eastAsia" w:asciiTheme="minorEastAsia" w:hAnsiTheme="minorEastAsia" w:eastAsiaTheme="minorEastAsia" w:cstheme="minorEastAsia"/>
          <w:kern w:val="0"/>
          <w:sz w:val="24"/>
          <w:shd w:val="clear" w:color="auto" w:fill="FFFFFF"/>
          <w:lang w:eastAsia="zh-CN"/>
        </w:rPr>
        <w:t xml:space="preserve">    </w:t>
      </w:r>
      <w:bookmarkEnd w:id="1498"/>
      <w:r>
        <w:rPr>
          <w:rFonts w:hint="eastAsia" w:asciiTheme="minorEastAsia" w:hAnsiTheme="minorEastAsia" w:eastAsiaTheme="minorEastAsia" w:cstheme="minorEastAsia"/>
          <w:kern w:val="0"/>
          <w:sz w:val="24"/>
          <w:shd w:val="clear" w:color="auto" w:fill="FFFFFF"/>
        </w:rPr>
        <w:t>/每次，若买受人在恢复正常前产生的直接和间接经济损失超过该违约金的，差额由出卖人负责补足。若因出卖人产品的质量问题，导致买受人被用户索赔的，出卖人须赔偿买受人的相应损失。</w:t>
      </w:r>
    </w:p>
    <w:p w14:paraId="30B544AB">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3.</w:t>
      </w:r>
      <w:r>
        <w:rPr>
          <w:rFonts w:hint="eastAsia" w:asciiTheme="minorEastAsia" w:hAnsiTheme="minorEastAsia" w:eastAsiaTheme="minorEastAsia" w:cstheme="minorEastAsia"/>
          <w:kern w:val="0"/>
          <w:sz w:val="24"/>
          <w:shd w:val="clear" w:color="auto" w:fill="FFFFFF"/>
          <w:lang w:val="en-US" w:eastAsia="zh-CN"/>
        </w:rPr>
        <w:t>6</w:t>
      </w:r>
      <w:r>
        <w:rPr>
          <w:rFonts w:hint="eastAsia" w:asciiTheme="minorEastAsia" w:hAnsiTheme="minorEastAsia" w:eastAsiaTheme="minorEastAsia" w:cstheme="minorEastAsia"/>
          <w:kern w:val="0"/>
          <w:sz w:val="24"/>
          <w:shd w:val="clear" w:color="auto" w:fill="FFFFFF"/>
        </w:rPr>
        <w:t>、质保期外出现质量问题出卖人协助买受人维修维护，按成本收取费用。</w:t>
      </w:r>
    </w:p>
    <w:p w14:paraId="23B79CF0">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3.</w:t>
      </w:r>
      <w:r>
        <w:rPr>
          <w:rFonts w:hint="eastAsia" w:asciiTheme="minorEastAsia" w:hAnsiTheme="minorEastAsia" w:eastAsiaTheme="minorEastAsia" w:cstheme="minorEastAsia"/>
          <w:kern w:val="0"/>
          <w:sz w:val="24"/>
          <w:shd w:val="clear" w:color="auto" w:fill="FFFFFF"/>
          <w:lang w:val="en-US" w:eastAsia="zh-CN"/>
        </w:rPr>
        <w:t>7</w:t>
      </w:r>
      <w:r>
        <w:rPr>
          <w:rFonts w:hint="eastAsia" w:asciiTheme="minorEastAsia" w:hAnsiTheme="minorEastAsia" w:eastAsiaTheme="minorEastAsia" w:cstheme="minorEastAsia"/>
          <w:kern w:val="0"/>
          <w:sz w:val="24"/>
          <w:shd w:val="clear" w:color="auto" w:fill="FFFFFF"/>
        </w:rPr>
        <w:t>、合同</w:t>
      </w:r>
      <w:r>
        <w:rPr>
          <w:rFonts w:hint="eastAsia" w:asciiTheme="minorEastAsia" w:hAnsiTheme="minorEastAsia" w:eastAsiaTheme="minorEastAsia" w:cstheme="minorEastAsia"/>
          <w:kern w:val="0"/>
          <w:sz w:val="24"/>
          <w:shd w:val="clear" w:color="auto" w:fill="FFFFFF"/>
          <w:lang w:val="en-US" w:eastAsia="zh-CN"/>
        </w:rPr>
        <w:t>总额</w:t>
      </w:r>
      <w:bookmarkStart w:id="1499" w:name="variableBRXJPe_1783329901769"/>
      <w:r>
        <w:rPr>
          <w:rFonts w:hint="eastAsia" w:asciiTheme="minorEastAsia" w:hAnsiTheme="minorEastAsia" w:eastAsiaTheme="minorEastAsia" w:cstheme="minorEastAsia"/>
          <w:kern w:val="0"/>
          <w:sz w:val="24"/>
          <w:shd w:val="clear" w:color="auto" w:fill="FFFFFF"/>
          <w:lang w:val="en-US" w:eastAsia="zh-CN"/>
        </w:rPr>
        <w:t xml:space="preserve">    </w:t>
      </w:r>
      <w:bookmarkEnd w:id="1499"/>
      <w:r>
        <w:rPr>
          <w:rFonts w:hint="eastAsia" w:asciiTheme="minorEastAsia" w:hAnsiTheme="minorEastAsia" w:eastAsiaTheme="minorEastAsia" w:cstheme="minorEastAsia"/>
          <w:kern w:val="0"/>
          <w:sz w:val="24"/>
          <w:shd w:val="clear" w:color="auto" w:fill="FFFFFF"/>
          <w:lang w:val="en-US" w:eastAsia="zh-CN"/>
        </w:rPr>
        <w:t>为质保金，质保</w:t>
      </w:r>
      <w:r>
        <w:rPr>
          <w:rFonts w:hint="eastAsia" w:asciiTheme="minorEastAsia" w:hAnsiTheme="minorEastAsia" w:eastAsiaTheme="minorEastAsia" w:cstheme="minorEastAsia"/>
          <w:kern w:val="0"/>
          <w:sz w:val="24"/>
          <w:shd w:val="clear" w:color="auto" w:fill="FFFFFF"/>
        </w:rPr>
        <w:t>期满</w:t>
      </w:r>
      <w:r>
        <w:rPr>
          <w:rFonts w:hint="eastAsia" w:asciiTheme="minorEastAsia" w:hAnsiTheme="minorEastAsia" w:eastAsiaTheme="minorEastAsia" w:cstheme="minorEastAsia"/>
          <w:kern w:val="0"/>
          <w:sz w:val="24"/>
          <w:shd w:val="clear" w:color="auto" w:fill="FFFFFF"/>
          <w:lang w:val="en-US" w:eastAsia="zh-CN"/>
        </w:rPr>
        <w:t>后60日内买受人付清给出卖人，不计利息，现金支付</w:t>
      </w:r>
      <w:r>
        <w:rPr>
          <w:rFonts w:hint="eastAsia" w:asciiTheme="minorEastAsia" w:hAnsiTheme="minorEastAsia" w:eastAsiaTheme="minorEastAsia" w:cstheme="minorEastAsia"/>
          <w:kern w:val="0"/>
          <w:sz w:val="24"/>
          <w:shd w:val="clear" w:color="auto" w:fill="FFFFFF"/>
        </w:rPr>
        <w:t>。</w:t>
      </w:r>
    </w:p>
    <w:bookmarkEnd w:id="1494"/>
    <w:p w14:paraId="7A425929">
      <w:pPr>
        <w:adjustRightInd w:val="0"/>
        <w:snapToGrid w:val="0"/>
        <w:spacing w:line="360" w:lineRule="auto"/>
        <w:rPr>
          <w:rFonts w:hint="eastAsia" w:asciiTheme="minorEastAsia" w:hAnsiTheme="minorEastAsia" w:eastAsiaTheme="minorEastAsia" w:cstheme="minorEastAsia"/>
          <w:kern w:val="0"/>
          <w:sz w:val="24"/>
          <w:shd w:val="clear" w:color="auto" w:fill="FFFFFF"/>
          <w:lang w:val="en-US" w:eastAsia="zh-CN"/>
        </w:rPr>
      </w:pPr>
      <w:bookmarkStart w:id="1500" w:name="_Toc503510934"/>
      <w:bookmarkStart w:id="1501" w:name="_Toc27766"/>
      <w:bookmarkStart w:id="1502" w:name="_Toc12310"/>
      <w:bookmarkStart w:id="1503" w:name="_Toc3359"/>
      <w:bookmarkStart w:id="1504" w:name="_Toc17746578"/>
      <w:bookmarkStart w:id="1505" w:name="_Toc503293856"/>
      <w:bookmarkStart w:id="1506" w:name="_Toc227055362"/>
      <w:bookmarkStart w:id="1507" w:name="_Toc503297206"/>
      <w:r>
        <w:rPr>
          <w:rFonts w:hint="eastAsia" w:asciiTheme="minorEastAsia" w:hAnsiTheme="minorEastAsia" w:eastAsiaTheme="minorEastAsia" w:cstheme="minorEastAsia"/>
          <w:kern w:val="0"/>
          <w:sz w:val="24"/>
          <w:shd w:val="clear" w:color="auto" w:fill="FFFFFF"/>
          <w:lang w:val="en-US" w:eastAsia="zh-CN"/>
        </w:rPr>
        <w:t>第四条 包装标准、包装物的提供与回收：</w:t>
      </w:r>
    </w:p>
    <w:p w14:paraId="08973C71">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lang w:val="en-US" w:eastAsia="zh-CN"/>
        </w:rPr>
      </w:pPr>
      <w:r>
        <w:rPr>
          <w:rFonts w:hint="eastAsia" w:asciiTheme="minorEastAsia" w:hAnsiTheme="minorEastAsia" w:eastAsiaTheme="minorEastAsia" w:cstheme="minorEastAsia"/>
          <w:kern w:val="0"/>
          <w:sz w:val="24"/>
          <w:shd w:val="clear" w:color="auto" w:fill="FFFFFF"/>
          <w:lang w:val="en-US" w:eastAsia="zh-CN"/>
        </w:rPr>
        <w:t>4.1、出卖人按</w:t>
      </w:r>
      <w:bookmarkStart w:id="1508" w:name="variable31oMzF_cqkd_textareafield2"/>
      <w:r>
        <w:rPr>
          <w:rFonts w:hint="eastAsia" w:asciiTheme="minorEastAsia" w:hAnsiTheme="minorEastAsia" w:eastAsiaTheme="minorEastAsia" w:cstheme="minorEastAsia"/>
          <w:kern w:val="0"/>
          <w:sz w:val="24"/>
          <w:shd w:val="clear" w:color="auto" w:fill="FFFFFF"/>
          <w:lang w:val="en-US" w:eastAsia="zh-CN"/>
        </w:rPr>
        <w:t>可充分保护产品的方式</w:t>
      </w:r>
      <w:bookmarkEnd w:id="1508"/>
      <w:r>
        <w:rPr>
          <w:rFonts w:hint="eastAsia" w:asciiTheme="minorEastAsia" w:hAnsiTheme="minorEastAsia" w:eastAsiaTheme="minorEastAsia" w:cstheme="minorEastAsia"/>
          <w:kern w:val="0"/>
          <w:sz w:val="24"/>
          <w:shd w:val="clear" w:color="auto" w:fill="FFFFFF"/>
          <w:lang w:val="en-US" w:eastAsia="zh-CN"/>
        </w:rPr>
        <w:t>进行包装，包装物由出卖人提供。</w:t>
      </w:r>
    </w:p>
    <w:p w14:paraId="6D645562">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lang w:val="en-US" w:eastAsia="zh-CN"/>
        </w:rPr>
      </w:pPr>
      <w:r>
        <w:rPr>
          <w:rFonts w:hint="eastAsia" w:asciiTheme="minorEastAsia" w:hAnsiTheme="minorEastAsia" w:eastAsiaTheme="minorEastAsia" w:cstheme="minorEastAsia"/>
          <w:kern w:val="0"/>
          <w:sz w:val="24"/>
          <w:shd w:val="clear" w:color="auto" w:fill="FFFFFF"/>
          <w:lang w:val="en-US" w:eastAsia="zh-CN"/>
        </w:rPr>
        <w:t>4.2、包装物由出卖人负责回收的，出卖人在货到验收合格后应对包装物回收</w:t>
      </w:r>
    </w:p>
    <w:p w14:paraId="0C48E853">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lang w:val="en-US" w:eastAsia="zh-CN"/>
        </w:rPr>
      </w:pPr>
      <w:r>
        <w:rPr>
          <w:rFonts w:hint="eastAsia" w:asciiTheme="minorEastAsia" w:hAnsiTheme="minorEastAsia" w:eastAsiaTheme="minorEastAsia" w:cstheme="minorEastAsia"/>
          <w:kern w:val="0"/>
          <w:sz w:val="24"/>
          <w:shd w:val="clear" w:color="auto" w:fill="FFFFFF"/>
          <w:lang w:val="en-US" w:eastAsia="zh-CN"/>
        </w:rPr>
        <w:t>4.3、买受人不承担因出卖人包装不当或违法违规造成的损失。</w:t>
      </w:r>
    </w:p>
    <w:p w14:paraId="0A8C1CDC">
      <w:pPr>
        <w:adjustRightInd w:val="0"/>
        <w:snapToGrid w:val="0"/>
        <w:spacing w:line="360" w:lineRule="auto"/>
        <w:rPr>
          <w:rFonts w:hint="eastAsia" w:asciiTheme="minorEastAsia" w:hAnsiTheme="minorEastAsia" w:eastAsiaTheme="minorEastAsia" w:cstheme="minorEastAsia"/>
          <w:kern w:val="0"/>
          <w:sz w:val="24"/>
          <w:shd w:val="clear" w:color="auto" w:fill="FFFFFF"/>
          <w:lang w:val="en-US" w:eastAsia="zh-CN"/>
        </w:rPr>
      </w:pPr>
      <w:r>
        <w:rPr>
          <w:rFonts w:hint="eastAsia" w:asciiTheme="minorEastAsia" w:hAnsiTheme="minorEastAsia" w:eastAsiaTheme="minorEastAsia" w:cstheme="minorEastAsia"/>
          <w:kern w:val="0"/>
          <w:sz w:val="24"/>
          <w:shd w:val="clear" w:color="auto" w:fill="FFFFFF"/>
          <w:lang w:val="en-US" w:eastAsia="zh-CN"/>
        </w:rPr>
        <w:t>第五条 运输方式、到达地点及费用负担：</w:t>
      </w:r>
      <w:bookmarkStart w:id="1509" w:name="variableu9cQfe_cqkd_combofield2"/>
      <w:r>
        <w:rPr>
          <w:rFonts w:hint="eastAsia" w:asciiTheme="minorEastAsia" w:hAnsiTheme="minorEastAsia" w:eastAsiaTheme="minorEastAsia" w:cstheme="minorEastAsia"/>
          <w:kern w:val="0"/>
          <w:sz w:val="24"/>
          <w:shd w:val="clear" w:color="auto" w:fill="FFFFFF"/>
          <w:lang w:val="en-US" w:eastAsia="zh-CN"/>
        </w:rPr>
        <w:t xml:space="preserve">    </w:t>
      </w:r>
      <w:bookmarkEnd w:id="1509"/>
      <w:r>
        <w:rPr>
          <w:rFonts w:hint="eastAsia" w:asciiTheme="minorEastAsia" w:hAnsiTheme="minorEastAsia" w:eastAsiaTheme="minorEastAsia" w:cstheme="minorEastAsia"/>
          <w:kern w:val="0"/>
          <w:sz w:val="24"/>
          <w:shd w:val="clear" w:color="auto" w:fill="FFFFFF"/>
          <w:lang w:val="en-US" w:eastAsia="zh-CN"/>
        </w:rPr>
        <w:t>，运输过程中的风险由出卖人承担。运输方式：</w:t>
      </w:r>
      <w:bookmarkStart w:id="1510" w:name="variableIeqnBU_cqkd_transmodel"/>
      <w:r>
        <w:rPr>
          <w:rFonts w:hint="eastAsia" w:asciiTheme="minorEastAsia" w:hAnsiTheme="minorEastAsia" w:eastAsiaTheme="minorEastAsia" w:cstheme="minorEastAsia"/>
          <w:kern w:val="0"/>
          <w:sz w:val="24"/>
          <w:shd w:val="clear" w:color="auto" w:fill="FFFFFF"/>
          <w:lang w:val="en-US" w:eastAsia="zh-CN"/>
        </w:rPr>
        <w:t>汽运</w:t>
      </w:r>
      <w:bookmarkEnd w:id="1510"/>
      <w:r>
        <w:rPr>
          <w:rFonts w:hint="eastAsia" w:asciiTheme="minorEastAsia" w:hAnsiTheme="minorEastAsia" w:eastAsiaTheme="minorEastAsia" w:cstheme="minorEastAsia"/>
          <w:kern w:val="0"/>
          <w:sz w:val="24"/>
          <w:shd w:val="clear" w:color="auto" w:fill="FFFFFF"/>
          <w:lang w:val="en-US" w:eastAsia="zh-CN"/>
        </w:rPr>
        <w:t xml:space="preserve"> 送货至：</w:t>
      </w:r>
      <w:bookmarkStart w:id="1511" w:name="variablebYVuYF_cqkd_deliveryaddr"/>
      <w:r>
        <w:rPr>
          <w:rFonts w:hint="eastAsia" w:asciiTheme="minorEastAsia" w:hAnsiTheme="minorEastAsia" w:eastAsiaTheme="minorEastAsia" w:cstheme="minorEastAsia"/>
          <w:kern w:val="0"/>
          <w:sz w:val="24"/>
          <w:shd w:val="clear" w:color="auto" w:fill="FFFFFF"/>
          <w:lang w:val="en-US" w:eastAsia="zh-CN"/>
        </w:rPr>
        <w:t>重庆市九龙坡区科城路6号</w:t>
      </w:r>
      <w:bookmarkEnd w:id="1511"/>
      <w:r>
        <w:rPr>
          <w:rFonts w:hint="eastAsia" w:asciiTheme="minorEastAsia" w:hAnsiTheme="minorEastAsia" w:eastAsiaTheme="minorEastAsia" w:cstheme="minorEastAsia"/>
          <w:kern w:val="0"/>
          <w:sz w:val="24"/>
          <w:shd w:val="clear" w:color="auto" w:fill="FFFFFF"/>
          <w:lang w:val="en-US" w:eastAsia="zh-CN"/>
        </w:rPr>
        <w:t>，收货人    ，联系方式：     。</w:t>
      </w:r>
    </w:p>
    <w:p w14:paraId="75EDFD1F">
      <w:pPr>
        <w:adjustRightInd w:val="0"/>
        <w:snapToGrid w:val="0"/>
        <w:spacing w:line="360" w:lineRule="auto"/>
        <w:rPr>
          <w:rFonts w:hint="default" w:asciiTheme="minorEastAsia" w:hAnsiTheme="minorEastAsia" w:eastAsiaTheme="minorEastAsia" w:cstheme="minorEastAsia"/>
          <w:kern w:val="0"/>
          <w:sz w:val="24"/>
          <w:shd w:val="clear" w:color="auto" w:fill="FFFFFF"/>
          <w:lang w:val="en-US" w:eastAsia="zh-CN"/>
        </w:rPr>
      </w:pPr>
      <w:r>
        <w:rPr>
          <w:rFonts w:hint="eastAsia" w:asciiTheme="minorEastAsia" w:hAnsiTheme="minorEastAsia" w:eastAsiaTheme="minorEastAsia" w:cstheme="minorEastAsia"/>
          <w:kern w:val="0"/>
          <w:sz w:val="24"/>
          <w:shd w:val="clear" w:color="auto" w:fill="FFFFFF"/>
          <w:lang w:val="en-US" w:eastAsia="zh-CN"/>
        </w:rPr>
        <w:t>第六条 结算方式、付款方式</w:t>
      </w:r>
    </w:p>
    <w:bookmarkEnd w:id="1500"/>
    <w:bookmarkEnd w:id="1501"/>
    <w:bookmarkEnd w:id="1502"/>
    <w:bookmarkEnd w:id="1503"/>
    <w:bookmarkEnd w:id="1504"/>
    <w:p w14:paraId="5827D567">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lang w:val="en-US" w:eastAsia="zh-CN"/>
        </w:rPr>
        <w:t>6.1、</w:t>
      </w:r>
      <w:r>
        <w:rPr>
          <w:rFonts w:hint="eastAsia" w:asciiTheme="minorEastAsia" w:hAnsiTheme="minorEastAsia" w:eastAsiaTheme="minorEastAsia" w:cstheme="minorEastAsia"/>
          <w:kern w:val="0"/>
          <w:sz w:val="24"/>
          <w:shd w:val="clear" w:color="auto" w:fill="FFFFFF"/>
        </w:rPr>
        <w:t>合同生效后20个工作日内，</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开具增值税专用发票（货款合同价的30%）给买方，</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收到发票后向</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预付合同价的30%货款；</w:t>
      </w:r>
    </w:p>
    <w:p w14:paraId="19331581">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lang w:val="en-US" w:eastAsia="zh-CN"/>
        </w:rPr>
        <w:t>6.2、出卖人</w:t>
      </w:r>
      <w:r>
        <w:rPr>
          <w:rFonts w:hint="eastAsia" w:asciiTheme="minorEastAsia" w:hAnsiTheme="minorEastAsia" w:eastAsiaTheme="minorEastAsia" w:cstheme="minorEastAsia"/>
          <w:kern w:val="0"/>
          <w:sz w:val="24"/>
          <w:shd w:val="clear" w:color="auto" w:fill="FFFFFF"/>
        </w:rPr>
        <w:t>制定的项目实施方案经买方书面确认后，</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开具增值税专用发票（货款合同价的30%）给买方，</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收到发票后向</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支付合同价的30%货款。</w:t>
      </w:r>
    </w:p>
    <w:p w14:paraId="7E36DB77">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lang w:val="en-US" w:eastAsia="zh-CN"/>
        </w:rPr>
        <w:t>6.3、</w:t>
      </w:r>
      <w:r>
        <w:rPr>
          <w:rFonts w:hint="eastAsia" w:asciiTheme="minorEastAsia" w:hAnsiTheme="minorEastAsia" w:eastAsiaTheme="minorEastAsia" w:cstheme="minorEastAsia"/>
          <w:kern w:val="0"/>
          <w:sz w:val="24"/>
          <w:shd w:val="clear" w:color="auto" w:fill="FFFFFF"/>
        </w:rPr>
        <w:t>货物经过安装、测试完成后，</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终验收合格后20个工作日，</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开具增值税专用发票（货款合同价的30%）给买方，</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收到发票后向</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支付合同价的30%货款。</w:t>
      </w:r>
    </w:p>
    <w:p w14:paraId="38205A44">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lang w:val="en-US" w:eastAsia="zh-CN"/>
        </w:rPr>
        <w:t>6.4、</w:t>
      </w:r>
      <w:r>
        <w:rPr>
          <w:rFonts w:hint="eastAsia" w:asciiTheme="minorEastAsia" w:hAnsiTheme="minorEastAsia" w:eastAsiaTheme="minorEastAsia" w:cstheme="minorEastAsia"/>
          <w:kern w:val="0"/>
          <w:sz w:val="24"/>
          <w:shd w:val="clear" w:color="auto" w:fill="FFFFFF"/>
        </w:rPr>
        <w:t>剩余合同价的10%为质保金，在验收满一年且无质量问题后，</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一个月内无息支付给</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w:t>
      </w:r>
    </w:p>
    <w:p w14:paraId="7039DB34">
      <w:pPr>
        <w:adjustRightInd w:val="0"/>
        <w:snapToGrid w:val="0"/>
        <w:spacing w:line="360" w:lineRule="auto"/>
        <w:ind w:firstLine="480" w:firstLineChars="200"/>
        <w:rPr>
          <w:rFonts w:hint="default" w:asciiTheme="minorEastAsia" w:hAnsiTheme="minorEastAsia" w:eastAsiaTheme="minorEastAsia" w:cstheme="minorEastAsia"/>
          <w:kern w:val="0"/>
          <w:sz w:val="24"/>
          <w:shd w:val="clear" w:color="auto" w:fill="FFFFFF"/>
          <w:lang w:val="en-US" w:eastAsia="zh-CN"/>
        </w:rPr>
      </w:pPr>
      <w:r>
        <w:rPr>
          <w:rFonts w:hint="eastAsia" w:asciiTheme="minorEastAsia" w:hAnsiTheme="minorEastAsia" w:eastAsiaTheme="minorEastAsia" w:cstheme="minorEastAsia"/>
          <w:kern w:val="0"/>
          <w:sz w:val="24"/>
          <w:shd w:val="clear" w:color="auto" w:fill="FFFFFF"/>
          <w:lang w:val="en-US" w:eastAsia="zh-CN"/>
        </w:rPr>
        <w:t>6.5、付款方式：现金+承兑。</w:t>
      </w:r>
    </w:p>
    <w:bookmarkEnd w:id="1505"/>
    <w:bookmarkEnd w:id="1506"/>
    <w:bookmarkEnd w:id="1507"/>
    <w:p w14:paraId="0F1EE5DA">
      <w:pPr>
        <w:adjustRightInd w:val="0"/>
        <w:snapToGrid w:val="0"/>
        <w:spacing w:line="360" w:lineRule="auto"/>
        <w:rPr>
          <w:rFonts w:hint="eastAsia" w:asciiTheme="minorEastAsia" w:hAnsiTheme="minorEastAsia" w:eastAsiaTheme="minorEastAsia" w:cstheme="minorEastAsia"/>
          <w:kern w:val="0"/>
          <w:sz w:val="24"/>
          <w:shd w:val="clear" w:color="auto" w:fill="FFFFFF"/>
        </w:rPr>
      </w:pPr>
      <w:bookmarkStart w:id="1512" w:name="_Toc503293857"/>
      <w:bookmarkStart w:id="1513" w:name="_Toc503510937"/>
      <w:bookmarkStart w:id="1514" w:name="_Toc12655"/>
      <w:bookmarkStart w:id="1515" w:name="_Toc11392"/>
      <w:bookmarkStart w:id="1516" w:name="_Toc503297207"/>
      <w:bookmarkStart w:id="1517" w:name="_Toc17746581"/>
      <w:bookmarkStart w:id="1518" w:name="_Toc27591"/>
      <w:r>
        <w:rPr>
          <w:rFonts w:hint="eastAsia" w:asciiTheme="minorEastAsia" w:hAnsiTheme="minorEastAsia" w:eastAsiaTheme="minorEastAsia" w:cstheme="minorEastAsia"/>
          <w:kern w:val="0"/>
          <w:sz w:val="24"/>
          <w:shd w:val="clear" w:color="auto" w:fill="FFFFFF"/>
        </w:rPr>
        <w:t>第七条 违约责任：</w:t>
      </w:r>
    </w:p>
    <w:p w14:paraId="53666DC9">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7.1、因标的物不符合第一条、第二条及第四条的约定，致使不能实现合同目的的，买受人有权拒绝接受标的物或者解除合同，且有权要求出卖人赔偿由此造成的直接和间接经济损失。买受人拒绝接受标的物或者解除合同的，标的物毁损、灭失的风险由出卖人承担。</w:t>
      </w:r>
    </w:p>
    <w:p w14:paraId="6E2C53E2">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7.2、因标的物自身问题造成买受人无法正常使用、出卖人超过仍未解决问题，买受人有权解除合同，并有权要求出卖人返还已支付的相应货款；未支付的，出卖人无权再向买受人主张支付相应货款，同时出卖人还应承担货款总额违约责任。</w:t>
      </w:r>
    </w:p>
    <w:p w14:paraId="35693309">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7.3、因标的物自身质量问题造成事故的，买受人有权要求出卖人赔偿由此造成的损失（包括但不限于买受人的直接经济损失、商誉损失等），同时出卖人还应承担货款总额违约责任。</w:t>
      </w:r>
    </w:p>
    <w:p w14:paraId="729BE3CE">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7.4、因不可抗力不能如约履行合同的，应在不可抗力发生24小时内书面通知对方；怠于通知造成损失的，受损方有权就此要求赔偿。</w:t>
      </w:r>
    </w:p>
    <w:p w14:paraId="261364D8">
      <w:pPr>
        <w:spacing w:line="400" w:lineRule="exact"/>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7.5、</w:t>
      </w:r>
      <w:r>
        <w:rPr>
          <w:rFonts w:hint="eastAsia" w:asciiTheme="minorEastAsia" w:hAnsiTheme="minorEastAsia" w:eastAsiaTheme="minorEastAsia" w:cstheme="minorEastAsia"/>
          <w:sz w:val="24"/>
        </w:rPr>
        <w:t>合同生效后，买方无故终止或解除合同，卖方退还买方已付款，买方按合同价的30%向卖方支付违约金。卖方无故终止或解除合同，除退还买方的已付款外，还应按合同价的30%向买方支付违约金。</w:t>
      </w:r>
    </w:p>
    <w:p w14:paraId="67537860">
      <w:pPr>
        <w:pStyle w:val="26"/>
        <w:rPr>
          <w:rFonts w:hint="eastAsia"/>
        </w:rPr>
      </w:pPr>
    </w:p>
    <w:p w14:paraId="1FF7C633">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lang w:val="en-US" w:eastAsia="zh-CN"/>
        </w:rPr>
        <w:t>7.6、</w:t>
      </w:r>
      <w:r>
        <w:rPr>
          <w:rFonts w:hint="eastAsia" w:asciiTheme="minorEastAsia" w:hAnsiTheme="minorEastAsia" w:eastAsiaTheme="minorEastAsia" w:cstheme="minorEastAsia"/>
          <w:kern w:val="0"/>
          <w:sz w:val="24"/>
          <w:shd w:val="clear" w:color="auto" w:fill="FFFFFF"/>
        </w:rPr>
        <w:t>在合同质保期内，若设备的质量和规格与合同规定不符或证实设备有缺陷，造成</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损失的，</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有权提出索赔，</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应按</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同意的下列一种或多种方法解决索赔事宜。</w:t>
      </w:r>
    </w:p>
    <w:p w14:paraId="42633981">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①</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退货。</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应退还买方已支付货款全额，并支付给</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合同价30%的赔偿金，用于补偿</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由此产生的一切损失和费用，包括资金占用损失，以及</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获得该设备替代品之前该设备能够产生的直接和间接经济价值等。</w:t>
      </w:r>
    </w:p>
    <w:p w14:paraId="2D260F10">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②根据货物的低劣程度，以及</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所遭受损失的数额，由买卖双方协商降低货物价格。</w:t>
      </w:r>
    </w:p>
    <w:p w14:paraId="7889657E">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③</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用符合合同规定的新零部件或设备来更换缺陷部分，</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应承担一切费用和风险，并支付给</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合同价10%的赔偿金，用以弥补</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所遭受的一切直接经济损失。同时，</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应按照合同规定，重新计算更换部件的保质期。</w:t>
      </w:r>
    </w:p>
    <w:p w14:paraId="78B091A4">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lang w:val="en-US" w:eastAsia="zh-CN"/>
        </w:rPr>
        <w:t>7.7、买受人</w:t>
      </w:r>
      <w:r>
        <w:rPr>
          <w:rFonts w:hint="eastAsia" w:asciiTheme="minorEastAsia" w:hAnsiTheme="minorEastAsia" w:eastAsiaTheme="minorEastAsia" w:cstheme="minorEastAsia"/>
          <w:kern w:val="0"/>
          <w:sz w:val="24"/>
          <w:shd w:val="clear" w:color="auto" w:fill="FFFFFF"/>
        </w:rPr>
        <w:t>索赔通知发出5天后，若</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未作答复，上述索赔将被视为已被</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接受。若</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未能在</w:t>
      </w:r>
      <w:r>
        <w:rPr>
          <w:rFonts w:hint="eastAsia" w:asciiTheme="minorEastAsia" w:hAnsiTheme="minorEastAsia" w:eastAsiaTheme="minorEastAsia" w:cstheme="minorEastAsia"/>
          <w:kern w:val="0"/>
          <w:sz w:val="24"/>
          <w:shd w:val="clear" w:color="auto" w:fill="FFFFFF"/>
          <w:lang w:val="en-US" w:eastAsia="zh-CN"/>
        </w:rPr>
        <w:t>买受人</w:t>
      </w:r>
      <w:r>
        <w:rPr>
          <w:rFonts w:hint="eastAsia" w:asciiTheme="minorEastAsia" w:hAnsiTheme="minorEastAsia" w:eastAsiaTheme="minorEastAsia" w:cstheme="minorEastAsia"/>
          <w:kern w:val="0"/>
          <w:sz w:val="24"/>
          <w:shd w:val="clear" w:color="auto" w:fill="FFFFFF"/>
        </w:rPr>
        <w:t>提出索赔通知后7天内或买方同意延长的时间内，按照合同解决索赔事宜，索赔期间产生的直接经济损失均由</w:t>
      </w:r>
      <w:r>
        <w:rPr>
          <w:rFonts w:hint="eastAsia" w:asciiTheme="minorEastAsia" w:hAnsiTheme="minorEastAsia" w:eastAsiaTheme="minorEastAsia" w:cstheme="minorEastAsia"/>
          <w:kern w:val="0"/>
          <w:sz w:val="24"/>
          <w:shd w:val="clear" w:color="auto" w:fill="FFFFFF"/>
          <w:lang w:val="en-US" w:eastAsia="zh-CN"/>
        </w:rPr>
        <w:t>出卖人</w:t>
      </w:r>
      <w:r>
        <w:rPr>
          <w:rFonts w:hint="eastAsia" w:asciiTheme="minorEastAsia" w:hAnsiTheme="minorEastAsia" w:eastAsiaTheme="minorEastAsia" w:cstheme="minorEastAsia"/>
          <w:kern w:val="0"/>
          <w:sz w:val="24"/>
          <w:shd w:val="clear" w:color="auto" w:fill="FFFFFF"/>
        </w:rPr>
        <w:t>承担。</w:t>
      </w:r>
    </w:p>
    <w:p w14:paraId="79FD888C">
      <w:pPr>
        <w:adjustRightInd w:val="0"/>
        <w:snapToGrid w:val="0"/>
        <w:spacing w:line="360" w:lineRule="auto"/>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第八条 合同争议解决方式：本合同项下发生的争议，由双方当事人协商解决；协商不成的，依法向</w:t>
      </w:r>
      <w:bookmarkStart w:id="1519" w:name="variablemcEthy_cqkd_courtlocation"/>
      <w:r>
        <w:rPr>
          <w:rFonts w:hint="eastAsia" w:asciiTheme="minorEastAsia" w:hAnsiTheme="minorEastAsia" w:eastAsiaTheme="minorEastAsia" w:cstheme="minorEastAsia"/>
          <w:kern w:val="0"/>
          <w:sz w:val="24"/>
          <w:shd w:val="clear" w:color="auto" w:fill="FFFFFF"/>
          <w:lang w:eastAsia="zh-CN"/>
        </w:rPr>
        <w:t>买受人所在地</w:t>
      </w:r>
      <w:bookmarkEnd w:id="1519"/>
      <w:r>
        <w:rPr>
          <w:rFonts w:hint="eastAsia" w:asciiTheme="minorEastAsia" w:hAnsiTheme="minorEastAsia" w:eastAsiaTheme="minorEastAsia" w:cstheme="minorEastAsia"/>
          <w:kern w:val="0"/>
          <w:sz w:val="24"/>
          <w:shd w:val="clear" w:color="auto" w:fill="FFFFFF"/>
        </w:rPr>
        <w:t>人民法院起诉。</w:t>
      </w:r>
    </w:p>
    <w:bookmarkEnd w:id="1512"/>
    <w:bookmarkEnd w:id="1513"/>
    <w:bookmarkEnd w:id="1514"/>
    <w:bookmarkEnd w:id="1515"/>
    <w:bookmarkEnd w:id="1516"/>
    <w:bookmarkEnd w:id="1517"/>
    <w:bookmarkEnd w:id="1518"/>
    <w:p w14:paraId="21166DE8">
      <w:pPr>
        <w:adjustRightInd w:val="0"/>
        <w:snapToGrid w:val="0"/>
        <w:spacing w:line="360" w:lineRule="auto"/>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第九条 其他约定事项：</w:t>
      </w:r>
    </w:p>
    <w:p w14:paraId="7CD2E54F">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9.1、出卖人应遵守国家相关法律法规，在商务活动中遵守职业道德，不以任何形式、任何理由向买受人员工提供个人佣金、回扣、礼金礼券和贵重物品等不正当行为，也不为买受人员工安排高消费娱乐活动。如买受人发现出卖人以不正当竞争手段拉拢、贿赂买受人员工，一经查实，买受人视出卖人违约，按违约条款对出卖人进行处罚，并将出卖人纳入黑名单管理；依法应承担刑事责任的，移送司法机关。</w:t>
      </w:r>
    </w:p>
    <w:p w14:paraId="35847690">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9.2、买卖双方均有义务对对方提供的任何资料和信息保守秘密，并对对方商业秘密和公司机密保密。未经对方同意，买卖双方不得将对方提供的任何资料和信息泄露给第三者。</w:t>
      </w:r>
    </w:p>
    <w:p w14:paraId="672C8E91">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9.3、 本合同一式四份，双方各执两份，自双方盖章之日起生效，有效期一年。</w:t>
      </w:r>
    </w:p>
    <w:p w14:paraId="03F05E3E">
      <w:pPr>
        <w:adjustRightInd w:val="0"/>
        <w:snapToGrid w:val="0"/>
        <w:spacing w:line="360" w:lineRule="auto"/>
        <w:ind w:firstLine="480" w:firstLineChars="200"/>
        <w:rPr>
          <w:rFonts w:hint="eastAsia" w:asciiTheme="minorEastAsia" w:hAnsiTheme="minorEastAsia" w:eastAsiaTheme="minorEastAsia" w:cstheme="minorEastAsia"/>
          <w:kern w:val="0"/>
          <w:sz w:val="24"/>
          <w:shd w:val="clear" w:color="auto" w:fill="FFFFFF"/>
        </w:rPr>
      </w:pPr>
      <w:r>
        <w:rPr>
          <w:rFonts w:hint="eastAsia" w:asciiTheme="minorEastAsia" w:hAnsiTheme="minorEastAsia" w:eastAsiaTheme="minorEastAsia" w:cstheme="minorEastAsia"/>
          <w:kern w:val="0"/>
          <w:sz w:val="24"/>
          <w:shd w:val="clear" w:color="auto" w:fill="FFFFFF"/>
        </w:rPr>
        <w:t>9.4、 本合同未尽事宜，双方可另行协议补充。补充协议与本合同具有同等法律效力；补充协议条款与本合同冲突的，以签订时间在后的条款为准。</w:t>
      </w:r>
    </w:p>
    <w:tbl>
      <w:tblPr>
        <w:tblStyle w:val="21"/>
        <w:tblpPr w:leftFromText="180" w:rightFromText="180" w:vertAnchor="text" w:horzAnchor="page" w:tblpX="1126" w:tblpY="37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3"/>
        <w:gridCol w:w="4633"/>
      </w:tblGrid>
      <w:tr w14:paraId="18C91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3" w:type="dxa"/>
          </w:tcPr>
          <w:p w14:paraId="0CDA3A56">
            <w:pPr>
              <w:rPr>
                <w:rFonts w:hint="eastAsia" w:eastAsiaTheme="minorEastAsia"/>
                <w:b w:val="0"/>
                <w:bCs w:val="0"/>
                <w:sz w:val="22"/>
                <w:szCs w:val="22"/>
                <w:vertAlign w:val="baseline"/>
                <w:lang w:eastAsia="zh-CN"/>
              </w:rPr>
            </w:pPr>
            <w:r>
              <w:rPr>
                <w:rFonts w:hint="eastAsia"/>
                <w:b w:val="0"/>
                <w:bCs w:val="0"/>
                <w:sz w:val="22"/>
                <w:szCs w:val="22"/>
              </w:rPr>
              <w:t>买受人：</w:t>
            </w:r>
            <w:bookmarkStart w:id="1520" w:name="variablejNYQob_party1st"/>
            <w:r>
              <w:rPr>
                <w:rFonts w:hint="eastAsia"/>
                <w:b w:val="0"/>
                <w:bCs w:val="0"/>
                <w:sz w:val="22"/>
                <w:szCs w:val="22"/>
                <w:lang w:eastAsia="zh-CN"/>
              </w:rPr>
              <w:t>中煤科工集团重庆研究院有限公司</w:t>
            </w:r>
            <w:bookmarkEnd w:id="1520"/>
          </w:p>
        </w:tc>
        <w:tc>
          <w:tcPr>
            <w:tcW w:w="4633" w:type="dxa"/>
          </w:tcPr>
          <w:p w14:paraId="57B0815B">
            <w:pPr>
              <w:rPr>
                <w:rFonts w:hint="eastAsia" w:eastAsiaTheme="minorEastAsia"/>
                <w:b w:val="0"/>
                <w:bCs w:val="0"/>
                <w:sz w:val="22"/>
                <w:szCs w:val="22"/>
                <w:vertAlign w:val="baseline"/>
                <w:lang w:eastAsia="zh-CN"/>
              </w:rPr>
            </w:pPr>
            <w:r>
              <w:rPr>
                <w:rFonts w:hint="eastAsia"/>
                <w:b w:val="0"/>
                <w:bCs w:val="0"/>
                <w:sz w:val="22"/>
                <w:szCs w:val="22"/>
              </w:rPr>
              <w:t>出卖人：</w:t>
            </w:r>
            <w:r>
              <w:rPr>
                <w:rFonts w:hint="eastAsia"/>
                <w:b w:val="0"/>
                <w:bCs w:val="0"/>
                <w:sz w:val="22"/>
                <w:szCs w:val="22"/>
                <w:lang w:val="en-US" w:eastAsia="zh-CN"/>
              </w:rPr>
              <w:t xml:space="preserve"> </w:t>
            </w:r>
          </w:p>
        </w:tc>
      </w:tr>
      <w:tr w14:paraId="15C54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3" w:type="dxa"/>
          </w:tcPr>
          <w:p w14:paraId="2D659541">
            <w:pPr>
              <w:rPr>
                <w:rFonts w:hint="eastAsia"/>
                <w:b w:val="0"/>
                <w:bCs w:val="0"/>
                <w:sz w:val="22"/>
                <w:szCs w:val="22"/>
                <w:vertAlign w:val="baseline"/>
              </w:rPr>
            </w:pPr>
            <w:r>
              <w:rPr>
                <w:rFonts w:hint="eastAsia"/>
                <w:b w:val="0"/>
                <w:bCs w:val="0"/>
                <w:sz w:val="22"/>
                <w:szCs w:val="22"/>
              </w:rPr>
              <w:t>法定代表人：</w:t>
            </w:r>
          </w:p>
        </w:tc>
        <w:tc>
          <w:tcPr>
            <w:tcW w:w="4633" w:type="dxa"/>
          </w:tcPr>
          <w:p w14:paraId="578E600F">
            <w:pPr>
              <w:rPr>
                <w:rFonts w:hint="eastAsia"/>
                <w:b w:val="0"/>
                <w:bCs w:val="0"/>
                <w:sz w:val="22"/>
                <w:szCs w:val="22"/>
                <w:vertAlign w:val="baseline"/>
              </w:rPr>
            </w:pPr>
            <w:r>
              <w:rPr>
                <w:rFonts w:hint="eastAsia"/>
                <w:b w:val="0"/>
                <w:bCs w:val="0"/>
                <w:sz w:val="22"/>
                <w:szCs w:val="22"/>
              </w:rPr>
              <w:t>法定代表人：</w:t>
            </w:r>
          </w:p>
        </w:tc>
      </w:tr>
      <w:tr w14:paraId="24164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3" w:type="dxa"/>
          </w:tcPr>
          <w:p w14:paraId="22E6CB4B">
            <w:pPr>
              <w:rPr>
                <w:rFonts w:hint="eastAsia" w:eastAsiaTheme="minorEastAsia"/>
                <w:b w:val="0"/>
                <w:bCs w:val="0"/>
                <w:sz w:val="22"/>
                <w:szCs w:val="22"/>
                <w:vertAlign w:val="baseline"/>
                <w:lang w:eastAsia="zh-CN"/>
              </w:rPr>
            </w:pPr>
            <w:r>
              <w:rPr>
                <w:rFonts w:hint="eastAsia"/>
                <w:b w:val="0"/>
                <w:bCs w:val="0"/>
                <w:sz w:val="22"/>
                <w:szCs w:val="22"/>
              </w:rPr>
              <w:t>经办人：</w:t>
            </w:r>
            <w:r>
              <w:rPr>
                <w:rFonts w:hint="eastAsia"/>
                <w:b w:val="0"/>
                <w:bCs w:val="0"/>
                <w:sz w:val="22"/>
                <w:szCs w:val="22"/>
                <w:lang w:val="en-US" w:eastAsia="zh-CN"/>
              </w:rPr>
              <w:t xml:space="preserve"> </w:t>
            </w:r>
          </w:p>
        </w:tc>
        <w:tc>
          <w:tcPr>
            <w:tcW w:w="4633" w:type="dxa"/>
          </w:tcPr>
          <w:p w14:paraId="6330EC8E">
            <w:pPr>
              <w:rPr>
                <w:rFonts w:hint="eastAsia" w:eastAsiaTheme="minorEastAsia"/>
                <w:b w:val="0"/>
                <w:bCs w:val="0"/>
                <w:sz w:val="22"/>
                <w:szCs w:val="22"/>
                <w:vertAlign w:val="baseline"/>
                <w:lang w:eastAsia="zh-CN"/>
              </w:rPr>
            </w:pPr>
            <w:r>
              <w:rPr>
                <w:rFonts w:hint="eastAsia"/>
                <w:b w:val="0"/>
                <w:bCs w:val="0"/>
                <w:sz w:val="22"/>
                <w:szCs w:val="22"/>
              </w:rPr>
              <w:t>授权代表：</w:t>
            </w:r>
            <w:r>
              <w:rPr>
                <w:rFonts w:hint="eastAsia"/>
                <w:b w:val="0"/>
                <w:bCs w:val="0"/>
                <w:sz w:val="22"/>
                <w:szCs w:val="22"/>
                <w:lang w:val="en-US" w:eastAsia="zh-CN"/>
              </w:rPr>
              <w:t xml:space="preserve"> </w:t>
            </w:r>
          </w:p>
        </w:tc>
      </w:tr>
      <w:tr w14:paraId="3D33C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3" w:type="dxa"/>
          </w:tcPr>
          <w:p w14:paraId="6D71C80D">
            <w:pPr>
              <w:rPr>
                <w:rFonts w:hint="eastAsia" w:eastAsiaTheme="minorEastAsia"/>
                <w:b w:val="0"/>
                <w:bCs w:val="0"/>
                <w:sz w:val="22"/>
                <w:szCs w:val="22"/>
                <w:vertAlign w:val="baseline"/>
                <w:lang w:eastAsia="zh-CN"/>
              </w:rPr>
            </w:pPr>
            <w:r>
              <w:rPr>
                <w:rFonts w:hint="eastAsia"/>
                <w:b w:val="0"/>
                <w:bCs w:val="0"/>
                <w:sz w:val="22"/>
                <w:szCs w:val="22"/>
              </w:rPr>
              <w:t>电话：</w:t>
            </w:r>
            <w:r>
              <w:rPr>
                <w:rFonts w:hint="eastAsia"/>
                <w:b w:val="0"/>
                <w:bCs w:val="0"/>
                <w:sz w:val="22"/>
                <w:szCs w:val="22"/>
                <w:lang w:val="en-US" w:eastAsia="zh-CN"/>
              </w:rPr>
              <w:t xml:space="preserve"> </w:t>
            </w:r>
          </w:p>
        </w:tc>
        <w:tc>
          <w:tcPr>
            <w:tcW w:w="4633" w:type="dxa"/>
          </w:tcPr>
          <w:p w14:paraId="37407CF5">
            <w:pPr>
              <w:rPr>
                <w:rFonts w:hint="eastAsia" w:eastAsiaTheme="minorEastAsia"/>
                <w:b w:val="0"/>
                <w:bCs w:val="0"/>
                <w:sz w:val="22"/>
                <w:szCs w:val="22"/>
                <w:vertAlign w:val="baseline"/>
                <w:lang w:eastAsia="zh-CN"/>
              </w:rPr>
            </w:pPr>
            <w:r>
              <w:rPr>
                <w:rFonts w:hint="eastAsia"/>
                <w:b w:val="0"/>
                <w:bCs w:val="0"/>
                <w:sz w:val="22"/>
                <w:szCs w:val="22"/>
              </w:rPr>
              <w:t>电话：</w:t>
            </w:r>
            <w:r>
              <w:rPr>
                <w:rFonts w:hint="eastAsia"/>
                <w:b w:val="0"/>
                <w:bCs w:val="0"/>
                <w:sz w:val="22"/>
                <w:szCs w:val="22"/>
                <w:lang w:val="en-US" w:eastAsia="zh-CN"/>
              </w:rPr>
              <w:t xml:space="preserve"> </w:t>
            </w:r>
          </w:p>
        </w:tc>
      </w:tr>
      <w:tr w14:paraId="4C7F9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3" w:type="dxa"/>
          </w:tcPr>
          <w:p w14:paraId="00F74EF3">
            <w:pPr>
              <w:rPr>
                <w:rFonts w:hint="eastAsia"/>
                <w:b w:val="0"/>
                <w:bCs w:val="0"/>
                <w:sz w:val="22"/>
                <w:szCs w:val="22"/>
              </w:rPr>
            </w:pPr>
            <w:r>
              <w:rPr>
                <w:rFonts w:hint="eastAsia"/>
                <w:b w:val="0"/>
                <w:bCs w:val="0"/>
                <w:sz w:val="22"/>
                <w:szCs w:val="22"/>
              </w:rPr>
              <w:t>邮箱：</w:t>
            </w:r>
          </w:p>
        </w:tc>
        <w:tc>
          <w:tcPr>
            <w:tcW w:w="4633" w:type="dxa"/>
          </w:tcPr>
          <w:p w14:paraId="594F2A2D">
            <w:pPr>
              <w:rPr>
                <w:rFonts w:hint="eastAsia"/>
                <w:b w:val="0"/>
                <w:bCs w:val="0"/>
                <w:sz w:val="22"/>
                <w:szCs w:val="22"/>
              </w:rPr>
            </w:pPr>
            <w:r>
              <w:rPr>
                <w:rFonts w:hint="eastAsia"/>
                <w:b w:val="0"/>
                <w:bCs w:val="0"/>
                <w:sz w:val="22"/>
                <w:szCs w:val="22"/>
              </w:rPr>
              <w:t>邮箱：</w:t>
            </w:r>
          </w:p>
        </w:tc>
      </w:tr>
      <w:tr w14:paraId="6E036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3" w:type="dxa"/>
          </w:tcPr>
          <w:p w14:paraId="614208C2">
            <w:pPr>
              <w:rPr>
                <w:rFonts w:hint="eastAsia"/>
                <w:b w:val="0"/>
                <w:bCs w:val="0"/>
                <w:sz w:val="22"/>
                <w:szCs w:val="22"/>
              </w:rPr>
            </w:pPr>
            <w:r>
              <w:rPr>
                <w:rFonts w:hint="eastAsia"/>
                <w:b w:val="0"/>
                <w:bCs w:val="0"/>
                <w:sz w:val="22"/>
                <w:szCs w:val="22"/>
              </w:rPr>
              <w:t>开户行：</w:t>
            </w:r>
          </w:p>
        </w:tc>
        <w:tc>
          <w:tcPr>
            <w:tcW w:w="4633" w:type="dxa"/>
          </w:tcPr>
          <w:p w14:paraId="280993A5">
            <w:pPr>
              <w:rPr>
                <w:rFonts w:hint="eastAsia"/>
                <w:b w:val="0"/>
                <w:bCs w:val="0"/>
                <w:sz w:val="22"/>
                <w:szCs w:val="22"/>
              </w:rPr>
            </w:pPr>
            <w:r>
              <w:rPr>
                <w:rFonts w:hint="eastAsia"/>
                <w:b w:val="0"/>
                <w:bCs w:val="0"/>
                <w:sz w:val="22"/>
                <w:szCs w:val="22"/>
              </w:rPr>
              <w:t>开户行：</w:t>
            </w:r>
          </w:p>
        </w:tc>
      </w:tr>
      <w:tr w14:paraId="11684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33" w:type="dxa"/>
          </w:tcPr>
          <w:p w14:paraId="59E5BAD8">
            <w:pPr>
              <w:rPr>
                <w:rFonts w:hint="eastAsia"/>
                <w:b w:val="0"/>
                <w:bCs w:val="0"/>
                <w:sz w:val="22"/>
                <w:szCs w:val="22"/>
              </w:rPr>
            </w:pPr>
            <w:r>
              <w:rPr>
                <w:rFonts w:hint="eastAsia"/>
                <w:b w:val="0"/>
                <w:bCs w:val="0"/>
                <w:sz w:val="22"/>
                <w:szCs w:val="22"/>
              </w:rPr>
              <w:t>账号：</w:t>
            </w:r>
          </w:p>
        </w:tc>
        <w:tc>
          <w:tcPr>
            <w:tcW w:w="4633" w:type="dxa"/>
          </w:tcPr>
          <w:p w14:paraId="7C704045">
            <w:pPr>
              <w:rPr>
                <w:rFonts w:hint="eastAsia"/>
                <w:b w:val="0"/>
                <w:bCs w:val="0"/>
                <w:sz w:val="22"/>
                <w:szCs w:val="22"/>
              </w:rPr>
            </w:pPr>
            <w:r>
              <w:rPr>
                <w:rFonts w:hint="eastAsia"/>
                <w:b w:val="0"/>
                <w:bCs w:val="0"/>
                <w:sz w:val="22"/>
                <w:szCs w:val="22"/>
              </w:rPr>
              <w:t>账号：</w:t>
            </w:r>
          </w:p>
        </w:tc>
      </w:tr>
    </w:tbl>
    <w:p w14:paraId="386BD584">
      <w:pPr>
        <w:pStyle w:val="3"/>
        <w:pageBreakBefore/>
        <w:spacing w:line="400" w:lineRule="exact"/>
        <w:rPr>
          <w:rFonts w:hint="eastAsia" w:ascii="宋体" w:hAnsi="宋体" w:eastAsia="宋体"/>
          <w:b/>
          <w:highlight w:val="none"/>
          <w:u w:val="single"/>
        </w:rPr>
      </w:pPr>
      <w:bookmarkStart w:id="1521" w:name="_Toc2865"/>
      <w:r>
        <w:rPr>
          <w:rFonts w:hint="eastAsia"/>
          <w:highlight w:val="none"/>
          <w:u w:val="single"/>
        </w:rPr>
        <w:t>第五章  用户需求书</w:t>
      </w:r>
      <w:bookmarkEnd w:id="1470"/>
      <w:bookmarkEnd w:id="1471"/>
      <w:bookmarkEnd w:id="1521"/>
    </w:p>
    <w:p w14:paraId="7A26E626">
      <w:pPr>
        <w:pStyle w:val="4"/>
        <w:snapToGrid w:val="0"/>
        <w:spacing w:before="156" w:beforeLines="50" w:after="156" w:afterLines="50"/>
        <w:ind w:firstLine="480"/>
        <w:rPr>
          <w:rFonts w:hint="eastAsia" w:ascii="华文宋体" w:hAnsi="华文宋体" w:cs="华文宋体"/>
          <w:sz w:val="24"/>
          <w:szCs w:val="24"/>
          <w:highlight w:val="none"/>
        </w:rPr>
      </w:pPr>
      <w:bookmarkStart w:id="1522" w:name="_Toc231854112"/>
      <w:bookmarkStart w:id="1523" w:name="_Toc31922"/>
      <w:bookmarkStart w:id="1524" w:name="_Toc24154"/>
      <w:r>
        <w:rPr>
          <w:rFonts w:hint="eastAsia" w:ascii="华文宋体" w:hAnsi="华文宋体" w:cs="华文宋体"/>
          <w:sz w:val="24"/>
          <w:szCs w:val="24"/>
          <w:highlight w:val="none"/>
        </w:rPr>
        <w:t>一、通用要求</w:t>
      </w:r>
      <w:bookmarkEnd w:id="1522"/>
      <w:bookmarkEnd w:id="1523"/>
      <w:bookmarkEnd w:id="1524"/>
    </w:p>
    <w:p w14:paraId="366601AC">
      <w:pPr>
        <w:spacing w:line="360" w:lineRule="auto"/>
        <w:ind w:firstLine="480"/>
        <w:rPr>
          <w:rFonts w:hint="eastAsia" w:ascii="华文宋体" w:hAnsi="华文宋体" w:cs="华文宋体"/>
          <w:b/>
          <w:szCs w:val="24"/>
          <w:highlight w:val="none"/>
          <w:lang w:val="en-GB"/>
        </w:rPr>
      </w:pPr>
      <w:r>
        <w:rPr>
          <w:rFonts w:hint="eastAsia" w:ascii="华文宋体" w:hAnsi="华文宋体" w:cs="华文宋体"/>
          <w:b/>
          <w:szCs w:val="24"/>
          <w:highlight w:val="none"/>
          <w:lang w:val="en-GB"/>
        </w:rPr>
        <w:t>该项目为包干项目，即项目全部内容正常运行所需的如设备安装调试、相关软硬件、与已有协同开发管理系统/CAPP/</w:t>
      </w:r>
      <w:r>
        <w:rPr>
          <w:rFonts w:hint="eastAsia" w:ascii="华文宋体" w:hAnsi="华文宋体" w:cs="华文宋体"/>
          <w:b/>
          <w:szCs w:val="24"/>
          <w:highlight w:val="none"/>
        </w:rPr>
        <w:t>ERP</w:t>
      </w:r>
      <w:r>
        <w:rPr>
          <w:rFonts w:hint="eastAsia" w:ascii="华文宋体" w:hAnsi="华文宋体" w:cs="华文宋体"/>
          <w:b/>
          <w:szCs w:val="24"/>
          <w:highlight w:val="none"/>
          <w:lang w:val="en-GB"/>
        </w:rPr>
        <w:t>系统的</w:t>
      </w:r>
      <w:r>
        <w:rPr>
          <w:rFonts w:hint="eastAsia" w:ascii="华文宋体" w:hAnsi="华文宋体" w:cs="华文宋体"/>
          <w:b/>
          <w:szCs w:val="24"/>
          <w:highlight w:val="none"/>
        </w:rPr>
        <w:t>集成</w:t>
      </w:r>
      <w:r>
        <w:rPr>
          <w:rFonts w:hint="eastAsia" w:ascii="华文宋体" w:hAnsi="华文宋体" w:cs="华文宋体"/>
          <w:b/>
          <w:szCs w:val="24"/>
          <w:highlight w:val="none"/>
          <w:lang w:val="en-GB"/>
        </w:rPr>
        <w:t>等，均包括在投标范围内，后期无任何增项及费用。招标文件未提到的部分，投标文件中应提出并包括在投标报价中。所有投标文件均视为满足项目“包干”需求。</w:t>
      </w:r>
    </w:p>
    <w:p w14:paraId="1E76CA99">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最小化生产干扰：制定并提交培训方案及安装调试计划，确保项目实施全程（软件许可交付、配置、测试、培训、上线）最大限度减少对招标方生产运营的影响。</w:t>
      </w:r>
    </w:p>
    <w:p w14:paraId="4B5374CD">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明确范围与报价：清晰界定实施范围（功能模块、培训、服务内容），并提供对应的分项详细报价。</w:t>
      </w:r>
    </w:p>
    <w:p w14:paraId="56788450">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需求响应：本需求书所提出的是最低限度的技术要求，为保证运行所需的最低要求，并未对一切技术细节作出规定，也未充分引述有关标准和规范的条文。投标方保证提供符合需求书要求和现行中国或国际通用、标准的优质、正版产品。投标人提供的产品最低限度应符合本需求书的要求，如有遗漏，投标方应予以补充，缺失部分由投标方承担，招标方不负责任何费用。</w:t>
      </w:r>
    </w:p>
    <w:p w14:paraId="370BAB36">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安装调试要求：提供培训方案、培训材料、安装调试计划、安装调试用户手册。</w:t>
      </w:r>
    </w:p>
    <w:p w14:paraId="4A892382">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全新授权与合规：确保提供的所有软件许可均为全新、合法授权，服务与代码无知识产权争议。</w:t>
      </w:r>
    </w:p>
    <w:p w14:paraId="19D52D77">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详细培训与保障方案：提供培训方案、培训计划、安装调试计划等。</w:t>
      </w:r>
    </w:p>
    <w:p w14:paraId="381987A9">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资源与支持承诺：承诺投入经验丰富的认证团队，保证人员稳定性和响应时效，明确项目验收后的运维支持内容。</w:t>
      </w:r>
    </w:p>
    <w:p w14:paraId="3E7B9C27">
      <w:pPr>
        <w:pStyle w:val="28"/>
        <w:numPr>
          <w:ilvl w:val="0"/>
          <w:numId w:val="7"/>
        </w:numPr>
        <w:ind w:left="0" w:firstLine="480"/>
        <w:rPr>
          <w:rFonts w:hint="eastAsia" w:ascii="华文宋体" w:hAnsi="华文宋体" w:cs="华文宋体"/>
          <w:sz w:val="24"/>
          <w:highlight w:val="none"/>
          <w:lang w:val="en-GB"/>
        </w:rPr>
      </w:pPr>
      <w:r>
        <w:rPr>
          <w:rFonts w:hint="eastAsia" w:ascii="华文宋体" w:hAnsi="华文宋体" w:cs="华文宋体"/>
          <w:sz w:val="24"/>
          <w:highlight w:val="none"/>
          <w:lang w:val="en-GB"/>
        </w:rPr>
        <w:t>详尽方案与需求响应： 详细说明系统架构、性能、功能实现、项目管理方法，并逐条明确响应招标需求（完全响应/有条件响应/偏离）。</w:t>
      </w:r>
    </w:p>
    <w:p w14:paraId="395973CD">
      <w:pPr>
        <w:pStyle w:val="4"/>
        <w:snapToGrid w:val="0"/>
        <w:spacing w:before="156" w:beforeLines="50" w:after="156" w:afterLines="50"/>
        <w:ind w:firstLine="480"/>
        <w:rPr>
          <w:rFonts w:hint="eastAsia" w:ascii="华文宋体" w:hAnsi="华文宋体" w:cs="华文宋体"/>
          <w:sz w:val="24"/>
          <w:szCs w:val="24"/>
          <w:highlight w:val="none"/>
        </w:rPr>
      </w:pPr>
      <w:bookmarkStart w:id="1525" w:name="_Toc231854113"/>
      <w:bookmarkStart w:id="1526" w:name="_Toc5300"/>
      <w:bookmarkStart w:id="1527" w:name="_Toc25921"/>
      <w:r>
        <w:rPr>
          <w:rFonts w:hint="eastAsia" w:ascii="华文宋体" w:hAnsi="华文宋体" w:cs="华文宋体"/>
          <w:sz w:val="24"/>
          <w:szCs w:val="24"/>
          <w:highlight w:val="none"/>
        </w:rPr>
        <w:t>二、产品智能配置管理系统采购项目建设目标</w:t>
      </w:r>
      <w:bookmarkEnd w:id="1525"/>
      <w:bookmarkEnd w:id="1526"/>
      <w:bookmarkEnd w:id="1527"/>
    </w:p>
    <w:p w14:paraId="3E87D943">
      <w:pPr>
        <w:pStyle w:val="4"/>
        <w:snapToGrid w:val="0"/>
        <w:spacing w:before="156" w:beforeLines="50" w:after="312"/>
        <w:ind w:firstLine="480"/>
        <w:rPr>
          <w:rFonts w:hint="eastAsia" w:ascii="华文宋体" w:hAnsi="华文宋体" w:cs="华文宋体"/>
          <w:sz w:val="24"/>
          <w:szCs w:val="24"/>
          <w:highlight w:val="none"/>
        </w:rPr>
      </w:pPr>
      <w:bookmarkStart w:id="1528" w:name="_Toc16424"/>
      <w:bookmarkStart w:id="1529" w:name="_Toc231854114"/>
      <w:bookmarkStart w:id="1530" w:name="_Toc5908"/>
      <w:r>
        <w:rPr>
          <w:rFonts w:hint="eastAsia" w:ascii="华文宋体" w:hAnsi="华文宋体" w:cs="华文宋体"/>
          <w:sz w:val="24"/>
          <w:szCs w:val="24"/>
          <w:highlight w:val="none"/>
        </w:rPr>
        <w:t>2.1 建设目标</w:t>
      </w:r>
      <w:bookmarkEnd w:id="1528"/>
      <w:bookmarkEnd w:id="1529"/>
      <w:bookmarkEnd w:id="1530"/>
    </w:p>
    <w:p w14:paraId="0CCFBD9A">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本项目已于2025年正式获批“国家煤矿安全技术国家工程研究中心原始创新能力提升项目”立项，为中煤科工集团重庆研究院有限公司钻探分院产品协同开发系统建设的深化工程。针对钻探装备定制化程度高、多专业技术集成难度大痛点，搭建一体化产品配置研发平台，与院内现有研发管理平台深度同源融合，建成数据驱动、研产贯通一体化产品配置数字化能力底座。</w:t>
      </w:r>
    </w:p>
    <w:p w14:paraId="65264DBA">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本期项目预计达到以下目标及效益：</w:t>
      </w:r>
    </w:p>
    <w:p w14:paraId="440F4C1C">
      <w:pPr>
        <w:spacing w:line="360" w:lineRule="auto"/>
        <w:ind w:firstLine="480"/>
        <w:rPr>
          <w:rFonts w:hint="eastAsia" w:ascii="华文宋体" w:hAnsi="华文宋体" w:cs="华文宋体"/>
          <w:szCs w:val="24"/>
          <w:highlight w:val="none"/>
        </w:rPr>
      </w:pPr>
      <w:bookmarkStart w:id="1531" w:name="OLE_LINK13"/>
      <w:bookmarkStart w:id="1532" w:name="OLE_LINK12"/>
      <w:r>
        <w:rPr>
          <w:rFonts w:hint="eastAsia" w:ascii="华文宋体" w:hAnsi="华文宋体" w:cs="华文宋体"/>
          <w:szCs w:val="24"/>
          <w:highlight w:val="none"/>
        </w:rPr>
        <w:t>（1）</w:t>
      </w:r>
      <w:bookmarkEnd w:id="1531"/>
      <w:bookmarkEnd w:id="1532"/>
      <w:r>
        <w:rPr>
          <w:rFonts w:hint="eastAsia" w:ascii="华文宋体" w:hAnsi="华文宋体" w:cs="华文宋体"/>
          <w:szCs w:val="24"/>
          <w:highlight w:val="none"/>
        </w:rPr>
        <w:t>通过建设一体化的产品配置平台，构建结构化的产品线，搭建不同型号产品的各种配置特征（市场配置特征、技术配置特征等），未来可以基于客户的需求进行灵活的产品配置，快速得到各个配置的精确BOM，快速生成该配置的报价，实现"所选即所见"的产品配置体验。</w:t>
      </w:r>
    </w:p>
    <w:p w14:paraId="55D2A36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（2）形成企业规范的配置特征库以及CBB模块库，进行企业模块化设计的深度建设，沉淀可复用的设计方法论与标准规范。</w:t>
      </w:r>
    </w:p>
    <w:p w14:paraId="5CCC06A0">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（3）构建符合钻探分院实际情况的超配BOM，通过逐步开展产品各模块梳理以及规范，提升企业模块化设计的能力，快速响应市场需求，缩短订单交付时间。</w:t>
      </w:r>
    </w:p>
    <w:p w14:paraId="1672C2E4">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（4）选取市场需求量大的典型钻机产品进行配置化试点，在平台上实现完整的产品配置数字化闭环，并将试点数字资产实物与标准化体系方法双重交付，实现能力向分院内部的转移。</w:t>
      </w:r>
    </w:p>
    <w:p w14:paraId="109DE0FC">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（5）确保产品配置平台与现有协同开发管理主系统采用统一数据模型，实现CATIA几何数据与PLM BOM数据的天然同源，消除中间格式转换，维护单一数据源原则。</w:t>
      </w:r>
    </w:p>
    <w:p w14:paraId="6853F5F8">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（6）</w:t>
      </w:r>
      <w:r>
        <w:rPr>
          <w:rStyle w:val="33"/>
          <w:highlight w:val="none"/>
        </w:rPr>
        <w:t xml:space="preserve">实现对带有 MBD </w:t>
      </w:r>
      <w:r>
        <w:rPr>
          <w:rStyle w:val="33"/>
          <w:rFonts w:hint="eastAsia"/>
          <w:highlight w:val="none"/>
        </w:rPr>
        <w:t>（基于模型的定义）</w:t>
      </w:r>
      <w:r>
        <w:rPr>
          <w:rStyle w:val="33"/>
          <w:highlight w:val="none"/>
        </w:rPr>
        <w:t>信息的三维数模的统一纳管与全生命周期管理</w:t>
      </w:r>
      <w:r>
        <w:rPr>
          <w:rStyle w:val="33"/>
          <w:rFonts w:hint="eastAsia"/>
          <w:highlight w:val="none"/>
        </w:rPr>
        <w:t>，</w:t>
      </w:r>
      <w:r>
        <w:rPr>
          <w:rStyle w:val="33"/>
          <w:highlight w:val="none"/>
        </w:rPr>
        <w:t>使设计端的 MBD 成果在配置、变更与管理环节可浏览、可批注、可随变更追溯</w:t>
      </w:r>
      <w:r>
        <w:rPr>
          <w:rStyle w:val="33"/>
          <w:rFonts w:hint="eastAsia"/>
          <w:highlight w:val="none"/>
        </w:rPr>
        <w:t>，</w:t>
      </w:r>
      <w:r>
        <w:rPr>
          <w:rStyle w:val="33"/>
          <w:highlight w:val="none"/>
        </w:rPr>
        <w:t>支撑基于模型</w:t>
      </w:r>
      <w:r>
        <w:rPr>
          <w:rStyle w:val="33"/>
          <w:rFonts w:hint="eastAsia"/>
          <w:highlight w:val="none"/>
        </w:rPr>
        <w:t>（</w:t>
      </w:r>
      <w:r>
        <w:rPr>
          <w:rStyle w:val="33"/>
          <w:highlight w:val="none"/>
        </w:rPr>
        <w:t>MBD</w:t>
      </w:r>
      <w:r>
        <w:rPr>
          <w:rStyle w:val="33"/>
          <w:rFonts w:hint="eastAsia"/>
          <w:highlight w:val="none"/>
        </w:rPr>
        <w:t>）</w:t>
      </w:r>
      <w:r>
        <w:rPr>
          <w:rStyle w:val="33"/>
          <w:highlight w:val="none"/>
        </w:rPr>
        <w:t>的研产贯通</w:t>
      </w:r>
      <w:r>
        <w:rPr>
          <w:rStyle w:val="33"/>
          <w:rFonts w:hint="eastAsia"/>
          <w:highlight w:val="none"/>
        </w:rPr>
        <w:t>，</w:t>
      </w:r>
      <w:r>
        <w:rPr>
          <w:rStyle w:val="33"/>
          <w:highlight w:val="none"/>
        </w:rPr>
        <w:t>确保配置管理与设计数据的单一数据源</w:t>
      </w:r>
      <w:r>
        <w:rPr>
          <w:rStyle w:val="33"/>
          <w:rFonts w:hint="eastAsia" w:ascii="宋体" w:hAnsi="宋体" w:eastAsia="宋体" w:cs="宋体"/>
          <w:highlight w:val="none"/>
        </w:rPr>
        <w:t>。</w:t>
      </w:r>
    </w:p>
    <w:p w14:paraId="37113150">
      <w:pPr>
        <w:pStyle w:val="4"/>
        <w:snapToGrid w:val="0"/>
        <w:spacing w:before="156" w:beforeLines="50" w:after="312"/>
        <w:ind w:firstLine="480"/>
        <w:rPr>
          <w:rFonts w:hint="eastAsia" w:ascii="华文宋体" w:hAnsi="华文宋体" w:cs="华文宋体"/>
          <w:sz w:val="24"/>
          <w:szCs w:val="24"/>
          <w:highlight w:val="none"/>
        </w:rPr>
      </w:pPr>
      <w:bookmarkStart w:id="1533" w:name="_Toc17294"/>
      <w:bookmarkStart w:id="1534" w:name="_Toc231854115"/>
      <w:bookmarkStart w:id="1535" w:name="_Toc16342"/>
      <w:bookmarkStart w:id="1536" w:name="OLE_LINK77"/>
      <w:r>
        <w:rPr>
          <w:rFonts w:hint="eastAsia" w:ascii="华文宋体" w:hAnsi="华文宋体" w:cs="华文宋体"/>
          <w:sz w:val="24"/>
          <w:szCs w:val="24"/>
          <w:highlight w:val="none"/>
        </w:rPr>
        <w:t xml:space="preserve">2.2 </w:t>
      </w:r>
      <w:r>
        <w:rPr>
          <w:rFonts w:hint="eastAsia" w:ascii="宋体" w:hAnsi="宋体" w:eastAsia="宋体" w:cs="宋体"/>
          <w:color w:val="000000"/>
          <w:sz w:val="22"/>
          <w:szCs w:val="22"/>
          <w:highlight w:val="none"/>
        </w:rPr>
        <w:t>系统核心配置要求</w:t>
      </w:r>
      <w:bookmarkEnd w:id="1533"/>
      <w:bookmarkEnd w:id="1534"/>
      <w:bookmarkEnd w:id="1535"/>
    </w:p>
    <w:p w14:paraId="67D5B6A0">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（1）用户规模：系统需支持不少于10个用户可开展整机配置。</w:t>
      </w:r>
    </w:p>
    <w:p w14:paraId="268D3DA1">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（2）服务器部署：由投标方提出包含CPU、内存、存储、网络等关键参数的虚拟机配置方案，并部署于招标方私有云平台（或指定服务器），确保系统运行稳定、可扩展且数据安全。</w:t>
      </w:r>
    </w:p>
    <w:p w14:paraId="1EF888CE">
      <w:pPr>
        <w:pStyle w:val="4"/>
        <w:snapToGrid w:val="0"/>
        <w:spacing w:before="312" w:after="156" w:afterLines="50"/>
        <w:ind w:firstLine="482"/>
        <w:rPr>
          <w:rFonts w:hint="eastAsia" w:ascii="宋体" w:hAnsi="宋体" w:eastAsia="宋体"/>
          <w:sz w:val="24"/>
          <w:szCs w:val="24"/>
          <w:highlight w:val="none"/>
        </w:rPr>
      </w:pPr>
      <w:bookmarkStart w:id="1537" w:name="_Toc1986"/>
      <w:bookmarkStart w:id="1538" w:name="_Toc203558377"/>
      <w:bookmarkStart w:id="1539" w:name="_Toc5176"/>
      <w:bookmarkStart w:id="1540" w:name="_Toc24426"/>
      <w:bookmarkStart w:id="1541" w:name="_Toc231854116"/>
      <w:r>
        <w:rPr>
          <w:rFonts w:hint="eastAsia" w:ascii="宋体" w:hAnsi="宋体" w:eastAsia="宋体"/>
          <w:sz w:val="24"/>
          <w:szCs w:val="24"/>
          <w:highlight w:val="none"/>
        </w:rPr>
        <w:t>三、</w:t>
      </w:r>
      <w:bookmarkEnd w:id="1537"/>
      <w:bookmarkStart w:id="1542" w:name="OLE_LINK51"/>
      <w:r>
        <w:rPr>
          <w:rFonts w:hint="eastAsia" w:ascii="华文宋体" w:hAnsi="华文宋体" w:cs="华文宋体"/>
          <w:sz w:val="24"/>
          <w:szCs w:val="24"/>
          <w:highlight w:val="none"/>
        </w:rPr>
        <w:t>产品智能配置管理系统采购</w:t>
      </w:r>
      <w:r>
        <w:rPr>
          <w:rFonts w:hint="eastAsia" w:ascii="宋体" w:hAnsi="宋体" w:eastAsia="宋体" w:cs="宋体"/>
          <w:color w:val="000000"/>
          <w:sz w:val="22"/>
          <w:szCs w:val="22"/>
          <w:highlight w:val="none"/>
        </w:rPr>
        <w:t>项目</w:t>
      </w:r>
      <w:bookmarkEnd w:id="1542"/>
      <w:r>
        <w:rPr>
          <w:rFonts w:hint="eastAsia" w:ascii="宋体" w:hAnsi="宋体" w:eastAsia="宋体" w:cs="宋体"/>
          <w:color w:val="000000"/>
          <w:sz w:val="22"/>
          <w:szCs w:val="22"/>
          <w:highlight w:val="none"/>
        </w:rPr>
        <w:t>技术要求</w:t>
      </w:r>
      <w:bookmarkEnd w:id="1538"/>
      <w:r>
        <w:rPr>
          <w:rFonts w:hint="eastAsia" w:ascii="宋体" w:hAnsi="宋体" w:eastAsia="宋体" w:cs="宋体"/>
          <w:color w:val="000000"/>
          <w:sz w:val="22"/>
          <w:szCs w:val="22"/>
          <w:highlight w:val="none"/>
        </w:rPr>
        <w:t>及建设内容</w:t>
      </w:r>
      <w:bookmarkEnd w:id="1539"/>
      <w:bookmarkEnd w:id="1540"/>
      <w:bookmarkEnd w:id="1541"/>
    </w:p>
    <w:p w14:paraId="63F85ECF">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本章节为招标人最低准入技术标准，投标人可结合钻探装备业务场景优化方案；项目最终验收标准以合同签订后双方确认细化技术规格书为准，功能增补、优化不额外增加采购费用。 投标文件所有功能模块描述，须配套对应软件功能截图佐证。</w:t>
      </w:r>
    </w:p>
    <w:p w14:paraId="699F9C7D">
      <w:pPr>
        <w:pStyle w:val="4"/>
        <w:snapToGrid w:val="0"/>
        <w:spacing w:before="156" w:beforeLines="50" w:after="312"/>
        <w:ind w:firstLine="480"/>
        <w:rPr>
          <w:rFonts w:hint="eastAsia" w:ascii="华文宋体" w:hAnsi="华文宋体" w:cs="华文宋体"/>
          <w:sz w:val="24"/>
          <w:szCs w:val="24"/>
          <w:highlight w:val="none"/>
        </w:rPr>
      </w:pPr>
      <w:bookmarkStart w:id="1543" w:name="_Toc231854117"/>
      <w:bookmarkStart w:id="1544" w:name="_Toc3094"/>
      <w:bookmarkStart w:id="1545" w:name="_Toc14028"/>
      <w:r>
        <w:rPr>
          <w:rFonts w:hint="eastAsia" w:ascii="华文宋体" w:hAnsi="华文宋体" w:cs="华文宋体"/>
          <w:sz w:val="24"/>
          <w:szCs w:val="24"/>
          <w:highlight w:val="none"/>
        </w:rPr>
        <w:t xml:space="preserve">3.1 </w:t>
      </w:r>
      <w:bookmarkEnd w:id="1543"/>
      <w:bookmarkEnd w:id="1544"/>
      <w:r>
        <w:rPr>
          <w:rFonts w:hint="eastAsia" w:ascii="华文宋体" w:hAnsi="华文宋体" w:cs="华文宋体"/>
          <w:sz w:val="24"/>
          <w:szCs w:val="24"/>
          <w:highlight w:val="none"/>
        </w:rPr>
        <w:t>系统核心功能模块技术能力要求</w:t>
      </w:r>
      <w:bookmarkEnd w:id="1545"/>
    </w:p>
    <w:p w14:paraId="347EACEA">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产品智能配置管理系统作为全院产品全生命周期数据中枢，支撑多部门共享统一产品配置信息，按研发、工艺、生产阶段自动生成对应产品结构视图；通过标准化需求、功能、方案、组件，将客户差异化定制需求拆解为标准化模块化选配体系，建立产品模型、模块关联约束关系。</w:t>
      </w:r>
    </w:p>
    <w:p w14:paraId="679B1428">
      <w:pPr>
        <w:pStyle w:val="4"/>
        <w:snapToGrid w:val="0"/>
        <w:spacing w:before="156" w:beforeLines="50" w:after="312"/>
        <w:ind w:firstLine="480"/>
        <w:rPr>
          <w:rFonts w:hint="eastAsia" w:ascii="华文宋体" w:hAnsi="华文宋体" w:cs="华文宋体"/>
          <w:sz w:val="24"/>
          <w:szCs w:val="24"/>
          <w:highlight w:val="none"/>
        </w:rPr>
      </w:pPr>
      <w:bookmarkStart w:id="1546" w:name="_Toc231854118"/>
      <w:bookmarkStart w:id="1547" w:name="_Toc14231"/>
      <w:bookmarkStart w:id="1548" w:name="_Toc11643"/>
      <w:r>
        <w:rPr>
          <w:rFonts w:hint="eastAsia" w:ascii="华文宋体" w:hAnsi="华文宋体" w:cs="华文宋体"/>
          <w:sz w:val="24"/>
          <w:szCs w:val="24"/>
          <w:highlight w:val="none"/>
        </w:rPr>
        <w:t xml:space="preserve">3.1.1  </w:t>
      </w:r>
      <w:bookmarkEnd w:id="1546"/>
      <w:bookmarkEnd w:id="1547"/>
      <w:r>
        <w:rPr>
          <w:rFonts w:hint="eastAsia" w:ascii="华文宋体" w:hAnsi="华文宋体" w:cs="华文宋体"/>
          <w:sz w:val="24"/>
          <w:szCs w:val="24"/>
          <w:highlight w:val="none"/>
        </w:rPr>
        <w:t>市场售前快速配置报价能力</w:t>
      </w:r>
      <w:bookmarkEnd w:id="1548"/>
    </w:p>
    <w:p w14:paraId="49C96AE5">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（1）系统支持维护整机标准模块、各层级选配项，可录入各选配模块基准价格。</w:t>
      </w:r>
    </w:p>
    <w:p w14:paraId="77ECA8BF">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（2）市场部接收销售用户需求后，可在配置系统中选择不同型号产品的标准模块生成配置清单；若存在个性化需求，应在配置清单中维护个性化模块及其参考价格。</w:t>
      </w:r>
    </w:p>
    <w:p w14:paraId="4F8AE0EA">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（3）订单中标后，配置清单一键推送研发端，作为订单专属精准 BOM 生成数据源。</w:t>
      </w:r>
    </w:p>
    <w:p w14:paraId="509D31E0">
      <w:pPr>
        <w:pStyle w:val="4"/>
        <w:snapToGrid w:val="0"/>
        <w:spacing w:before="156" w:beforeLines="50" w:after="312"/>
        <w:ind w:firstLine="480"/>
        <w:rPr>
          <w:rFonts w:hint="eastAsia" w:ascii="华文宋体" w:hAnsi="华文宋体" w:cs="华文宋体"/>
          <w:sz w:val="24"/>
          <w:szCs w:val="24"/>
          <w:highlight w:val="none"/>
        </w:rPr>
      </w:pPr>
      <w:bookmarkStart w:id="1549" w:name="_Toc18870"/>
      <w:bookmarkStart w:id="1550" w:name="_Toc231854119"/>
      <w:bookmarkStart w:id="1551" w:name="_Toc13659"/>
      <w:r>
        <w:rPr>
          <w:rFonts w:hint="eastAsia" w:ascii="华文宋体" w:hAnsi="华文宋体" w:cs="华文宋体"/>
          <w:sz w:val="24"/>
          <w:szCs w:val="24"/>
          <w:highlight w:val="none"/>
        </w:rPr>
        <w:t xml:space="preserve">3.1.2  </w:t>
      </w:r>
      <w:bookmarkEnd w:id="1549"/>
      <w:bookmarkEnd w:id="1550"/>
      <w:r>
        <w:rPr>
          <w:rFonts w:hint="eastAsia" w:ascii="华文宋体" w:hAnsi="华文宋体" w:cs="华文宋体"/>
          <w:sz w:val="24"/>
          <w:szCs w:val="24"/>
          <w:highlight w:val="none"/>
        </w:rPr>
        <w:t>结构化产品线谱系管理能力</w:t>
      </w:r>
      <w:bookmarkEnd w:id="1551"/>
    </w:p>
    <w:p w14:paraId="605E7B3E">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（1）支持多级产品线架构：总产品线→子产品线→产品型号。</w:t>
      </w:r>
    </w:p>
    <w:p w14:paraId="16B7B8A1">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（2）支持在产品线下搭建不同型号的产品，并可定义型号、营销名称、营销代号等属性信息。</w:t>
      </w:r>
    </w:p>
    <w:p w14:paraId="238E0F8D">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（3）支持在产品型号下定义基型产品，对产品进行版本管理及产品各种状态的管理。</w:t>
      </w:r>
    </w:p>
    <w:p w14:paraId="4D70B4F9">
      <w:pPr>
        <w:pStyle w:val="5"/>
        <w:spacing w:before="200" w:after="100"/>
        <w:ind w:left="0" w:leftChars="0" w:firstLine="480" w:firstLineChars="200"/>
        <w:rPr>
          <w:rFonts w:hint="eastAsia" w:ascii="华文宋体" w:hAnsi="华文宋体" w:cs="华文宋体"/>
          <w:sz w:val="24"/>
          <w:szCs w:val="24"/>
          <w:highlight w:val="none"/>
        </w:rPr>
      </w:pPr>
      <w:bookmarkStart w:id="1552" w:name="_Toc29344"/>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ascii="华文宋体" w:hAnsi="华文宋体" w:cs="华文宋体"/>
          <w:sz w:val="24"/>
          <w:szCs w:val="24"/>
          <w:highlight w:val="none"/>
        </w:rPr>
        <w:t>3.</w:t>
      </w:r>
      <w:r>
        <w:rPr>
          <w:rFonts w:hint="eastAsia" w:ascii="华文宋体" w:hAnsi="华文宋体" w:cs="华文宋体"/>
          <w:sz w:val="24"/>
          <w:szCs w:val="24"/>
          <w:highlight w:val="none"/>
        </w:rPr>
        <w:t>1.3</w:t>
      </w:r>
      <w:r>
        <w:rPr>
          <w:rFonts w:ascii="华文宋体" w:hAnsi="华文宋体" w:cs="华文宋体"/>
          <w:sz w:val="24"/>
          <w:szCs w:val="24"/>
          <w:highlight w:val="none"/>
        </w:rPr>
        <w:t xml:space="preserve"> 对现有三维设计数据（CATIA 3DE 数模）的原生管理支持能力</w:t>
      </w:r>
      <w:bookmarkEnd w:id="1552"/>
    </w:p>
    <w:p w14:paraId="28A8D85A">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（1）原生纳管：系统应支持对招标方现有三维设计平台CATIA 3DE产生的三维数模及其设计数据进行原生存储、版本与状态管理，直接消费其原生几何与产品结构，无需依赖中间格式转换。</w:t>
      </w:r>
    </w:p>
    <w:p w14:paraId="7E70660D">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（2）单一数据源：三维数模的几何数据与配置/BOM 数据应保持同源一致，避免因格式转换产生的数据割裂与版本不一致。</w:t>
      </w:r>
    </w:p>
    <w:p w14:paraId="3943421D">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（3）原生浏览与联动：支持在平台内直接查看现有 CATIA 三维数模，并实现数模与配置结构/BOM 结点的双向定位与联动。</w:t>
      </w:r>
    </w:p>
    <w:p w14:paraId="11E16026">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（4）随变更管理：现有 CATIA 三维数模应纳入版本与工程变更管理，变更前后数模可追溯、可比对；在配置变更过程中应支持对 CATIA 原生三维模型的直接展示与查看。</w:t>
      </w:r>
    </w:p>
    <w:p w14:paraId="593B1337">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（5）设计成果复用：支持将现有 CATIA 三维数模及其结构作为配置与派生的输入，直接复用既有设计成果，避免重复建模。</w:t>
      </w:r>
    </w:p>
    <w:p w14:paraId="3042B563">
      <w:pPr>
        <w:pStyle w:val="5"/>
        <w:spacing w:before="200" w:after="100"/>
        <w:ind w:left="0" w:leftChars="0" w:firstLine="480" w:firstLineChars="200"/>
        <w:rPr>
          <w:rFonts w:hint="eastAsia" w:ascii="华文宋体" w:hAnsi="华文宋体" w:cs="华文宋体"/>
          <w:sz w:val="24"/>
          <w:szCs w:val="24"/>
          <w:highlight w:val="none"/>
        </w:rPr>
      </w:pPr>
      <w:bookmarkStart w:id="1553" w:name="_Toc12820"/>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ascii="华文宋体" w:hAnsi="华文宋体" w:cs="华文宋体"/>
          <w:sz w:val="24"/>
          <w:szCs w:val="24"/>
          <w:highlight w:val="none"/>
        </w:rPr>
        <w:t>3.</w:t>
      </w:r>
      <w:r>
        <w:rPr>
          <w:rFonts w:hint="eastAsia" w:ascii="华文宋体" w:hAnsi="华文宋体" w:cs="华文宋体"/>
          <w:sz w:val="24"/>
          <w:szCs w:val="24"/>
          <w:highlight w:val="none"/>
        </w:rPr>
        <w:t>1.4</w:t>
      </w:r>
      <w:r>
        <w:rPr>
          <w:rFonts w:ascii="华文宋体" w:hAnsi="华文宋体" w:cs="华文宋体"/>
          <w:sz w:val="24"/>
          <w:szCs w:val="24"/>
          <w:highlight w:val="none"/>
        </w:rPr>
        <w:t xml:space="preserve"> 面向 MBD 的三维数模管理能力</w:t>
      </w:r>
      <w:bookmarkEnd w:id="1553"/>
    </w:p>
    <w:p w14:paraId="0352F852">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（1）存储与管理：系统应支持对带有MBD 信息（含尺寸、公差、基准、工艺/技术要求等 PMI 标注）的</w:t>
      </w:r>
      <w:r>
        <w:rPr>
          <w:rFonts w:hint="eastAsia" w:ascii="华文宋体" w:hAnsi="华文宋体" w:cs="华文宋体"/>
          <w:szCs w:val="24"/>
          <w:highlight w:val="none"/>
        </w:rPr>
        <w:t>CATIA 3DE</w:t>
      </w:r>
      <w:r>
        <w:rPr>
          <w:rFonts w:ascii="华文宋体" w:hAnsi="华文宋体" w:cs="华文宋体"/>
          <w:szCs w:val="24"/>
          <w:highlight w:val="none"/>
        </w:rPr>
        <w:t>三维数模进行受控存储、版本与状态管理，MBD 信息随模型一并纳管，不丢失、不降级。</w:t>
      </w:r>
    </w:p>
    <w:p w14:paraId="4837F59E">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（2）轻量化浏览与查看：支持在平台内轻量化浏览带 MBD 信息的</w:t>
      </w:r>
      <w:r>
        <w:rPr>
          <w:rFonts w:hint="eastAsia" w:ascii="华文宋体" w:hAnsi="华文宋体" w:cs="华文宋体"/>
          <w:szCs w:val="24"/>
          <w:highlight w:val="none"/>
        </w:rPr>
        <w:t>CATIA 3DE</w:t>
      </w:r>
      <w:r>
        <w:rPr>
          <w:rFonts w:ascii="华文宋体" w:hAnsi="华文宋体" w:cs="华文宋体"/>
          <w:szCs w:val="24"/>
          <w:highlight w:val="none"/>
        </w:rPr>
        <w:t>三维数模，可查看/切换显示模型上的 PMI 标注，无需安装设计软件。</w:t>
      </w:r>
    </w:p>
    <w:p w14:paraId="291C9750">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（3）批注与审阅：支持对</w:t>
      </w:r>
      <w:r>
        <w:rPr>
          <w:rFonts w:hint="eastAsia" w:ascii="华文宋体" w:hAnsi="华文宋体" w:cs="华文宋体"/>
          <w:szCs w:val="24"/>
          <w:highlight w:val="none"/>
        </w:rPr>
        <w:t>CATIA 3DE</w:t>
      </w:r>
      <w:r>
        <w:rPr>
          <w:rFonts w:ascii="华文宋体" w:hAnsi="华文宋体" w:cs="华文宋体"/>
          <w:szCs w:val="24"/>
          <w:highlight w:val="none"/>
        </w:rPr>
        <w:t>三维数模进行三维批注/标记（Markup）与评审意见记录，批注可与数模版本、变更单关联留存，形成可追溯的审阅过程。</w:t>
      </w:r>
    </w:p>
    <w:p w14:paraId="3B787AF3">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（4）随变更同步：MBD 数模应纳入工程变更范围，随变更进行版本升级与状态流转，变更前后的 MBD 数模与标注可追溯比对。</w:t>
      </w:r>
    </w:p>
    <w:p w14:paraId="79A316AC">
      <w:pPr>
        <w:spacing w:line="360" w:lineRule="auto"/>
        <w:ind w:firstLine="480"/>
        <w:rPr>
          <w:rFonts w:hint="eastAsia" w:ascii="华文宋体" w:hAnsi="华文宋体" w:cs="华文宋体"/>
          <w:szCs w:val="24"/>
          <w:highlight w:val="none"/>
        </w:rPr>
      </w:pPr>
      <w:r>
        <w:rPr>
          <w:rFonts w:ascii="华文宋体" w:hAnsi="华文宋体" w:cs="华文宋体"/>
          <w:szCs w:val="24"/>
          <w:highlight w:val="none"/>
        </w:rPr>
        <w:t>（5）与配置/BOM 关联：带 MBD 信息的</w:t>
      </w:r>
      <w:r>
        <w:rPr>
          <w:rFonts w:hint="eastAsia" w:ascii="华文宋体" w:hAnsi="华文宋体" w:cs="华文宋体"/>
          <w:szCs w:val="24"/>
          <w:highlight w:val="none"/>
        </w:rPr>
        <w:t>CATIA 3DE</w:t>
      </w:r>
      <w:r>
        <w:rPr>
          <w:rFonts w:ascii="华文宋体" w:hAnsi="华文宋体" w:cs="华文宋体"/>
          <w:szCs w:val="24"/>
          <w:highlight w:val="none"/>
        </w:rPr>
        <w:t>三维数模应与产品结构/配置BOM 结点建立关联，支持由 BOM 结点定位并查看对应 MBD 数模。</w:t>
      </w:r>
    </w:p>
    <w:p w14:paraId="4DDEA466">
      <w:pPr>
        <w:pStyle w:val="4"/>
        <w:snapToGrid w:val="0"/>
        <w:spacing w:before="156" w:beforeLines="50" w:after="312"/>
        <w:ind w:firstLine="480"/>
        <w:rPr>
          <w:rFonts w:hint="eastAsia" w:ascii="华文宋体" w:hAnsi="华文宋体" w:cs="华文宋体"/>
          <w:sz w:val="24"/>
          <w:szCs w:val="24"/>
          <w:highlight w:val="none"/>
        </w:rPr>
      </w:pPr>
      <w:bookmarkStart w:id="1554" w:name="_Toc231854120"/>
      <w:bookmarkStart w:id="1555" w:name="_Toc11177"/>
      <w:bookmarkStart w:id="1556" w:name="_Toc27681"/>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hint="eastAsia" w:ascii="华文宋体" w:hAnsi="华文宋体" w:cs="华文宋体"/>
          <w:sz w:val="24"/>
          <w:szCs w:val="24"/>
          <w:highlight w:val="none"/>
        </w:rPr>
        <w:t xml:space="preserve">3.1.5 </w:t>
      </w:r>
      <w:bookmarkEnd w:id="1554"/>
      <w:bookmarkEnd w:id="1555"/>
      <w:r>
        <w:rPr>
          <w:rFonts w:hint="eastAsia" w:ascii="华文宋体" w:hAnsi="华文宋体" w:cs="华文宋体"/>
          <w:sz w:val="24"/>
          <w:szCs w:val="24"/>
          <w:highlight w:val="none"/>
        </w:rPr>
        <w:t xml:space="preserve"> 配置特征库全生命周期管理能力</w:t>
      </w:r>
      <w:bookmarkEnd w:id="1556"/>
    </w:p>
    <w:p w14:paraId="52F7BCF3">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（1）产品线、产品型号、单机三层级均可定义市场类配置特征，下级自动继承上级全部特征。</w:t>
      </w:r>
    </w:p>
    <w:p w14:paraId="4B0993F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（2）每个市场特征下设单选/多选式特征选项，支持选配约束定义。</w:t>
      </w:r>
    </w:p>
    <w:p w14:paraId="2668BE46">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（3）投标人需配套提供特征库规划实施服务，实现特征分类、检索、快速调用标准化管理。</w:t>
      </w:r>
    </w:p>
    <w:p w14:paraId="1477F54D">
      <w:pPr>
        <w:pStyle w:val="4"/>
        <w:snapToGrid w:val="0"/>
        <w:spacing w:before="156" w:beforeLines="50" w:after="312"/>
        <w:ind w:firstLine="480"/>
        <w:rPr>
          <w:rFonts w:hint="eastAsia" w:ascii="华文宋体" w:hAnsi="华文宋体" w:cs="华文宋体"/>
          <w:sz w:val="24"/>
          <w:szCs w:val="24"/>
          <w:highlight w:val="none"/>
        </w:rPr>
      </w:pPr>
      <w:bookmarkStart w:id="1557" w:name="_Toc31310"/>
      <w:bookmarkStart w:id="1558" w:name="_Toc231854121"/>
      <w:bookmarkStart w:id="1559" w:name="_Toc31274"/>
      <w:r>
        <w:rPr>
          <w:rFonts w:hint="eastAsia" w:ascii="华文宋体" w:hAnsi="华文宋体" w:cs="华文宋体"/>
          <w:sz w:val="24"/>
          <w:szCs w:val="24"/>
          <w:highlight w:val="none"/>
        </w:rPr>
        <w:t>△</w:t>
      </w:r>
      <w:r>
        <w:rPr>
          <w:rFonts w:hint="eastAsia" w:ascii="华文宋体" w:hAnsi="华文宋体" w:cs="华文宋体"/>
          <w:sz w:val="24"/>
          <w:szCs w:val="24"/>
          <w:highlight w:val="none"/>
          <w:lang w:val="en-US" w:eastAsia="zh-CN"/>
        </w:rPr>
        <w:t xml:space="preserve"> </w:t>
      </w:r>
      <w:r>
        <w:rPr>
          <w:rFonts w:hint="eastAsia" w:ascii="华文宋体" w:hAnsi="华文宋体" w:cs="华文宋体"/>
          <w:sz w:val="24"/>
          <w:szCs w:val="24"/>
          <w:highlight w:val="none"/>
        </w:rPr>
        <w:t xml:space="preserve">3.1.6  </w:t>
      </w:r>
      <w:bookmarkEnd w:id="1557"/>
      <w:bookmarkEnd w:id="1558"/>
      <w:r>
        <w:rPr>
          <w:rFonts w:hint="eastAsia" w:ascii="华文宋体" w:hAnsi="华文宋体" w:cs="华文宋体"/>
          <w:sz w:val="24"/>
          <w:szCs w:val="24"/>
          <w:highlight w:val="none"/>
        </w:rPr>
        <w:t>超配 BOM（超级配置 BOM）管理能力</w:t>
      </w:r>
      <w:bookmarkEnd w:id="1559"/>
    </w:p>
    <w:p w14:paraId="534F03E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（1）支持在产品配置平台中搭建产品的超配BOM。</w:t>
      </w:r>
    </w:p>
    <w:p w14:paraId="029B0911">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（2）BOM 分层划分：基础必选模块、通用标准模块、客户个性化可选模块。</w:t>
      </w:r>
    </w:p>
    <w:p w14:paraId="1C709340">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 支持将各设计的标准模块及可选模块中的零部件添加至超配BOM的对应模块下。</w:t>
      </w:r>
    </w:p>
    <w:p w14:paraId="677CB356">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（4）建立市场配置特征选项与超配 BOM 各设计模块绑定关联关系，实现选特征自动匹配零部件。</w:t>
      </w:r>
    </w:p>
    <w:p w14:paraId="25501DFF">
      <w:pPr>
        <w:pStyle w:val="4"/>
        <w:snapToGrid w:val="0"/>
        <w:spacing w:before="156" w:beforeLines="50" w:after="312"/>
        <w:ind w:firstLine="480"/>
        <w:rPr>
          <w:rFonts w:hint="eastAsia" w:ascii="华文宋体" w:hAnsi="华文宋体" w:eastAsia="宋体" w:cs="华文宋体"/>
          <w:sz w:val="24"/>
          <w:szCs w:val="24"/>
          <w:highlight w:val="none"/>
        </w:rPr>
      </w:pPr>
      <w:bookmarkStart w:id="1560" w:name="_Toc14483"/>
      <w:bookmarkStart w:id="1561" w:name="_Toc231854122"/>
      <w:bookmarkStart w:id="1562" w:name="_Toc27439"/>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hint="eastAsia" w:ascii="华文宋体" w:hAnsi="华文宋体" w:cs="华文宋体"/>
          <w:sz w:val="24"/>
          <w:szCs w:val="24"/>
          <w:highlight w:val="none"/>
        </w:rPr>
        <w:t xml:space="preserve">3.1.7  </w:t>
      </w:r>
      <w:bookmarkEnd w:id="1560"/>
      <w:bookmarkEnd w:id="1561"/>
      <w:r>
        <w:rPr>
          <w:rFonts w:ascii="宋体" w:hAnsi="宋体" w:eastAsia="宋体" w:cs="宋体"/>
          <w:sz w:val="24"/>
          <w:szCs w:val="24"/>
          <w:highlight w:val="none"/>
        </w:rPr>
        <w:t>智能配置规则引擎</w:t>
      </w:r>
      <w:r>
        <w:rPr>
          <w:rFonts w:hint="eastAsia" w:ascii="宋体" w:hAnsi="宋体" w:eastAsia="宋体" w:cs="宋体"/>
          <w:sz w:val="24"/>
          <w:szCs w:val="24"/>
          <w:highlight w:val="none"/>
        </w:rPr>
        <w:t>能力</w:t>
      </w:r>
      <w:bookmarkEnd w:id="1562"/>
    </w:p>
    <w:p w14:paraId="3BB44BCA">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（1）产品订单签订后，产品经理在配置平台中按订单需求选择市场特征，系统应根据用户选择自动匹配已有产品配置，再选择可选配置，最终生成产品订单的精确BOM。</w:t>
      </w:r>
    </w:p>
    <w:p w14:paraId="4DA9858D">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（2）精确BOM支持结构化在线预览、Excel导出。</w:t>
      </w:r>
    </w:p>
    <w:p w14:paraId="5CDA80F9">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（3）系统应支持以数值区间/参数为条件的约束矩阵（如按产能、孔深、扭矩、转速等区间）自动约束可选模块或选项。</w:t>
      </w:r>
    </w:p>
    <w:p w14:paraId="1A1681E4">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（4）约束矩阵应支持维护“选项×参数区间”的适用关系，并在配置时据此自动过滤、推荐或默认选择。</w:t>
      </w:r>
    </w:p>
    <w:p w14:paraId="3753AE84">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（5）按订单需求选择特征时，系统应实时进行约束校验，对必选/互斥/依赖关系给出即时提示（如“因已选择X，需选择Y”）。</w:t>
      </w:r>
    </w:p>
    <w:p w14:paraId="1A7CC67D">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（6）系统应实时统计并显示配置冲突数量，冲突未消除不允许生成精确BOM。支持“所选即所得”的引导式配置界面，未满足约束的选项应自动置灰或提示原因。</w:t>
      </w:r>
    </w:p>
    <w:p w14:paraId="7C9B66C9">
      <w:pPr>
        <w:pStyle w:val="4"/>
        <w:snapToGrid w:val="0"/>
        <w:spacing w:before="156" w:beforeLines="50" w:after="312"/>
        <w:ind w:firstLine="480"/>
        <w:rPr>
          <w:rFonts w:hint="eastAsia" w:ascii="华文宋体" w:hAnsi="华文宋体" w:cs="华文宋体"/>
          <w:sz w:val="24"/>
          <w:szCs w:val="24"/>
          <w:highlight w:val="none"/>
        </w:rPr>
      </w:pPr>
      <w:bookmarkStart w:id="1563" w:name="_Toc6066"/>
      <w:bookmarkStart w:id="1564" w:name="_Toc231854123"/>
      <w:bookmarkStart w:id="1565" w:name="_Toc10261"/>
      <w:r>
        <w:rPr>
          <w:rFonts w:hint="eastAsia" w:ascii="华文宋体" w:hAnsi="华文宋体" w:cs="华文宋体"/>
          <w:sz w:val="24"/>
          <w:szCs w:val="24"/>
          <w:highlight w:val="none"/>
        </w:rPr>
        <w:t>3.1.8  生成产品配置以及精确BOM输出</w:t>
      </w:r>
      <w:bookmarkEnd w:id="1563"/>
      <w:bookmarkEnd w:id="1564"/>
      <w:bookmarkEnd w:id="1565"/>
    </w:p>
    <w:p w14:paraId="44C693F6">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（1）支持在产品订单签订之后，产品经理在配置平台中按照订单需求选择市场特征，系统根据用户选择的市场特征选择已有产品配置，然后选择可选配置，生成产品订单的精确BOM。</w:t>
      </w:r>
    </w:p>
    <w:p w14:paraId="7FA6438A">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（2）支持在产品配置平台中查看结构化的配置精确BOM，配置精确BOM可以导出成Excel文件。</w:t>
      </w:r>
    </w:p>
    <w:p w14:paraId="6BB75FA9">
      <w:pPr>
        <w:pStyle w:val="4"/>
        <w:snapToGrid w:val="0"/>
        <w:spacing w:before="156" w:beforeLines="50" w:after="312"/>
        <w:ind w:firstLine="480"/>
        <w:rPr>
          <w:rFonts w:hint="eastAsia" w:ascii="华文宋体" w:hAnsi="华文宋体" w:cs="华文宋体"/>
          <w:szCs w:val="24"/>
          <w:highlight w:val="none"/>
        </w:rPr>
      </w:pPr>
      <w:bookmarkStart w:id="1566" w:name="_Toc24740"/>
      <w:r>
        <w:rPr>
          <w:rFonts w:hint="eastAsia" w:ascii="华文宋体" w:hAnsi="华文宋体" w:cs="华文宋体"/>
          <w:sz w:val="24"/>
          <w:szCs w:val="24"/>
          <w:highlight w:val="none"/>
        </w:rPr>
        <w:t>△</w:t>
      </w:r>
      <w:r>
        <w:rPr>
          <w:rFonts w:hint="eastAsia" w:ascii="Segoe UI Symbol" w:hAnsi="Segoe UI Symbol" w:cs="Segoe UI Symbol"/>
          <w:highlight w:val="none"/>
        </w:rPr>
        <w:t xml:space="preserve"> </w:t>
      </w:r>
      <w:r>
        <w:rPr>
          <w:rFonts w:hint="eastAsia" w:ascii="华文宋体" w:hAnsi="华文宋体" w:cs="华文宋体"/>
          <w:sz w:val="24"/>
          <w:szCs w:val="24"/>
          <w:highlight w:val="none"/>
        </w:rPr>
        <w:t>3.1.9 配置/BOM 版本修订与差异比对能力</w:t>
      </w:r>
      <w:bookmarkEnd w:id="1566"/>
    </w:p>
    <w:p w14:paraId="49129F95">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（1）系统应支持对产品配置、模型定义及其BOM进行修订版本管理（如 A→B）。</w:t>
      </w:r>
    </w:p>
    <w:p w14:paraId="674CF151">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（2）系统应支持对同一对象的两个版本进行结构化并排比对，自动标识“新增/删除/相同/已修订”差异，并支持仅显示差异。</w:t>
      </w:r>
    </w:p>
    <w:p w14:paraId="30BF4655">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（3）在依据产品配置架构配置新产品的过程中，系统应支持选取两个配置版本进行对比，直观给出版本之间的配置结构差异，辅助配置决策与评审。</w:t>
      </w:r>
    </w:p>
    <w:p w14:paraId="206BF09E">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（4）比对结果应可作为变更评审与影响分析依据留存。</w:t>
      </w:r>
    </w:p>
    <w:p w14:paraId="71CE48AE">
      <w:pPr>
        <w:pStyle w:val="4"/>
        <w:snapToGrid w:val="0"/>
        <w:spacing w:before="156" w:beforeLines="50" w:after="312"/>
        <w:ind w:firstLine="480"/>
        <w:rPr>
          <w:rFonts w:hint="eastAsia" w:ascii="华文宋体" w:hAnsi="华文宋体" w:cs="华文宋体"/>
          <w:sz w:val="24"/>
          <w:szCs w:val="24"/>
          <w:highlight w:val="none"/>
        </w:rPr>
      </w:pPr>
      <w:bookmarkStart w:id="1567" w:name="_Toc29389"/>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hint="eastAsia" w:ascii="华文宋体" w:hAnsi="华文宋体" w:cs="华文宋体"/>
          <w:sz w:val="24"/>
          <w:szCs w:val="24"/>
          <w:highlight w:val="none"/>
        </w:rPr>
        <w:t>3.1.10 配置有效性与变体表达式管理能力</w:t>
      </w:r>
      <w:bookmarkEnd w:id="1567"/>
    </w:p>
    <w:p w14:paraId="307B1CCC">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（1）系统应支持在超配BOM的零部件用法上定义变体/选项表达式（如“型号A 且 选项X”），作为由市场/技术特征解算精确BOM的依据。</w:t>
      </w:r>
    </w:p>
    <w:p w14:paraId="014FC0CF">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（2）系统应支持按选定配置对超配BOM进行自动解算，仅保留满足有效性条件的零部件，形成订单精确BOM。</w:t>
      </w:r>
    </w:p>
    <w:p w14:paraId="17A45A89">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（3）变体表达式与有效性条件应支持随产品版本、变更单进行管理与追溯。</w:t>
      </w:r>
    </w:p>
    <w:p w14:paraId="6073DC7D">
      <w:pPr>
        <w:pStyle w:val="4"/>
        <w:spacing w:before="156" w:beforeLines="50" w:after="312"/>
        <w:ind w:firstLine="480"/>
        <w:rPr>
          <w:rFonts w:hint="eastAsia" w:ascii="华文宋体" w:hAnsi="华文宋体" w:cs="华文宋体"/>
          <w:bCs/>
          <w:sz w:val="24"/>
          <w:szCs w:val="24"/>
          <w:highlight w:val="none"/>
        </w:rPr>
      </w:pPr>
      <w:bookmarkStart w:id="1568" w:name="_Toc11271"/>
      <w:bookmarkStart w:id="1569" w:name="_Toc231854124"/>
      <w:bookmarkStart w:id="1570" w:name="_Toc8143"/>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hint="eastAsia" w:ascii="华文宋体" w:hAnsi="华文宋体" w:cs="华文宋体"/>
          <w:bCs/>
          <w:sz w:val="24"/>
          <w:szCs w:val="24"/>
          <w:highlight w:val="none"/>
        </w:rPr>
        <w:t>3.1.11 工程变更驱动的配置更新与追溯能力</w:t>
      </w:r>
      <w:bookmarkEnd w:id="1568"/>
    </w:p>
    <w:p w14:paraId="79005501">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（1）系统应支持以变更单（变更动作）为驱动对配置/BOM 进行受控更新，变更对象、上下文、发起人、审批状态可追溯。</w:t>
      </w:r>
    </w:p>
    <w:p w14:paraId="35018291">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（2）系统应记录“拟变更/已实现变更”，将变更前后的配置差异与变更单关联留痕。</w:t>
      </w:r>
    </w:p>
    <w:p w14:paraId="232DA21A">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（3）变更应支持在同一平台内完成从发起、评审、审批到实现的闭环。</w:t>
      </w:r>
    </w:p>
    <w:p w14:paraId="0A0D4934">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（4）配置变更过程中，系统应支持直接展示相关三维数模（含现有 CATIA 3DE版本原生模型），并支持在变更上下文中进行三维查看与批注，便于变更影响的可视化评审。</w:t>
      </w:r>
    </w:p>
    <w:p w14:paraId="09336391">
      <w:pPr>
        <w:pStyle w:val="4"/>
        <w:snapToGrid w:val="0"/>
        <w:spacing w:before="156" w:beforeLines="50" w:after="312"/>
        <w:ind w:firstLine="480"/>
        <w:rPr>
          <w:rFonts w:hint="eastAsia" w:ascii="华文宋体" w:hAnsi="华文宋体" w:cs="华文宋体"/>
          <w:bCs/>
          <w:sz w:val="24"/>
          <w:szCs w:val="24"/>
          <w:highlight w:val="none"/>
        </w:rPr>
      </w:pPr>
      <w:bookmarkStart w:id="1571" w:name="_Toc28556"/>
      <w:r>
        <w:rPr>
          <w:rFonts w:hint="eastAsia" w:ascii="华文宋体" w:hAnsi="华文宋体" w:cs="华文宋体"/>
          <w:bCs/>
          <w:sz w:val="24"/>
          <w:szCs w:val="24"/>
          <w:highlight w:val="none"/>
        </w:rPr>
        <w:t xml:space="preserve">3.1.12  </w:t>
      </w:r>
      <w:bookmarkEnd w:id="1569"/>
      <w:bookmarkEnd w:id="1570"/>
      <w:r>
        <w:rPr>
          <w:rFonts w:ascii="华文宋体" w:hAnsi="华文宋体" w:cs="华文宋体"/>
          <w:bCs/>
          <w:sz w:val="24"/>
          <w:szCs w:val="24"/>
          <w:highlight w:val="none"/>
        </w:rPr>
        <w:t>CBB 共用基础模块知识库管理</w:t>
      </w:r>
      <w:r>
        <w:rPr>
          <w:rFonts w:hint="eastAsia" w:ascii="华文宋体" w:hAnsi="华文宋体" w:cs="华文宋体"/>
          <w:bCs/>
          <w:sz w:val="24"/>
          <w:szCs w:val="24"/>
          <w:highlight w:val="none"/>
        </w:rPr>
        <w:t>能力</w:t>
      </w:r>
      <w:bookmarkEnd w:id="1571"/>
    </w:p>
    <w:p w14:paraId="7E6E13FC">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（1）支持基于招标人产品线（如钻探分院）构建CBB知识库，可将CBB知识库划分为基础模块、标准模块、个性化可选模块等分类。</w:t>
      </w:r>
    </w:p>
    <w:p w14:paraId="59D6E1CC">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（2）CBB模块进行变更评估时，系统应支持快速查询该模块的借用情况，便于变更影响评估。</w:t>
      </w:r>
    </w:p>
    <w:p w14:paraId="5AA121C5">
      <w:pPr>
        <w:pStyle w:val="4"/>
        <w:spacing w:before="156" w:beforeLines="50" w:after="312"/>
        <w:ind w:firstLine="480"/>
        <w:rPr>
          <w:rFonts w:hint="eastAsia" w:ascii="华文宋体" w:hAnsi="华文宋体" w:cs="华文宋体"/>
          <w:bCs/>
          <w:sz w:val="24"/>
          <w:szCs w:val="24"/>
          <w:highlight w:val="none"/>
        </w:rPr>
      </w:pPr>
      <w:bookmarkStart w:id="1572" w:name="_Toc29303"/>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hint="eastAsia" w:ascii="华文宋体" w:hAnsi="华文宋体" w:cs="华文宋体"/>
          <w:bCs/>
          <w:sz w:val="24"/>
          <w:szCs w:val="24"/>
          <w:highlight w:val="none"/>
        </w:rPr>
        <w:t>3.1.13 三维数模轻量化浏览与结构树联动能力</w:t>
      </w:r>
      <w:bookmarkEnd w:id="1572"/>
    </w:p>
    <w:p w14:paraId="206750F9">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（1）</w:t>
      </w:r>
      <w:r>
        <w:rPr>
          <w:rFonts w:hint="eastAsia" w:ascii="华文宋体" w:hAnsi="华文宋体" w:cs="华文宋体"/>
          <w:szCs w:val="24"/>
          <w:highlight w:val="none"/>
        </w:rPr>
        <w:t>系统应支持在平台内对CATIA 3DE三维数模进行轻量化浏览</w:t>
      </w:r>
      <w:r>
        <w:rPr>
          <w:rFonts w:hint="eastAsia" w:ascii="华文宋体" w:hAnsi="华文宋体" w:cs="华文宋体"/>
          <w:bCs/>
          <w:szCs w:val="24"/>
          <w:highlight w:val="none"/>
        </w:rPr>
        <w:t>，无需安装设计软件即可查看。</w:t>
      </w:r>
    </w:p>
    <w:p w14:paraId="1ECF6BF2">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（2）产品结构/BOM 与</w:t>
      </w:r>
      <w:r>
        <w:rPr>
          <w:rFonts w:hint="eastAsia" w:ascii="华文宋体" w:hAnsi="华文宋体" w:cs="华文宋体"/>
          <w:szCs w:val="24"/>
          <w:highlight w:val="none"/>
        </w:rPr>
        <w:t>CATIA 3DE</w:t>
      </w:r>
      <w:r>
        <w:rPr>
          <w:rFonts w:hint="eastAsia" w:ascii="华文宋体" w:hAnsi="华文宋体" w:cs="华文宋体"/>
          <w:bCs/>
          <w:szCs w:val="24"/>
          <w:highlight w:val="none"/>
        </w:rPr>
        <w:t>三维模型为联动关系，支持在系统内对配置结构中的零部件进行三维可视化预览，</w:t>
      </w:r>
      <w:r>
        <w:rPr>
          <w:rFonts w:hint="eastAsia" w:ascii="华文宋体" w:hAnsi="华文宋体" w:cs="华文宋体"/>
          <w:szCs w:val="24"/>
          <w:highlight w:val="none"/>
        </w:rPr>
        <w:t>并实现结构树结点与三维模型的双向联动高亮定位</w:t>
      </w:r>
      <w:r>
        <w:rPr>
          <w:rFonts w:hint="eastAsia" w:ascii="华文宋体" w:hAnsi="华文宋体" w:cs="华文宋体"/>
          <w:bCs/>
          <w:szCs w:val="24"/>
          <w:highlight w:val="none"/>
        </w:rPr>
        <w:t>。</w:t>
      </w:r>
    </w:p>
    <w:p w14:paraId="6120D06D">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（3）在选择配置项/生成配置方案时，系统应支持在配置界面内快速查看该配置方案对应的</w:t>
      </w:r>
      <w:r>
        <w:rPr>
          <w:rFonts w:hint="eastAsia" w:ascii="华文宋体" w:hAnsi="华文宋体" w:cs="华文宋体"/>
          <w:szCs w:val="24"/>
          <w:highlight w:val="none"/>
        </w:rPr>
        <w:t>CATIA 3DE</w:t>
      </w:r>
      <w:r>
        <w:rPr>
          <w:rFonts w:hint="eastAsia" w:ascii="华文宋体" w:hAnsi="华文宋体" w:cs="华文宋体"/>
          <w:bCs/>
          <w:szCs w:val="24"/>
          <w:highlight w:val="none"/>
        </w:rPr>
        <w:t>三维模型，实现“所选即所见”。</w:t>
      </w:r>
    </w:p>
    <w:p w14:paraId="54828E8B">
      <w:pPr>
        <w:spacing w:line="360" w:lineRule="auto"/>
        <w:ind w:firstLine="480"/>
        <w:rPr>
          <w:rFonts w:hint="eastAsia" w:ascii="华文宋体" w:hAnsi="华文宋体" w:cs="华文宋体"/>
          <w:bCs/>
          <w:szCs w:val="24"/>
          <w:highlight w:val="none"/>
        </w:rPr>
      </w:pPr>
      <w:r>
        <w:rPr>
          <w:rFonts w:hint="eastAsia" w:ascii="华文宋体" w:hAnsi="华文宋体" w:cs="华文宋体"/>
          <w:bCs/>
          <w:szCs w:val="24"/>
          <w:highlight w:val="none"/>
        </w:rPr>
        <w:t>（4）支持</w:t>
      </w:r>
      <w:r>
        <w:rPr>
          <w:rFonts w:hint="eastAsia" w:ascii="华文宋体" w:hAnsi="华文宋体" w:cs="华文宋体"/>
          <w:szCs w:val="24"/>
          <w:highlight w:val="none"/>
        </w:rPr>
        <w:t>CATIA 3DE</w:t>
      </w:r>
      <w:r>
        <w:rPr>
          <w:rFonts w:hint="eastAsia" w:ascii="华文宋体" w:hAnsi="华文宋体" w:cs="华文宋体"/>
          <w:bCs/>
          <w:szCs w:val="24"/>
          <w:highlight w:val="none"/>
        </w:rPr>
        <w:t>三维剖切、</w:t>
      </w:r>
      <w:r>
        <w:rPr>
          <w:rFonts w:hint="eastAsia" w:ascii="华文宋体" w:hAnsi="华文宋体" w:cs="华文宋体"/>
          <w:szCs w:val="24"/>
          <w:highlight w:val="none"/>
        </w:rPr>
        <w:t>测量</w:t>
      </w:r>
      <w:r>
        <w:rPr>
          <w:rFonts w:hint="eastAsia" w:ascii="华文宋体" w:hAnsi="华文宋体" w:cs="华文宋体"/>
          <w:bCs/>
          <w:szCs w:val="24"/>
          <w:highlight w:val="none"/>
        </w:rPr>
        <w:t>、爆炸、隐藏/显示等基本查看操作，便于配置与评审。</w:t>
      </w:r>
    </w:p>
    <w:p w14:paraId="2C4A2E5A">
      <w:pPr>
        <w:pStyle w:val="4"/>
        <w:snapToGrid w:val="0"/>
        <w:spacing w:before="156" w:beforeLines="50" w:after="312"/>
        <w:ind w:firstLine="480"/>
        <w:rPr>
          <w:rFonts w:hint="eastAsia" w:ascii="华文宋体" w:hAnsi="华文宋体" w:cs="华文宋体"/>
          <w:bCs/>
          <w:sz w:val="24"/>
          <w:szCs w:val="24"/>
          <w:highlight w:val="none"/>
        </w:rPr>
      </w:pPr>
      <w:bookmarkStart w:id="1573" w:name="_Toc31008"/>
      <w:r>
        <w:rPr>
          <w:rFonts w:hint="eastAsia" w:ascii="华文宋体" w:hAnsi="华文宋体" w:cs="华文宋体"/>
          <w:bCs/>
          <w:sz w:val="24"/>
          <w:szCs w:val="24"/>
          <w:highlight w:val="none"/>
        </w:rPr>
        <w:t>3.1.14 多维度检索、结构派生与复用（复制/复用/排除）能力</w:t>
      </w:r>
      <w:bookmarkEnd w:id="1573"/>
    </w:p>
    <w:p w14:paraId="2D800A7B">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（1）系统应提供面向产品/配置/零部件数据的多维分面检索（如按库、分类、成熟度、变更、组织、时间等维度组合过滤）。检索结果应可直接用于配置选型、结构编辑与复用。</w:t>
      </w:r>
    </w:p>
    <w:p w14:paraId="60DEEC53">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（2）系统应支持基于既有产品/型号结构派生新结构，派生时可对每个组成逐结点选择“复用/复制/排除/连图纸复制”等策略。</w:t>
      </w:r>
    </w:p>
    <w:p w14:paraId="704B9799">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（3）派生过程应在同一界面完成，最大化复用既有零部件与设计成果，缩短新型号搭建周期。</w:t>
      </w:r>
    </w:p>
    <w:p w14:paraId="63E10AFE">
      <w:pPr>
        <w:pStyle w:val="4"/>
        <w:spacing w:before="156" w:beforeLines="50" w:after="312"/>
        <w:ind w:firstLine="480"/>
        <w:rPr>
          <w:rFonts w:hint="eastAsia" w:ascii="华文宋体" w:hAnsi="华文宋体" w:cs="华文宋体"/>
          <w:sz w:val="24"/>
          <w:szCs w:val="24"/>
          <w:highlight w:val="none"/>
        </w:rPr>
      </w:pPr>
      <w:bookmarkStart w:id="1574" w:name="_Toc3544"/>
      <w:bookmarkStart w:id="1575" w:name="_Toc231854125"/>
      <w:bookmarkStart w:id="1576" w:name="_Toc22094"/>
      <w:bookmarkStart w:id="1577" w:name="_Toc231830276"/>
      <w:r>
        <w:rPr>
          <w:rFonts w:ascii="Segoe UI Symbol" w:hAnsi="Segoe UI Symbol" w:cs="Segoe UI Symbol"/>
          <w:sz w:val="24"/>
          <w:szCs w:val="16"/>
          <w:highlight w:val="none"/>
        </w:rPr>
        <w:t>★</w:t>
      </w:r>
      <w:r>
        <w:rPr>
          <w:rFonts w:hint="eastAsia" w:ascii="Segoe UI Symbol" w:hAnsi="Segoe UI Symbol" w:cs="Segoe UI Symbol"/>
          <w:highlight w:val="none"/>
        </w:rPr>
        <w:t xml:space="preserve"> </w:t>
      </w:r>
      <w:r>
        <w:rPr>
          <w:rFonts w:hint="eastAsia" w:ascii="华文宋体" w:hAnsi="华文宋体" w:cs="华文宋体"/>
          <w:sz w:val="24"/>
          <w:szCs w:val="24"/>
          <w:highlight w:val="none"/>
        </w:rPr>
        <w:t>3.1.15 配置完整产品与超配缺口的补充工程设计能力</w:t>
      </w:r>
      <w:bookmarkEnd w:id="1574"/>
    </w:p>
    <w:p w14:paraId="565D66C1">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（1）系统应支持依据产品配置架构，将订单需求直接配置为完整产品（100%），生成完整的订单精确BOM。</w:t>
      </w:r>
    </w:p>
    <w:p w14:paraId="15019A35">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（2）当订单需求超出现有配置能力、无法完全配置出完整产品时，系统应支持在同一平台内标识配置缺口（不可配置项/需新增零部件），并针对缺口发起补充工程设计。</w:t>
      </w:r>
    </w:p>
    <w:p w14:paraId="77E993A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（3）补充工程设计使用招标方现有三维设计软件CATIA 3DE完成；设计成果（含三维数模）应回注到产品结构与配置BOM 中，使该订单BOM 达到完整。</w:t>
      </w:r>
    </w:p>
    <w:p w14:paraId="47C9A3ED">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（4）补充设计应纳入变更与版本管理，并与原配置保持数据同源、可追溯，避免设计与配置数据脱节。</w:t>
      </w:r>
    </w:p>
    <w:p w14:paraId="79390A0D">
      <w:pPr>
        <w:pStyle w:val="4"/>
        <w:spacing w:before="156" w:beforeLines="50" w:after="312"/>
        <w:ind w:firstLine="480"/>
        <w:rPr>
          <w:rFonts w:hint="eastAsia" w:ascii="华文宋体" w:hAnsi="华文宋体" w:cs="华文宋体"/>
          <w:bCs/>
          <w:sz w:val="24"/>
          <w:szCs w:val="24"/>
          <w:highlight w:val="none"/>
        </w:rPr>
      </w:pPr>
      <w:bookmarkStart w:id="1578" w:name="_Toc4289"/>
      <w:r>
        <w:rPr>
          <w:rFonts w:hint="eastAsia" w:ascii="华文宋体" w:hAnsi="华文宋体" w:cs="华文宋体"/>
          <w:sz w:val="24"/>
          <w:szCs w:val="24"/>
          <w:highlight w:val="none"/>
        </w:rPr>
        <w:t>△</w:t>
      </w:r>
      <w:r>
        <w:rPr>
          <w:rFonts w:hint="eastAsia" w:ascii="Segoe UI Symbol" w:hAnsi="Segoe UI Symbol" w:cs="Segoe UI Symbol"/>
          <w:highlight w:val="none"/>
        </w:rPr>
        <w:t xml:space="preserve"> </w:t>
      </w:r>
      <w:r>
        <w:rPr>
          <w:rFonts w:hint="eastAsia" w:ascii="华文宋体" w:hAnsi="华文宋体" w:cs="华文宋体"/>
          <w:bCs/>
          <w:sz w:val="24"/>
          <w:szCs w:val="24"/>
          <w:highlight w:val="none"/>
        </w:rPr>
        <w:t>3.1.16 网页端产品结构在线可视化编辑能力</w:t>
      </w:r>
      <w:bookmarkEnd w:id="1578"/>
    </w:p>
    <w:p w14:paraId="59B8D10F">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（1）系统应支持在浏览器端对多来源CATIA 3DE三维产品结构进行在线查看与编辑（如插入/移动/隐藏组件、调整层级），无需在本机安装设计软件。</w:t>
      </w:r>
    </w:p>
    <w:p w14:paraId="5ABA06C9">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（2）支持以拖放方式插入组件，并提供对齐/定位辅助；编辑结果与平台BOM保持一致。</w:t>
      </w:r>
    </w:p>
    <w:p w14:paraId="0D15922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（3）架构/评审人员可在网页端完成变更准备，需要时再交由设计软件完成精细建模。</w:t>
      </w:r>
    </w:p>
    <w:p w14:paraId="788F4EFB">
      <w:pPr>
        <w:pStyle w:val="4"/>
        <w:snapToGrid w:val="0"/>
        <w:spacing w:before="156" w:beforeLines="50" w:after="312"/>
        <w:ind w:firstLine="480"/>
        <w:rPr>
          <w:rFonts w:hint="eastAsia" w:ascii="华文宋体" w:hAnsi="华文宋体" w:cs="华文宋体"/>
          <w:sz w:val="24"/>
          <w:szCs w:val="24"/>
          <w:highlight w:val="none"/>
        </w:rPr>
      </w:pPr>
      <w:bookmarkStart w:id="1579" w:name="_Toc21316"/>
      <w:r>
        <w:rPr>
          <w:rFonts w:hint="eastAsia" w:ascii="华文宋体" w:hAnsi="华文宋体" w:cs="华文宋体"/>
          <w:sz w:val="24"/>
          <w:szCs w:val="24"/>
          <w:highlight w:val="none"/>
        </w:rPr>
        <w:t xml:space="preserve">3.1.17  </w:t>
      </w:r>
      <w:bookmarkEnd w:id="1575"/>
      <w:bookmarkEnd w:id="1576"/>
      <w:bookmarkEnd w:id="1577"/>
      <w:r>
        <w:rPr>
          <w:rFonts w:hint="eastAsia" w:ascii="华文宋体" w:hAnsi="华文宋体" w:cs="华文宋体"/>
          <w:sz w:val="24"/>
          <w:szCs w:val="24"/>
          <w:highlight w:val="none"/>
        </w:rPr>
        <w:t>集成能力</w:t>
      </w:r>
      <w:bookmarkEnd w:id="1579"/>
    </w:p>
    <w:p w14:paraId="155D5443">
      <w:pPr>
        <w:pStyle w:val="4"/>
        <w:snapToGrid w:val="0"/>
        <w:spacing w:before="156" w:beforeLines="50" w:after="312"/>
        <w:ind w:firstLine="480"/>
        <w:rPr>
          <w:rFonts w:hint="eastAsia" w:ascii="华文宋体" w:hAnsi="华文宋体" w:cs="华文宋体"/>
          <w:color w:val="000000" w:themeColor="text1"/>
          <w:sz w:val="24"/>
          <w:szCs w:val="24"/>
          <w:highlight w:val="none"/>
          <w14:textFill>
            <w14:solidFill>
              <w14:schemeClr w14:val="tx1"/>
            </w14:solidFill>
          </w14:textFill>
        </w:rPr>
      </w:pPr>
      <w:bookmarkStart w:id="1580" w:name="_Toc16052"/>
      <w:r>
        <w:rPr>
          <w:rFonts w:hint="eastAsia" w:ascii="华文宋体" w:hAnsi="华文宋体" w:cs="华文宋体"/>
          <w:color w:val="000000" w:themeColor="text1"/>
          <w:sz w:val="24"/>
          <w:szCs w:val="24"/>
          <w:highlight w:val="none"/>
          <w14:textFill>
            <w14:solidFill>
              <w14:schemeClr w14:val="tx1"/>
            </w14:solidFill>
          </w14:textFill>
        </w:rPr>
        <w:t>（1）与协同开发管理系统集成接口能力</w:t>
      </w:r>
      <w:bookmarkEnd w:id="1580"/>
    </w:p>
    <w:p w14:paraId="2B1301B3">
      <w:pPr>
        <w:spacing w:line="360" w:lineRule="auto"/>
        <w:ind w:firstLine="480"/>
        <w:rPr>
          <w:rFonts w:hint="eastAsia" w:ascii="华文宋体" w:hAnsi="华文宋体" w:cs="华文宋体"/>
          <w:color w:val="000000" w:themeColor="text1"/>
          <w:szCs w:val="24"/>
          <w:highlight w:val="none"/>
          <w14:textFill>
            <w14:solidFill>
              <w14:schemeClr w14:val="tx1"/>
            </w14:solidFill>
          </w14:textFill>
        </w:rPr>
      </w:pPr>
      <w:r>
        <w:rPr>
          <w:rFonts w:hint="eastAsia" w:ascii="华文宋体" w:hAnsi="华文宋体" w:cs="华文宋体"/>
          <w:color w:val="000000" w:themeColor="text1"/>
          <w:szCs w:val="24"/>
          <w:highlight w:val="none"/>
          <w14:textFill>
            <w14:solidFill>
              <w14:schemeClr w14:val="tx1"/>
            </w14:solidFill>
          </w14:textFill>
        </w:rPr>
        <w:t>面向钻探分院已建设协同开发管理系统（以下简称“PLM系统”），实现配置管理系统与PLM系统的以下集成接口要求：</w:t>
      </w:r>
    </w:p>
    <w:p w14:paraId="2A74AFFA">
      <w:pPr>
        <w:spacing w:line="360" w:lineRule="auto"/>
        <w:ind w:firstLine="480"/>
        <w:rPr>
          <w:rFonts w:hint="eastAsia" w:ascii="华文宋体" w:hAnsi="华文宋体" w:cs="华文宋体"/>
          <w:color w:val="000000" w:themeColor="text1"/>
          <w:szCs w:val="24"/>
          <w:highlight w:val="none"/>
          <w14:textFill>
            <w14:solidFill>
              <w14:schemeClr w14:val="tx1"/>
            </w14:solidFill>
          </w14:textFill>
        </w:rPr>
      </w:pPr>
      <w:r>
        <w:rPr>
          <w:rFonts w:ascii="Segoe UI Symbol" w:hAnsi="Segoe UI Symbol" w:cs="Segoe UI Symbol"/>
          <w:szCs w:val="16"/>
          <w:highlight w:val="none"/>
        </w:rPr>
        <w:t>★</w:t>
      </w:r>
      <w:r>
        <w:rPr>
          <w:rFonts w:hint="eastAsia" w:ascii="Segoe UI Symbol" w:hAnsi="Segoe UI Symbol" w:cs="Segoe UI Symbol"/>
          <w:highlight w:val="none"/>
        </w:rPr>
        <w:t xml:space="preserve"> </w:t>
      </w:r>
      <w:r>
        <w:rPr>
          <w:rFonts w:hint="eastAsia" w:ascii="华文宋体" w:hAnsi="华文宋体" w:cs="华文宋体"/>
          <w:color w:val="000000" w:themeColor="text1"/>
          <w:szCs w:val="24"/>
          <w:highlight w:val="none"/>
          <w14:textFill>
            <w14:solidFill>
              <w14:schemeClr w14:val="tx1"/>
            </w14:solidFill>
          </w14:textFill>
        </w:rPr>
        <w:t>1）物料与BOM接口。将PLM系统中的工程物料、CATIA 3DE 模型和BOM传递给配置平台，形成可配置的基础。实现关键接口：物料主数据同步接口，传递零部件属性；BOM结构同步接口，传递父子件关系。</w:t>
      </w:r>
    </w:p>
    <w:p w14:paraId="0D0336F6">
      <w:pPr>
        <w:spacing w:line="360" w:lineRule="auto"/>
        <w:ind w:firstLine="480"/>
        <w:rPr>
          <w:rFonts w:hint="eastAsia" w:ascii="华文宋体" w:hAnsi="华文宋体" w:cs="华文宋体"/>
          <w:color w:val="000000" w:themeColor="text1"/>
          <w:szCs w:val="24"/>
          <w:highlight w:val="none"/>
          <w14:textFill>
            <w14:solidFill>
              <w14:schemeClr w14:val="tx1"/>
            </w14:solidFill>
          </w14:textFill>
        </w:rPr>
      </w:pPr>
      <w:r>
        <w:rPr>
          <w:rFonts w:hint="eastAsia" w:ascii="华文宋体" w:hAnsi="华文宋体" w:cs="华文宋体"/>
          <w:color w:val="000000" w:themeColor="text1"/>
          <w:szCs w:val="24"/>
          <w:highlight w:val="none"/>
          <w14:textFill>
            <w14:solidFill>
              <w14:schemeClr w14:val="tx1"/>
            </w14:solidFill>
          </w14:textFill>
        </w:rPr>
        <w:t>2）产品族与产品线接口，定义配置平台中的产品分类结构。产品分类/族同步接口，定义如“钻机”等大类的划分。</w:t>
      </w:r>
    </w:p>
    <w:p w14:paraId="2D829E91">
      <w:pPr>
        <w:spacing w:line="360" w:lineRule="auto"/>
        <w:ind w:firstLine="480"/>
        <w:rPr>
          <w:rFonts w:hint="eastAsia" w:ascii="华文宋体" w:hAnsi="华文宋体" w:cs="华文宋体"/>
          <w:color w:val="000000" w:themeColor="text1"/>
          <w:szCs w:val="24"/>
          <w:highlight w:val="none"/>
          <w14:textFill>
            <w14:solidFill>
              <w14:schemeClr w14:val="tx1"/>
            </w14:solidFill>
          </w14:textFill>
        </w:rPr>
      </w:pPr>
      <w:r>
        <w:rPr>
          <w:rFonts w:hint="eastAsia" w:ascii="华文宋体" w:hAnsi="华文宋体" w:cs="华文宋体"/>
          <w:color w:val="000000" w:themeColor="text1"/>
          <w:szCs w:val="24"/>
          <w:highlight w:val="none"/>
          <w14:textFill>
            <w14:solidFill>
              <w14:schemeClr w14:val="tx1"/>
            </w14:solidFill>
          </w14:textFill>
        </w:rPr>
        <w:t>3）特征库与选项库接口，定义客户能看到的选项（如尺寸）与PLM中存在的零件之间的映射。特征与选项同步接口，例如特征“颜色”，选项“红/蓝/黑”。选项与物料映射关系接口，定义选了“红色”对应消耗哪个具体的油漆件号。</w:t>
      </w:r>
    </w:p>
    <w:p w14:paraId="34F83E8A">
      <w:pPr>
        <w:spacing w:line="360" w:lineRule="auto"/>
        <w:ind w:firstLine="480"/>
        <w:rPr>
          <w:rFonts w:hint="eastAsia" w:ascii="华文宋体" w:hAnsi="华文宋体" w:cs="华文宋体"/>
          <w:color w:val="000000" w:themeColor="text1"/>
          <w:szCs w:val="24"/>
          <w:highlight w:val="none"/>
          <w14:textFill>
            <w14:solidFill>
              <w14:schemeClr w14:val="tx1"/>
            </w14:solidFill>
          </w14:textFill>
        </w:rPr>
      </w:pPr>
      <w:r>
        <w:rPr>
          <w:rFonts w:hint="eastAsia" w:ascii="华文宋体" w:hAnsi="华文宋体" w:cs="华文宋体"/>
          <w:color w:val="000000" w:themeColor="text1"/>
          <w:szCs w:val="24"/>
          <w:highlight w:val="none"/>
          <w14:textFill>
            <w14:solidFill>
              <w14:schemeClr w14:val="tx1"/>
            </w14:solidFill>
          </w14:textFill>
        </w:rPr>
        <w:t>4）配置规则接口，传递约束逻辑，防止生成不可能存在的产品。兼容性规则接口，定义“A可选B”或“选A必须选B”。互斥性规则接口：定义“选A不能选B”。过滤规则接口：定义在特定产品型号下，哪些选项是无效的。</w:t>
      </w:r>
    </w:p>
    <w:p w14:paraId="772DC582">
      <w:pPr>
        <w:spacing w:line="360" w:lineRule="auto"/>
        <w:ind w:firstLine="480"/>
        <w:rPr>
          <w:rFonts w:hint="eastAsia" w:ascii="华文宋体" w:hAnsi="华文宋体" w:cs="华文宋体"/>
          <w:color w:val="000000" w:themeColor="text1"/>
          <w:szCs w:val="24"/>
          <w:highlight w:val="none"/>
          <w14:textFill>
            <w14:solidFill>
              <w14:schemeClr w14:val="tx1"/>
            </w14:solidFill>
          </w14:textFill>
        </w:rPr>
      </w:pPr>
      <w:r>
        <w:rPr>
          <w:rFonts w:hint="eastAsia" w:ascii="华文宋体" w:hAnsi="华文宋体" w:cs="华文宋体"/>
          <w:color w:val="000000" w:themeColor="text1"/>
          <w:szCs w:val="24"/>
          <w:highlight w:val="none"/>
          <w14:textFill>
            <w14:solidFill>
              <w14:schemeClr w14:val="tx1"/>
            </w14:solidFill>
          </w14:textFill>
        </w:rPr>
        <w:t>5）工程变更接口，确保配置平台及时响应设计变更。ECO/ECR变更通知接口，PLM发起变更时通知配置平台。生效性/有效期同步接口，定义物料和BOM在哪个日期或批次后生效。</w:t>
      </w:r>
    </w:p>
    <w:p w14:paraId="1C4FA61C">
      <w:pPr>
        <w:pStyle w:val="4"/>
        <w:snapToGrid w:val="0"/>
        <w:spacing w:before="156" w:beforeLines="50" w:after="312"/>
        <w:ind w:firstLine="480"/>
        <w:rPr>
          <w:rFonts w:hint="eastAsia" w:ascii="华文宋体" w:hAnsi="华文宋体" w:cs="华文宋体"/>
          <w:sz w:val="24"/>
          <w:szCs w:val="24"/>
          <w:highlight w:val="none"/>
        </w:rPr>
      </w:pPr>
      <w:bookmarkStart w:id="1581" w:name="_Toc25964"/>
      <w:r>
        <w:rPr>
          <w:rFonts w:hint="eastAsia" w:ascii="华文宋体" w:hAnsi="华文宋体" w:cs="华文宋体"/>
          <w:sz w:val="24"/>
          <w:szCs w:val="24"/>
          <w:highlight w:val="none"/>
        </w:rPr>
        <w:t>（2）与 CAPP工艺系统集成接口能力</w:t>
      </w:r>
      <w:bookmarkEnd w:id="1581"/>
    </w:p>
    <w:p w14:paraId="7419AF65">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 设计BOM在PLM中发布之后，通过集成接口将设计BOM结构集成同步到CAPP系统中。</w:t>
      </w:r>
    </w:p>
    <w:p w14:paraId="4CDF3FE8">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2）设计图纸在PLM中发布之后，通过集成接口将已经签名盖章的pdf格式的图纸集成同步到CAPP系统中。</w:t>
      </w:r>
    </w:p>
    <w:p w14:paraId="1311914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3）设计BOM在PLM中变更发布之后，通过集成接口将变更后的设计BOM结构集成同步到CAPP系统中。</w:t>
      </w:r>
    </w:p>
    <w:p w14:paraId="29D4DA2F">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4）设计图纸在PLM中变更发布之后，通过集成接口将变更后已经签名盖章的pdf格式的图纸集成同步到CAPP系统中。</w:t>
      </w:r>
    </w:p>
    <w:p w14:paraId="6D0338A0">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5）工艺PBOM编辑完成之后，通过集成接口将PBOM初始化到PLM系统中。</w:t>
      </w:r>
    </w:p>
    <w:p w14:paraId="497F3088">
      <w:pPr>
        <w:pStyle w:val="4"/>
        <w:snapToGrid w:val="0"/>
        <w:spacing w:before="156" w:beforeLines="50" w:after="312"/>
        <w:ind w:firstLine="480"/>
        <w:rPr>
          <w:rFonts w:hint="eastAsia" w:ascii="华文宋体" w:hAnsi="华文宋体" w:cs="华文宋体"/>
          <w:sz w:val="24"/>
          <w:szCs w:val="24"/>
          <w:highlight w:val="none"/>
        </w:rPr>
      </w:pPr>
      <w:bookmarkStart w:id="1582" w:name="_Toc28761"/>
      <w:r>
        <w:rPr>
          <w:rFonts w:hint="eastAsia" w:ascii="华文宋体" w:hAnsi="华文宋体" w:cs="华文宋体"/>
          <w:sz w:val="24"/>
          <w:szCs w:val="24"/>
          <w:highlight w:val="none"/>
        </w:rPr>
        <w:t>（3）与ERP生产资源系统集成接口能力</w:t>
      </w:r>
      <w:bookmarkEnd w:id="1582"/>
    </w:p>
    <w:p w14:paraId="11CA71B4">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1）整机/零部件的MBOM编制发布后，同步至 ERP 用于计划、采购核算。</w:t>
      </w:r>
    </w:p>
    <w:p w14:paraId="6511F18E">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2）在项目上线之前，通过MBOM初始化集成接口将ERP中所有的BOM同步到PLM系统中。</w:t>
      </w:r>
    </w:p>
    <w:p w14:paraId="3111B15C">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3）所有的MBOM变更在ERP中完成，MBOM在ERP中变更生效之后，通过集成接口将变更后的BOM结构同步到PLM中，PLM只保留最新版的MBOM结构。</w:t>
      </w:r>
    </w:p>
    <w:p w14:paraId="351A7D91">
      <w:pPr>
        <w:pStyle w:val="4"/>
        <w:snapToGrid w:val="0"/>
        <w:spacing w:before="156" w:beforeLines="50" w:after="312"/>
        <w:ind w:firstLine="480"/>
        <w:rPr>
          <w:rFonts w:hint="eastAsia" w:ascii="华文宋体" w:hAnsi="华文宋体" w:cs="华文宋体"/>
          <w:sz w:val="24"/>
          <w:szCs w:val="24"/>
          <w:highlight w:val="none"/>
        </w:rPr>
      </w:pPr>
      <w:bookmarkStart w:id="1583" w:name="_Toc9432"/>
      <w:bookmarkStart w:id="1584" w:name="_Toc25537"/>
      <w:bookmarkStart w:id="1585" w:name="_Toc231854127"/>
      <w:r>
        <w:rPr>
          <w:rFonts w:hint="eastAsia" w:ascii="华文宋体" w:hAnsi="华文宋体" w:cs="华文宋体"/>
          <w:sz w:val="24"/>
          <w:szCs w:val="24"/>
          <w:highlight w:val="none"/>
        </w:rPr>
        <w:t>3.2 建设内容</w:t>
      </w:r>
      <w:bookmarkEnd w:id="1583"/>
      <w:bookmarkEnd w:id="1584"/>
      <w:bookmarkEnd w:id="1585"/>
    </w:p>
    <w:p w14:paraId="359F5FB3">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lang w:val="en-US" w:eastAsia="zh-CN"/>
        </w:rPr>
        <w:t xml:space="preserve">3.2.1 </w:t>
      </w:r>
      <w:r>
        <w:rPr>
          <w:rFonts w:hint="eastAsia" w:ascii="华文宋体" w:hAnsi="华文宋体" w:cs="华文宋体"/>
          <w:szCs w:val="24"/>
          <w:highlight w:val="none"/>
        </w:rPr>
        <w:t>本项目通过采购软件平台及配套技术服务，建设以下核心内容：</w:t>
      </w:r>
    </w:p>
    <w:p w14:paraId="16E22DF0">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（1）订单驱动智能配置引擎部署：实现客户需求智能解析、模块自动匹配，支撑售前快速报价、订单精确 BOM 自动生成。</w:t>
      </w:r>
    </w:p>
    <w:p w14:paraId="5ED63D0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（2）知识图谱化配置规则库搭建：集成 NLP 语义解析，内置行业合规校验规则，实现配置约束标准化、智能化管控。</w:t>
      </w:r>
    </w:p>
    <w:p w14:paraId="3D86ABD3">
      <w:pPr>
        <w:spacing w:line="360" w:lineRule="auto"/>
        <w:ind w:firstLine="480"/>
        <w:rPr>
          <w:rFonts w:hint="eastAsia" w:ascii="华文宋体" w:hAnsi="华文宋体" w:cs="华文宋体"/>
          <w:szCs w:val="24"/>
          <w:highlight w:val="none"/>
        </w:rPr>
      </w:pPr>
      <w:r>
        <w:rPr>
          <w:rFonts w:ascii="Segoe UI Symbol" w:hAnsi="Segoe UI Symbol" w:cs="Segoe UI Symbol"/>
          <w:szCs w:val="16"/>
          <w:highlight w:val="none"/>
        </w:rPr>
        <w:t>★</w:t>
      </w:r>
      <w:r>
        <w:rPr>
          <w:rFonts w:hint="eastAsia" w:ascii="华文宋体" w:hAnsi="华文宋体" w:cs="华文宋体"/>
          <w:szCs w:val="24"/>
          <w:highlight w:val="none"/>
        </w:rPr>
        <w:t>（3）模块化体系标准化落地：完成超配 BOM、CBB 知识库、配置特征库建模，提升零部件复用率，达到国标三级模块化应用能力。</w:t>
      </w:r>
    </w:p>
    <w:p w14:paraId="296617B5">
      <w:pPr>
        <w:spacing w:line="360" w:lineRule="auto"/>
        <w:ind w:firstLine="480"/>
        <w:rPr>
          <w:rFonts w:hint="eastAsia" w:ascii="华文宋体" w:hAnsi="华文宋体" w:cs="华文宋体"/>
          <w:szCs w:val="24"/>
          <w:highlight w:val="none"/>
        </w:rPr>
      </w:pPr>
      <w:r>
        <w:rPr>
          <w:rFonts w:ascii="Segoe UI Symbol" w:hAnsi="Segoe UI Symbol" w:cs="Segoe UI Symbol"/>
          <w:szCs w:val="16"/>
          <w:highlight w:val="none"/>
        </w:rPr>
        <w:t>★</w:t>
      </w:r>
      <w:r>
        <w:rPr>
          <w:rFonts w:hint="eastAsia" w:ascii="华文宋体" w:hAnsi="华文宋体" w:cs="华文宋体"/>
          <w:szCs w:val="24"/>
          <w:highlight w:val="none"/>
        </w:rPr>
        <w:t>（4）三维设计工具深度打通：配置参数变更联动 CATIA 3DE三维模型、PLM BOM 实时更新，保障设计数据同源一致。</w:t>
      </w:r>
    </w:p>
    <w:p w14:paraId="1B9A4B26">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（5）历史配置数据挖掘分析：基于历史订单选配数据输出优化分析报告，持续缩短配置选型周期。</w:t>
      </w:r>
    </w:p>
    <w:p w14:paraId="357A1AA2">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rPr>
        <w:t>（6）供应链数据协同链路搭建：打通配置平台与采购、库存数据，优化物料采购成本。</w:t>
      </w:r>
    </w:p>
    <w:p w14:paraId="4287739D">
      <w:pPr>
        <w:spacing w:line="360" w:lineRule="auto"/>
        <w:ind w:firstLine="480"/>
        <w:rPr>
          <w:rFonts w:hint="eastAsia" w:ascii="华文宋体" w:hAnsi="华文宋体" w:cs="华文宋体"/>
          <w:szCs w:val="24"/>
          <w:highlight w:val="none"/>
        </w:rPr>
      </w:pPr>
      <w:r>
        <w:rPr>
          <w:rFonts w:hint="eastAsia" w:ascii="华文宋体" w:hAnsi="华文宋体" w:cs="华文宋体"/>
          <w:szCs w:val="24"/>
          <w:highlight w:val="none"/>
          <w:lang w:val="en-US" w:eastAsia="zh-CN"/>
        </w:rPr>
        <w:t xml:space="preserve">3.2.2 </w:t>
      </w:r>
      <w:r>
        <w:rPr>
          <w:rFonts w:hint="eastAsia" w:ascii="华文宋体" w:hAnsi="华文宋体" w:cs="华文宋体"/>
          <w:szCs w:val="24"/>
          <w:highlight w:val="none"/>
        </w:rPr>
        <w:t>整套系统建成后作为钻探装备定制化研发、生产的数字化智能核心驱动引擎，</w:t>
      </w:r>
      <w:r>
        <w:rPr>
          <w:rFonts w:hint="eastAsia" w:ascii="华文宋体" w:hAnsi="华文宋体" w:cs="华文宋体"/>
          <w:b/>
          <w:bCs/>
          <w:szCs w:val="24"/>
          <w:highlight w:val="none"/>
          <w:lang w:val="en-US" w:eastAsia="zh-CN"/>
        </w:rPr>
        <w:t>供货一览表如下</w:t>
      </w:r>
      <w:r>
        <w:rPr>
          <w:rFonts w:hint="eastAsia" w:ascii="华文宋体" w:hAnsi="华文宋体" w:cs="华文宋体"/>
          <w:szCs w:val="24"/>
          <w:highlight w:val="none"/>
        </w:rPr>
        <w:t>：表1。</w:t>
      </w:r>
    </w:p>
    <w:p w14:paraId="1FE301CB">
      <w:pPr>
        <w:pStyle w:val="26"/>
        <w:ind w:firstLine="480"/>
        <w:jc w:val="center"/>
        <w:rPr>
          <w:rFonts w:hint="eastAsia" w:ascii="华文宋体" w:hAnsi="华文宋体" w:eastAsia="华文宋体" w:cs="华文宋体"/>
          <w:sz w:val="24"/>
          <w:szCs w:val="24"/>
          <w:highlight w:val="none"/>
        </w:rPr>
      </w:pPr>
      <w:r>
        <w:rPr>
          <w:rFonts w:hint="eastAsia" w:ascii="华文宋体" w:hAnsi="华文宋体" w:eastAsia="华文宋体" w:cs="华文宋体"/>
          <w:sz w:val="24"/>
          <w:szCs w:val="24"/>
          <w:highlight w:val="none"/>
        </w:rPr>
        <w:t>表1采购内容及数量详见表</w:t>
      </w:r>
    </w:p>
    <w:tbl>
      <w:tblPr>
        <w:tblStyle w:val="20"/>
        <w:tblW w:w="4819" w:type="pct"/>
        <w:jc w:val="center"/>
        <w:tblLayout w:type="fixed"/>
        <w:tblCellMar>
          <w:top w:w="0" w:type="dxa"/>
          <w:left w:w="108" w:type="dxa"/>
          <w:bottom w:w="0" w:type="dxa"/>
          <w:right w:w="108" w:type="dxa"/>
        </w:tblCellMar>
      </w:tblPr>
      <w:tblGrid>
        <w:gridCol w:w="830"/>
        <w:gridCol w:w="996"/>
        <w:gridCol w:w="1321"/>
        <w:gridCol w:w="4454"/>
        <w:gridCol w:w="827"/>
        <w:gridCol w:w="906"/>
      </w:tblGrid>
      <w:tr w14:paraId="3192FAE2">
        <w:tblPrEx>
          <w:tblCellMar>
            <w:top w:w="0" w:type="dxa"/>
            <w:left w:w="108" w:type="dxa"/>
            <w:bottom w:w="0" w:type="dxa"/>
            <w:right w:w="108" w:type="dxa"/>
          </w:tblCellMar>
        </w:tblPrEx>
        <w:trPr>
          <w:trHeight w:val="609" w:hRule="atLeast"/>
          <w:jc w:val="center"/>
        </w:trPr>
        <w:tc>
          <w:tcPr>
            <w:tcW w:w="444"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0DBCBA1F">
            <w:pPr>
              <w:ind w:firstLine="0" w:firstLineChars="0"/>
              <w:rPr>
                <w:rFonts w:hint="eastAsia" w:ascii="华文仿宋" w:hAnsi="华文仿宋" w:eastAsia="华文仿宋" w:cs="宋体"/>
                <w:b/>
                <w:szCs w:val="21"/>
              </w:rPr>
            </w:pPr>
            <w:r>
              <w:rPr>
                <w:rFonts w:hint="eastAsia" w:ascii="华文仿宋" w:hAnsi="华文仿宋" w:eastAsia="华文仿宋" w:cs="宋体"/>
                <w:b/>
                <w:szCs w:val="21"/>
              </w:rPr>
              <w:t>序号</w:t>
            </w:r>
          </w:p>
        </w:tc>
        <w:tc>
          <w:tcPr>
            <w:tcW w:w="533"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72246F56">
            <w:pPr>
              <w:ind w:firstLine="0" w:firstLineChars="0"/>
              <w:rPr>
                <w:rFonts w:hint="eastAsia" w:ascii="华文仿宋" w:hAnsi="华文仿宋" w:eastAsia="华文仿宋" w:cs="宋体"/>
                <w:b/>
                <w:szCs w:val="21"/>
              </w:rPr>
            </w:pPr>
            <w:r>
              <w:rPr>
                <w:rFonts w:hint="eastAsia" w:ascii="华文仿宋" w:hAnsi="华文仿宋" w:eastAsia="华文仿宋" w:cs="宋体"/>
                <w:b/>
                <w:szCs w:val="21"/>
              </w:rPr>
              <w:t>名称</w:t>
            </w:r>
          </w:p>
        </w:tc>
        <w:tc>
          <w:tcPr>
            <w:tcW w:w="707" w:type="pct"/>
            <w:tcBorders>
              <w:top w:val="single" w:color="000000" w:sz="4" w:space="0"/>
              <w:left w:val="single" w:color="000000" w:sz="4" w:space="0"/>
              <w:bottom w:val="single" w:color="000000" w:sz="4" w:space="0"/>
              <w:right w:val="single" w:color="000000" w:sz="4" w:space="0"/>
              <w:tl2br w:val="nil"/>
              <w:tr2bl w:val="nil"/>
            </w:tcBorders>
            <w:vAlign w:val="center"/>
          </w:tcPr>
          <w:p w14:paraId="2BB09EB1">
            <w:pPr>
              <w:ind w:firstLine="0" w:firstLineChars="0"/>
              <w:rPr>
                <w:rFonts w:hint="eastAsia" w:ascii="华文仿宋" w:hAnsi="华文仿宋" w:eastAsia="华文仿宋" w:cs="宋体"/>
                <w:b/>
                <w:szCs w:val="21"/>
              </w:rPr>
            </w:pPr>
            <w:r>
              <w:rPr>
                <w:rFonts w:hint="eastAsia" w:ascii="华文仿宋" w:hAnsi="华文仿宋" w:eastAsia="华文仿宋" w:cs="宋体"/>
                <w:b/>
                <w:szCs w:val="21"/>
              </w:rPr>
              <w:t>项目名称</w:t>
            </w:r>
          </w:p>
        </w:tc>
        <w:tc>
          <w:tcPr>
            <w:tcW w:w="2385" w:type="pct"/>
            <w:tcBorders>
              <w:top w:val="single" w:color="000000" w:sz="4" w:space="0"/>
              <w:left w:val="single" w:color="000000" w:sz="4" w:space="0"/>
              <w:bottom w:val="single" w:color="000000" w:sz="4" w:space="0"/>
              <w:right w:val="single" w:color="000000" w:sz="4" w:space="0"/>
              <w:tl2br w:val="nil"/>
              <w:tr2bl w:val="nil"/>
            </w:tcBorders>
            <w:vAlign w:val="center"/>
          </w:tcPr>
          <w:p w14:paraId="5467813D">
            <w:pPr>
              <w:ind w:firstLine="0" w:firstLineChars="0"/>
              <w:rPr>
                <w:rFonts w:hint="eastAsia" w:ascii="华文仿宋" w:hAnsi="华文仿宋" w:eastAsia="华文仿宋" w:cs="宋体"/>
                <w:b/>
                <w:szCs w:val="21"/>
              </w:rPr>
            </w:pPr>
            <w:r>
              <w:rPr>
                <w:rFonts w:hint="eastAsia" w:ascii="华文仿宋" w:hAnsi="华文仿宋" w:eastAsia="华文仿宋" w:cs="宋体"/>
                <w:b/>
                <w:szCs w:val="21"/>
              </w:rPr>
              <w:t>建设内容</w:t>
            </w:r>
          </w:p>
        </w:tc>
        <w:tc>
          <w:tcPr>
            <w:tcW w:w="443"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47E2041F">
            <w:pPr>
              <w:ind w:firstLine="0" w:firstLineChars="0"/>
              <w:rPr>
                <w:rFonts w:hint="eastAsia" w:ascii="华文仿宋" w:hAnsi="华文仿宋" w:eastAsia="华文仿宋" w:cs="宋体"/>
                <w:b/>
                <w:szCs w:val="21"/>
              </w:rPr>
            </w:pPr>
            <w:r>
              <w:rPr>
                <w:rFonts w:hint="eastAsia" w:ascii="华文仿宋" w:hAnsi="华文仿宋" w:eastAsia="华文仿宋" w:cs="宋体"/>
                <w:b/>
                <w:szCs w:val="21"/>
              </w:rPr>
              <w:t>单位</w:t>
            </w:r>
          </w:p>
        </w:tc>
        <w:tc>
          <w:tcPr>
            <w:tcW w:w="485" w:type="pct"/>
            <w:tcBorders>
              <w:top w:val="single" w:color="000000" w:sz="4" w:space="0"/>
              <w:left w:val="single" w:color="000000" w:sz="4" w:space="0"/>
              <w:bottom w:val="single" w:color="000000" w:sz="4" w:space="0"/>
              <w:right w:val="single" w:color="000000" w:sz="4" w:space="0"/>
              <w:tl2br w:val="nil"/>
              <w:tr2bl w:val="nil"/>
            </w:tcBorders>
            <w:vAlign w:val="center"/>
          </w:tcPr>
          <w:p w14:paraId="53C2AEBC">
            <w:pPr>
              <w:ind w:firstLine="0" w:firstLineChars="0"/>
              <w:rPr>
                <w:rFonts w:hint="eastAsia" w:ascii="华文仿宋" w:hAnsi="华文仿宋" w:eastAsia="华文仿宋" w:cs="宋体"/>
                <w:b/>
                <w:szCs w:val="21"/>
              </w:rPr>
            </w:pPr>
            <w:r>
              <w:rPr>
                <w:rFonts w:hint="eastAsia" w:ascii="华文仿宋" w:hAnsi="华文仿宋" w:eastAsia="华文仿宋" w:cs="宋体"/>
                <w:b/>
                <w:szCs w:val="21"/>
              </w:rPr>
              <w:t>数量</w:t>
            </w:r>
          </w:p>
        </w:tc>
      </w:tr>
      <w:tr w14:paraId="618839F5">
        <w:tblPrEx>
          <w:tblCellMar>
            <w:top w:w="0" w:type="dxa"/>
            <w:left w:w="108" w:type="dxa"/>
            <w:bottom w:w="0" w:type="dxa"/>
            <w:right w:w="108" w:type="dxa"/>
          </w:tblCellMar>
        </w:tblPrEx>
        <w:trPr>
          <w:trHeight w:val="1060" w:hRule="atLeast"/>
          <w:jc w:val="center"/>
        </w:trPr>
        <w:tc>
          <w:tcPr>
            <w:tcW w:w="444" w:type="pct"/>
            <w:tcBorders>
              <w:top w:val="single" w:color="000000" w:sz="4" w:space="0"/>
              <w:left w:val="single" w:color="000000" w:sz="4" w:space="0"/>
              <w:bottom w:val="nil"/>
              <w:right w:val="single" w:color="000000" w:sz="4" w:space="0"/>
              <w:tl2br w:val="nil"/>
              <w:tr2bl w:val="nil"/>
            </w:tcBorders>
            <w:noWrap/>
            <w:vAlign w:val="center"/>
          </w:tcPr>
          <w:p w14:paraId="1A9DF0F2">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1.1</w:t>
            </w:r>
          </w:p>
        </w:tc>
        <w:tc>
          <w:tcPr>
            <w:tcW w:w="533" w:type="pct"/>
            <w:tcBorders>
              <w:top w:val="single" w:color="000000" w:sz="4" w:space="0"/>
              <w:left w:val="single" w:color="000000" w:sz="4" w:space="0"/>
              <w:bottom w:val="nil"/>
              <w:right w:val="single" w:color="000000" w:sz="4" w:space="0"/>
              <w:tl2br w:val="nil"/>
              <w:tr2bl w:val="nil"/>
            </w:tcBorders>
            <w:noWrap/>
            <w:vAlign w:val="center"/>
          </w:tcPr>
          <w:p w14:paraId="7CEE5CEC">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rPr>
              <w:t>软件平台</w:t>
            </w:r>
          </w:p>
        </w:tc>
        <w:tc>
          <w:tcPr>
            <w:tcW w:w="707" w:type="pct"/>
            <w:tcBorders>
              <w:top w:val="single" w:color="000000" w:sz="4" w:space="0"/>
              <w:left w:val="single" w:color="000000" w:sz="4" w:space="0"/>
              <w:bottom w:val="nil"/>
              <w:right w:val="single" w:color="000000" w:sz="4" w:space="0"/>
              <w:tl2br w:val="nil"/>
              <w:tr2bl w:val="nil"/>
            </w:tcBorders>
            <w:vAlign w:val="center"/>
          </w:tcPr>
          <w:p w14:paraId="579DB861">
            <w:pPr>
              <w:ind w:firstLine="0" w:firstLineChars="0"/>
              <w:rPr>
                <w:rFonts w:hint="eastAsia" w:ascii="华文仿宋" w:hAnsi="华文仿宋" w:eastAsia="华文仿宋" w:cs="宋体"/>
                <w:szCs w:val="21"/>
              </w:rPr>
            </w:pPr>
            <w:r>
              <w:rPr>
                <w:rFonts w:hint="eastAsia" w:ascii="华文仿宋" w:hAnsi="华文仿宋" w:eastAsia="华文仿宋" w:cs="宋体"/>
                <w:szCs w:val="21"/>
                <w:shd w:val="clear" w:color="auto" w:fill="FFFFFF"/>
              </w:rPr>
              <w:t>系统平台授权</w:t>
            </w:r>
          </w:p>
        </w:tc>
        <w:tc>
          <w:tcPr>
            <w:tcW w:w="2385" w:type="pct"/>
            <w:tcBorders>
              <w:top w:val="single" w:color="000000" w:sz="4" w:space="0"/>
              <w:left w:val="single" w:color="000000" w:sz="4" w:space="0"/>
              <w:bottom w:val="single" w:color="auto" w:sz="4" w:space="0"/>
              <w:right w:val="single" w:color="000000" w:sz="4" w:space="0"/>
              <w:tl2br w:val="nil"/>
              <w:tr2bl w:val="nil"/>
            </w:tcBorders>
            <w:vAlign w:val="center"/>
          </w:tcPr>
          <w:p w14:paraId="6F454919">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shd w:val="clear" w:color="auto" w:fill="FFFFFF"/>
              </w:rPr>
              <w:t>提供系统准入与使用授权</w:t>
            </w:r>
          </w:p>
        </w:tc>
        <w:tc>
          <w:tcPr>
            <w:tcW w:w="443" w:type="pct"/>
            <w:tcBorders>
              <w:top w:val="single" w:color="000000" w:sz="4" w:space="0"/>
              <w:left w:val="single" w:color="000000" w:sz="4" w:space="0"/>
              <w:bottom w:val="single" w:color="auto" w:sz="4" w:space="0"/>
              <w:right w:val="single" w:color="000000" w:sz="4" w:space="0"/>
              <w:tl2br w:val="nil"/>
              <w:tr2bl w:val="nil"/>
            </w:tcBorders>
            <w:noWrap/>
            <w:vAlign w:val="center"/>
          </w:tcPr>
          <w:p w14:paraId="1637280F">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套</w:t>
            </w:r>
          </w:p>
        </w:tc>
        <w:tc>
          <w:tcPr>
            <w:tcW w:w="485" w:type="pct"/>
            <w:tcBorders>
              <w:top w:val="single" w:color="000000" w:sz="4" w:space="0"/>
              <w:left w:val="single" w:color="000000" w:sz="4" w:space="0"/>
              <w:bottom w:val="single" w:color="auto" w:sz="4" w:space="0"/>
              <w:right w:val="single" w:color="000000" w:sz="4" w:space="0"/>
              <w:tl2br w:val="nil"/>
              <w:tr2bl w:val="nil"/>
            </w:tcBorders>
            <w:vAlign w:val="center"/>
          </w:tcPr>
          <w:p w14:paraId="12B55242">
            <w:pPr>
              <w:ind w:firstLine="480"/>
              <w:rPr>
                <w:rFonts w:hint="eastAsia" w:ascii="华文仿宋" w:hAnsi="华文仿宋" w:eastAsia="华文仿宋" w:cs="宋体"/>
                <w:szCs w:val="21"/>
              </w:rPr>
            </w:pPr>
            <w:r>
              <w:rPr>
                <w:rFonts w:hint="eastAsia" w:ascii="华文仿宋" w:hAnsi="华文仿宋" w:eastAsia="华文仿宋" w:cs="宋体"/>
                <w:szCs w:val="21"/>
              </w:rPr>
              <w:t>1</w:t>
            </w:r>
          </w:p>
        </w:tc>
      </w:tr>
      <w:tr w14:paraId="38FBA97C">
        <w:tblPrEx>
          <w:tblCellMar>
            <w:top w:w="0" w:type="dxa"/>
            <w:left w:w="108" w:type="dxa"/>
            <w:bottom w:w="0" w:type="dxa"/>
            <w:right w:w="108" w:type="dxa"/>
          </w:tblCellMar>
        </w:tblPrEx>
        <w:trPr>
          <w:trHeight w:val="813" w:hRule="atLeast"/>
          <w:jc w:val="center"/>
        </w:trPr>
        <w:tc>
          <w:tcPr>
            <w:tcW w:w="444"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35723BD1">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1.2</w:t>
            </w:r>
          </w:p>
        </w:tc>
        <w:tc>
          <w:tcPr>
            <w:tcW w:w="533" w:type="pct"/>
            <w:vMerge w:val="restart"/>
            <w:tcBorders>
              <w:top w:val="single" w:color="000000" w:sz="4" w:space="0"/>
              <w:left w:val="single" w:color="000000" w:sz="4" w:space="0"/>
              <w:bottom w:val="nil"/>
              <w:right w:val="single" w:color="000000" w:sz="4" w:space="0"/>
              <w:tl2br w:val="nil"/>
              <w:tr2bl w:val="nil"/>
            </w:tcBorders>
            <w:noWrap/>
            <w:vAlign w:val="center"/>
          </w:tcPr>
          <w:p w14:paraId="44CC1CF6">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rPr>
              <w:t>技术服务</w:t>
            </w:r>
          </w:p>
        </w:tc>
        <w:tc>
          <w:tcPr>
            <w:tcW w:w="707" w:type="pct"/>
            <w:tcBorders>
              <w:top w:val="single" w:color="000000" w:sz="4" w:space="0"/>
              <w:left w:val="single" w:color="000000" w:sz="4" w:space="0"/>
              <w:bottom w:val="single" w:color="000000" w:sz="4" w:space="0"/>
              <w:right w:val="single" w:color="000000" w:sz="4" w:space="0"/>
              <w:tl2br w:val="nil"/>
              <w:tr2bl w:val="nil"/>
            </w:tcBorders>
            <w:vAlign w:val="center"/>
          </w:tcPr>
          <w:p w14:paraId="4A98A063">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shd w:val="clear" w:color="auto" w:fill="FFFFFF"/>
              </w:rPr>
              <w:t>系统开发与实施服务</w:t>
            </w:r>
          </w:p>
        </w:tc>
        <w:tc>
          <w:tcPr>
            <w:tcW w:w="2385" w:type="pct"/>
            <w:tcBorders>
              <w:top w:val="single" w:color="000000" w:sz="4" w:space="0"/>
              <w:left w:val="single" w:color="000000" w:sz="4" w:space="0"/>
              <w:bottom w:val="single" w:color="000000" w:sz="4" w:space="0"/>
              <w:right w:val="single" w:color="000000" w:sz="4" w:space="0"/>
              <w:tl2br w:val="nil"/>
              <w:tr2bl w:val="nil"/>
            </w:tcBorders>
            <w:vAlign w:val="center"/>
          </w:tcPr>
          <w:p w14:paraId="70F85E1F">
            <w:pPr>
              <w:ind w:firstLine="0" w:firstLineChars="0"/>
              <w:jc w:val="left"/>
              <w:rPr>
                <w:rFonts w:hint="eastAsia" w:ascii="华文仿宋" w:hAnsi="华文仿宋" w:eastAsia="华文仿宋" w:cs="宋体"/>
                <w:szCs w:val="21"/>
                <w:shd w:val="clear" w:color="auto" w:fill="FFFFFF"/>
              </w:rPr>
            </w:pPr>
            <w:r>
              <w:rPr>
                <w:rFonts w:hint="eastAsia" w:ascii="华文仿宋" w:hAnsi="华文仿宋" w:eastAsia="华文仿宋" w:cs="宋体"/>
                <w:szCs w:val="21"/>
                <w:shd w:val="clear" w:color="auto" w:fill="FFFFFF"/>
              </w:rPr>
              <w:t>基于国产化技术栈进行二次开发，内容须包含：</w:t>
            </w:r>
            <w:r>
              <w:rPr>
                <w:rFonts w:hint="eastAsia" w:ascii="华文仿宋" w:hAnsi="华文仿宋" w:eastAsia="华文仿宋" w:cs="宋体"/>
                <w:szCs w:val="21"/>
              </w:rPr>
              <w:br w:type="textWrapping"/>
            </w:r>
            <w:r>
              <w:rPr>
                <w:rFonts w:hint="eastAsia" w:ascii="华文仿宋" w:hAnsi="华文仿宋" w:eastAsia="华文仿宋" w:cs="宋体"/>
                <w:szCs w:val="21"/>
                <w:shd w:val="clear" w:color="auto" w:fill="FFFFFF"/>
              </w:rPr>
              <w:t>1.</w:t>
            </w:r>
            <w:r>
              <w:rPr>
                <w:rFonts w:hint="eastAsia"/>
                <w:sz w:val="21"/>
                <w:szCs w:val="24"/>
              </w:rPr>
              <w:t xml:space="preserve"> </w:t>
            </w:r>
            <w:r>
              <w:rPr>
                <w:rFonts w:hint="eastAsia" w:ascii="华文仿宋" w:hAnsi="华文仿宋" w:eastAsia="华文仿宋" w:cs="宋体"/>
                <w:szCs w:val="21"/>
                <w:shd w:val="clear" w:color="auto" w:fill="FFFFFF"/>
              </w:rPr>
              <w:t>规则智能化管理模块；</w:t>
            </w:r>
            <w:r>
              <w:rPr>
                <w:rFonts w:hint="eastAsia" w:ascii="华文仿宋" w:hAnsi="华文仿宋" w:eastAsia="华文仿宋" w:cs="宋体"/>
                <w:szCs w:val="21"/>
                <w:shd w:val="clear" w:color="auto" w:fill="FFFFFF"/>
              </w:rPr>
              <w:br w:type="textWrapping"/>
            </w:r>
            <w:r>
              <w:rPr>
                <w:rFonts w:hint="eastAsia" w:ascii="华文仿宋" w:hAnsi="华文仿宋" w:eastAsia="华文仿宋" w:cs="宋体"/>
                <w:szCs w:val="21"/>
                <w:shd w:val="clear" w:color="auto" w:fill="FFFFFF"/>
              </w:rPr>
              <w:t>2. 设计协同智能化模块；</w:t>
            </w:r>
            <w:r>
              <w:rPr>
                <w:rFonts w:hint="eastAsia" w:ascii="华文仿宋" w:hAnsi="华文仿宋" w:eastAsia="华文仿宋" w:cs="宋体"/>
                <w:szCs w:val="21"/>
              </w:rPr>
              <w:br w:type="textWrapping"/>
            </w:r>
            <w:r>
              <w:rPr>
                <w:rFonts w:hint="eastAsia" w:ascii="华文仿宋" w:hAnsi="华文仿宋" w:eastAsia="华文仿宋" w:cs="宋体"/>
                <w:szCs w:val="21"/>
                <w:shd w:val="clear" w:color="auto" w:fill="FFFFFF"/>
              </w:rPr>
              <w:t>3. 智能界面定制模块;</w:t>
            </w:r>
          </w:p>
          <w:p w14:paraId="37A20EEA">
            <w:pPr>
              <w:ind w:firstLine="0" w:firstLineChars="0"/>
              <w:jc w:val="left"/>
              <w:rPr>
                <w:rFonts w:hint="eastAsia" w:ascii="华文仿宋" w:hAnsi="华文仿宋" w:eastAsia="华文仿宋" w:cs="宋体"/>
                <w:szCs w:val="21"/>
                <w:shd w:val="clear" w:color="auto" w:fill="FFFFFF"/>
              </w:rPr>
            </w:pPr>
            <w:r>
              <w:rPr>
                <w:rFonts w:hint="eastAsia" w:ascii="华文仿宋" w:hAnsi="华文仿宋" w:eastAsia="华文仿宋" w:cs="宋体"/>
                <w:szCs w:val="21"/>
                <w:shd w:val="clear" w:color="auto" w:fill="FFFFFF"/>
              </w:rPr>
              <w:t>4. 数据洞察与优化模块;</w:t>
            </w:r>
          </w:p>
          <w:p w14:paraId="01A70CDB">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shd w:val="clear" w:color="auto" w:fill="FFFFFF"/>
              </w:rPr>
              <w:t>5. 供应链协同联动模块；</w:t>
            </w:r>
          </w:p>
        </w:tc>
        <w:tc>
          <w:tcPr>
            <w:tcW w:w="443"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5D37C099">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套</w:t>
            </w:r>
          </w:p>
        </w:tc>
        <w:tc>
          <w:tcPr>
            <w:tcW w:w="485" w:type="pct"/>
            <w:vMerge w:val="restart"/>
            <w:tcBorders>
              <w:top w:val="single" w:color="000000" w:sz="4" w:space="0"/>
              <w:left w:val="single" w:color="000000" w:sz="4" w:space="0"/>
              <w:bottom w:val="nil"/>
              <w:right w:val="single" w:color="000000" w:sz="4" w:space="0"/>
              <w:tl2br w:val="nil"/>
              <w:tr2bl w:val="nil"/>
            </w:tcBorders>
            <w:vAlign w:val="center"/>
          </w:tcPr>
          <w:p w14:paraId="6A9B6642">
            <w:pPr>
              <w:ind w:firstLine="240" w:firstLineChars="100"/>
              <w:rPr>
                <w:rFonts w:hint="eastAsia" w:ascii="华文仿宋" w:hAnsi="华文仿宋" w:eastAsia="华文仿宋" w:cs="宋体"/>
                <w:szCs w:val="21"/>
              </w:rPr>
            </w:pPr>
            <w:r>
              <w:rPr>
                <w:rFonts w:hint="eastAsia" w:ascii="华文仿宋" w:hAnsi="华文仿宋" w:eastAsia="华文仿宋" w:cs="宋体"/>
                <w:szCs w:val="21"/>
              </w:rPr>
              <w:t>1</w:t>
            </w:r>
          </w:p>
        </w:tc>
      </w:tr>
      <w:tr w14:paraId="2F091620">
        <w:tblPrEx>
          <w:tblCellMar>
            <w:top w:w="0" w:type="dxa"/>
            <w:left w:w="108" w:type="dxa"/>
            <w:bottom w:w="0" w:type="dxa"/>
            <w:right w:w="108" w:type="dxa"/>
          </w:tblCellMar>
        </w:tblPrEx>
        <w:trPr>
          <w:trHeight w:val="681" w:hRule="atLeast"/>
          <w:jc w:val="center"/>
        </w:trPr>
        <w:tc>
          <w:tcPr>
            <w:tcW w:w="444"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591A082B">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1.3</w:t>
            </w:r>
          </w:p>
        </w:tc>
        <w:tc>
          <w:tcPr>
            <w:tcW w:w="533" w:type="pct"/>
            <w:vMerge w:val="continue"/>
            <w:tcBorders>
              <w:top w:val="nil"/>
              <w:left w:val="single" w:color="000000" w:sz="4" w:space="0"/>
              <w:bottom w:val="nil"/>
              <w:right w:val="single" w:color="000000" w:sz="4" w:space="0"/>
              <w:tl2br w:val="nil"/>
              <w:tr2bl w:val="nil"/>
            </w:tcBorders>
            <w:noWrap/>
            <w:vAlign w:val="center"/>
          </w:tcPr>
          <w:p w14:paraId="51956909">
            <w:pPr>
              <w:ind w:firstLine="480"/>
              <w:jc w:val="left"/>
              <w:rPr>
                <w:rFonts w:hint="eastAsia" w:ascii="华文仿宋" w:hAnsi="华文仿宋" w:eastAsia="华文仿宋" w:cs="宋体"/>
                <w:szCs w:val="21"/>
              </w:rPr>
            </w:pPr>
          </w:p>
        </w:tc>
        <w:tc>
          <w:tcPr>
            <w:tcW w:w="707" w:type="pct"/>
            <w:tcBorders>
              <w:top w:val="single" w:color="000000" w:sz="4" w:space="0"/>
              <w:left w:val="single" w:color="000000" w:sz="4" w:space="0"/>
              <w:bottom w:val="single" w:color="000000" w:sz="4" w:space="0"/>
              <w:right w:val="single" w:color="000000" w:sz="4" w:space="0"/>
              <w:tl2br w:val="nil"/>
              <w:tr2bl w:val="nil"/>
            </w:tcBorders>
            <w:vAlign w:val="center"/>
          </w:tcPr>
          <w:p w14:paraId="48720456">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shd w:val="clear" w:color="auto" w:fill="FFFFFF"/>
              </w:rPr>
              <w:t>系统应用培训</w:t>
            </w:r>
          </w:p>
        </w:tc>
        <w:tc>
          <w:tcPr>
            <w:tcW w:w="2385" w:type="pct"/>
            <w:tcBorders>
              <w:top w:val="single" w:color="000000" w:sz="4" w:space="0"/>
              <w:left w:val="single" w:color="000000" w:sz="4" w:space="0"/>
              <w:bottom w:val="single" w:color="000000" w:sz="4" w:space="0"/>
              <w:right w:val="single" w:color="000000" w:sz="4" w:space="0"/>
              <w:tl2br w:val="nil"/>
              <w:tr2bl w:val="nil"/>
            </w:tcBorders>
            <w:vAlign w:val="center"/>
          </w:tcPr>
          <w:p w14:paraId="124483D4">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shd w:val="clear" w:color="auto" w:fill="FFFFFF"/>
              </w:rPr>
              <w:t>提供全面的系统模块操作与应用培训，包括培训计划、教材及考核，确保用户能独立使用系统</w:t>
            </w:r>
            <w:r>
              <w:rPr>
                <w:rFonts w:hint="eastAsia" w:ascii="华文仿宋" w:hAnsi="华文仿宋" w:eastAsia="华文仿宋" w:cs="宋体"/>
                <w:szCs w:val="21"/>
              </w:rPr>
              <w:t>。</w:t>
            </w:r>
          </w:p>
        </w:tc>
        <w:tc>
          <w:tcPr>
            <w:tcW w:w="443"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59D3C331">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套</w:t>
            </w:r>
          </w:p>
        </w:tc>
        <w:tc>
          <w:tcPr>
            <w:tcW w:w="485" w:type="pct"/>
            <w:vMerge w:val="continue"/>
            <w:tcBorders>
              <w:top w:val="nil"/>
              <w:left w:val="single" w:color="000000" w:sz="4" w:space="0"/>
              <w:bottom w:val="nil"/>
              <w:right w:val="single" w:color="000000" w:sz="4" w:space="0"/>
              <w:tl2br w:val="nil"/>
              <w:tr2bl w:val="nil"/>
            </w:tcBorders>
            <w:vAlign w:val="center"/>
          </w:tcPr>
          <w:p w14:paraId="4A4F0CCF">
            <w:pPr>
              <w:ind w:firstLine="480"/>
              <w:jc w:val="center"/>
              <w:rPr>
                <w:rFonts w:hint="eastAsia" w:ascii="华文仿宋" w:hAnsi="华文仿宋" w:eastAsia="华文仿宋" w:cs="宋体"/>
                <w:szCs w:val="21"/>
              </w:rPr>
            </w:pPr>
          </w:p>
        </w:tc>
      </w:tr>
      <w:tr w14:paraId="5D798E72">
        <w:tblPrEx>
          <w:tblCellMar>
            <w:top w:w="0" w:type="dxa"/>
            <w:left w:w="108" w:type="dxa"/>
            <w:bottom w:w="0" w:type="dxa"/>
            <w:right w:w="108" w:type="dxa"/>
          </w:tblCellMar>
        </w:tblPrEx>
        <w:trPr>
          <w:trHeight w:val="813" w:hRule="atLeast"/>
          <w:jc w:val="center"/>
        </w:trPr>
        <w:tc>
          <w:tcPr>
            <w:tcW w:w="444"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5BBDF44B">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1.4</w:t>
            </w:r>
          </w:p>
        </w:tc>
        <w:tc>
          <w:tcPr>
            <w:tcW w:w="533" w:type="pct"/>
            <w:vMerge w:val="continue"/>
            <w:tcBorders>
              <w:top w:val="nil"/>
              <w:left w:val="single" w:color="000000" w:sz="4" w:space="0"/>
              <w:bottom w:val="nil"/>
              <w:right w:val="single" w:color="000000" w:sz="4" w:space="0"/>
              <w:tl2br w:val="nil"/>
              <w:tr2bl w:val="nil"/>
            </w:tcBorders>
            <w:noWrap/>
            <w:vAlign w:val="center"/>
          </w:tcPr>
          <w:p w14:paraId="75ED5B25">
            <w:pPr>
              <w:ind w:firstLine="480"/>
              <w:jc w:val="left"/>
              <w:rPr>
                <w:rFonts w:hint="eastAsia" w:ascii="华文仿宋" w:hAnsi="华文仿宋" w:eastAsia="华文仿宋" w:cs="宋体"/>
                <w:szCs w:val="21"/>
              </w:rPr>
            </w:pPr>
          </w:p>
        </w:tc>
        <w:tc>
          <w:tcPr>
            <w:tcW w:w="707" w:type="pct"/>
            <w:tcBorders>
              <w:top w:val="single" w:color="000000" w:sz="4" w:space="0"/>
              <w:left w:val="single" w:color="000000" w:sz="4" w:space="0"/>
              <w:bottom w:val="single" w:color="000000" w:sz="4" w:space="0"/>
              <w:right w:val="single" w:color="000000" w:sz="4" w:space="0"/>
              <w:tl2br w:val="nil"/>
              <w:tr2bl w:val="nil"/>
            </w:tcBorders>
            <w:vAlign w:val="center"/>
          </w:tcPr>
          <w:p w14:paraId="1B917891">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shd w:val="clear" w:color="auto" w:fill="FFFFFF"/>
              </w:rPr>
              <w:t>系统安装与调试</w:t>
            </w:r>
          </w:p>
        </w:tc>
        <w:tc>
          <w:tcPr>
            <w:tcW w:w="2385" w:type="pct"/>
            <w:tcBorders>
              <w:top w:val="single" w:color="000000" w:sz="4" w:space="0"/>
              <w:left w:val="single" w:color="000000" w:sz="4" w:space="0"/>
              <w:bottom w:val="single" w:color="000000" w:sz="4" w:space="0"/>
              <w:right w:val="single" w:color="000000" w:sz="4" w:space="0"/>
              <w:tl2br w:val="nil"/>
              <w:tr2bl w:val="nil"/>
            </w:tcBorders>
            <w:vAlign w:val="center"/>
          </w:tcPr>
          <w:p w14:paraId="00234A3C">
            <w:pPr>
              <w:ind w:firstLine="0" w:firstLineChars="0"/>
              <w:jc w:val="left"/>
              <w:rPr>
                <w:rFonts w:hint="eastAsia" w:ascii="华文仿宋" w:hAnsi="华文仿宋" w:eastAsia="华文仿宋" w:cs="宋体"/>
                <w:szCs w:val="21"/>
              </w:rPr>
            </w:pPr>
            <w:r>
              <w:rPr>
                <w:rFonts w:hint="eastAsia" w:ascii="华文仿宋" w:hAnsi="华文仿宋" w:eastAsia="华文仿宋" w:cs="宋体"/>
                <w:szCs w:val="21"/>
                <w:shd w:val="clear" w:color="auto" w:fill="FFFFFF"/>
              </w:rPr>
              <w:t>1. 提供详尽的《安装调试计划》，涵盖软件安装、环境部署、系统联调等全环节。</w:t>
            </w:r>
            <w:r>
              <w:rPr>
                <w:rFonts w:hint="eastAsia" w:ascii="华文仿宋" w:hAnsi="华文仿宋" w:eastAsia="华文仿宋" w:cs="宋体"/>
                <w:szCs w:val="21"/>
              </w:rPr>
              <w:br w:type="textWrapping"/>
            </w:r>
            <w:r>
              <w:rPr>
                <w:rFonts w:hint="eastAsia" w:ascii="华文仿宋" w:hAnsi="华文仿宋" w:eastAsia="华文仿宋" w:cs="宋体"/>
                <w:szCs w:val="21"/>
                <w:shd w:val="clear" w:color="auto" w:fill="FFFFFF"/>
              </w:rPr>
              <w:t>2. 提供完备的《实施应急预案》，以有效应对安装调试过程中可能出现的各类突发状况。</w:t>
            </w:r>
          </w:p>
        </w:tc>
        <w:tc>
          <w:tcPr>
            <w:tcW w:w="443"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3ABC6D25">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套</w:t>
            </w:r>
          </w:p>
        </w:tc>
        <w:tc>
          <w:tcPr>
            <w:tcW w:w="485" w:type="pct"/>
            <w:vMerge w:val="continue"/>
            <w:tcBorders>
              <w:top w:val="nil"/>
              <w:left w:val="single" w:color="000000" w:sz="4" w:space="0"/>
              <w:bottom w:val="nil"/>
              <w:right w:val="single" w:color="000000" w:sz="4" w:space="0"/>
              <w:tl2br w:val="nil"/>
              <w:tr2bl w:val="nil"/>
            </w:tcBorders>
            <w:vAlign w:val="center"/>
          </w:tcPr>
          <w:p w14:paraId="421215C8">
            <w:pPr>
              <w:ind w:firstLine="480"/>
              <w:jc w:val="center"/>
              <w:rPr>
                <w:rFonts w:hint="eastAsia" w:ascii="华文仿宋" w:hAnsi="华文仿宋" w:eastAsia="华文仿宋" w:cs="宋体"/>
                <w:szCs w:val="21"/>
              </w:rPr>
            </w:pPr>
          </w:p>
        </w:tc>
      </w:tr>
      <w:tr w14:paraId="3D25CB39">
        <w:tblPrEx>
          <w:tblCellMar>
            <w:top w:w="0" w:type="dxa"/>
            <w:left w:w="108" w:type="dxa"/>
            <w:bottom w:w="0" w:type="dxa"/>
            <w:right w:w="108" w:type="dxa"/>
          </w:tblCellMar>
        </w:tblPrEx>
        <w:trPr>
          <w:trHeight w:val="813" w:hRule="atLeast"/>
          <w:jc w:val="center"/>
        </w:trPr>
        <w:tc>
          <w:tcPr>
            <w:tcW w:w="444"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46F453AF">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1.5</w:t>
            </w:r>
          </w:p>
        </w:tc>
        <w:tc>
          <w:tcPr>
            <w:tcW w:w="533" w:type="pct"/>
            <w:vMerge w:val="continue"/>
            <w:tcBorders>
              <w:top w:val="nil"/>
              <w:left w:val="single" w:color="000000" w:sz="4" w:space="0"/>
              <w:bottom w:val="single" w:color="000000" w:sz="4" w:space="0"/>
              <w:right w:val="single" w:color="000000" w:sz="4" w:space="0"/>
              <w:tl2br w:val="nil"/>
              <w:tr2bl w:val="nil"/>
            </w:tcBorders>
            <w:noWrap/>
            <w:vAlign w:val="center"/>
          </w:tcPr>
          <w:p w14:paraId="4C406562">
            <w:pPr>
              <w:ind w:firstLine="480"/>
              <w:jc w:val="left"/>
              <w:rPr>
                <w:rFonts w:hint="eastAsia" w:ascii="华文仿宋" w:hAnsi="华文仿宋" w:eastAsia="华文仿宋" w:cs="宋体"/>
                <w:szCs w:val="21"/>
              </w:rPr>
            </w:pPr>
          </w:p>
        </w:tc>
        <w:tc>
          <w:tcPr>
            <w:tcW w:w="707" w:type="pct"/>
            <w:tcBorders>
              <w:top w:val="single" w:color="000000" w:sz="4" w:space="0"/>
              <w:left w:val="single" w:color="000000" w:sz="4" w:space="0"/>
              <w:bottom w:val="single" w:color="000000" w:sz="4" w:space="0"/>
              <w:right w:val="single" w:color="000000" w:sz="4" w:space="0"/>
              <w:tl2br w:val="nil"/>
              <w:tr2bl w:val="nil"/>
            </w:tcBorders>
            <w:vAlign w:val="center"/>
          </w:tcPr>
          <w:p w14:paraId="3D5C45B8">
            <w:pPr>
              <w:ind w:firstLine="0" w:firstLineChars="0"/>
              <w:jc w:val="left"/>
              <w:rPr>
                <w:rFonts w:hint="eastAsia" w:ascii="华文仿宋" w:hAnsi="华文仿宋" w:eastAsia="华文仿宋" w:cs="宋体"/>
                <w:szCs w:val="21"/>
                <w:shd w:val="clear" w:color="auto" w:fill="FFFFFF"/>
              </w:rPr>
            </w:pPr>
            <w:r>
              <w:rPr>
                <w:rFonts w:hint="eastAsia" w:ascii="华文仿宋" w:hAnsi="华文仿宋" w:eastAsia="华文仿宋" w:cs="宋体"/>
                <w:szCs w:val="21"/>
                <w:shd w:val="clear" w:color="auto" w:fill="FFFFFF"/>
              </w:rPr>
              <w:t>CAPP/ERP集成接口开发</w:t>
            </w:r>
          </w:p>
        </w:tc>
        <w:tc>
          <w:tcPr>
            <w:tcW w:w="2385" w:type="pct"/>
            <w:tcBorders>
              <w:top w:val="single" w:color="000000" w:sz="4" w:space="0"/>
              <w:left w:val="single" w:color="000000" w:sz="4" w:space="0"/>
              <w:bottom w:val="single" w:color="000000" w:sz="4" w:space="0"/>
              <w:right w:val="single" w:color="000000" w:sz="4" w:space="0"/>
              <w:tl2br w:val="nil"/>
              <w:tr2bl w:val="nil"/>
            </w:tcBorders>
            <w:vAlign w:val="center"/>
          </w:tcPr>
          <w:p w14:paraId="53B29D95">
            <w:pPr>
              <w:ind w:firstLine="0" w:firstLineChars="0"/>
              <w:jc w:val="left"/>
              <w:rPr>
                <w:rFonts w:hint="eastAsia" w:ascii="华文仿宋" w:hAnsi="华文仿宋" w:eastAsia="华文仿宋" w:cs="宋体"/>
                <w:szCs w:val="21"/>
                <w:shd w:val="clear" w:color="auto" w:fill="FFFFFF"/>
              </w:rPr>
            </w:pPr>
            <w:r>
              <w:rPr>
                <w:rFonts w:hint="eastAsia" w:ascii="华文仿宋" w:hAnsi="华文仿宋" w:eastAsia="华文仿宋" w:cs="宋体"/>
                <w:szCs w:val="21"/>
                <w:shd w:val="clear" w:color="auto" w:fill="FFFFFF"/>
              </w:rPr>
              <w:t>1. CAPP实施商集成服务。</w:t>
            </w:r>
            <w:r>
              <w:rPr>
                <w:rFonts w:hint="eastAsia" w:ascii="华文仿宋" w:hAnsi="华文仿宋" w:eastAsia="华文仿宋" w:cs="宋体"/>
                <w:szCs w:val="21"/>
              </w:rPr>
              <w:br w:type="textWrapping"/>
            </w:r>
            <w:r>
              <w:rPr>
                <w:rFonts w:hint="eastAsia" w:ascii="华文仿宋" w:hAnsi="华文仿宋" w:eastAsia="华文仿宋" w:cs="宋体"/>
                <w:szCs w:val="21"/>
                <w:shd w:val="clear" w:color="auto" w:fill="FFFFFF"/>
              </w:rPr>
              <w:t>2. ERP实施商集成服务</w:t>
            </w:r>
            <w:r>
              <w:rPr>
                <w:rFonts w:hint="eastAsia" w:ascii="华文仿宋" w:hAnsi="华文仿宋" w:eastAsia="华文仿宋" w:cs="宋体"/>
                <w:szCs w:val="21"/>
              </w:rPr>
              <w:t>。</w:t>
            </w:r>
          </w:p>
        </w:tc>
        <w:tc>
          <w:tcPr>
            <w:tcW w:w="443" w:type="pct"/>
            <w:tcBorders>
              <w:top w:val="single" w:color="000000" w:sz="4" w:space="0"/>
              <w:left w:val="single" w:color="000000" w:sz="4" w:space="0"/>
              <w:bottom w:val="single" w:color="000000" w:sz="4" w:space="0"/>
              <w:right w:val="single" w:color="000000" w:sz="4" w:space="0"/>
              <w:tl2br w:val="nil"/>
              <w:tr2bl w:val="nil"/>
            </w:tcBorders>
            <w:noWrap/>
            <w:vAlign w:val="center"/>
          </w:tcPr>
          <w:p w14:paraId="14FE894B">
            <w:pPr>
              <w:ind w:firstLine="0" w:firstLineChars="0"/>
              <w:rPr>
                <w:rFonts w:hint="eastAsia" w:ascii="华文仿宋" w:hAnsi="华文仿宋" w:eastAsia="华文仿宋" w:cs="宋体"/>
                <w:szCs w:val="21"/>
              </w:rPr>
            </w:pPr>
            <w:r>
              <w:rPr>
                <w:rFonts w:hint="eastAsia" w:ascii="华文仿宋" w:hAnsi="华文仿宋" w:eastAsia="华文仿宋" w:cs="宋体"/>
                <w:szCs w:val="21"/>
              </w:rPr>
              <w:t>套</w:t>
            </w:r>
          </w:p>
        </w:tc>
        <w:tc>
          <w:tcPr>
            <w:tcW w:w="485" w:type="pct"/>
            <w:vMerge w:val="continue"/>
            <w:tcBorders>
              <w:top w:val="nil"/>
              <w:left w:val="single" w:color="000000" w:sz="4" w:space="0"/>
              <w:bottom w:val="single" w:color="000000" w:sz="4" w:space="0"/>
              <w:right w:val="single" w:color="000000" w:sz="4" w:space="0"/>
              <w:tl2br w:val="nil"/>
              <w:tr2bl w:val="nil"/>
            </w:tcBorders>
            <w:vAlign w:val="center"/>
          </w:tcPr>
          <w:p w14:paraId="0ACE422C">
            <w:pPr>
              <w:ind w:firstLine="480"/>
              <w:jc w:val="center"/>
              <w:rPr>
                <w:rFonts w:hint="eastAsia" w:ascii="华文仿宋" w:hAnsi="华文仿宋" w:eastAsia="华文仿宋" w:cs="宋体"/>
                <w:szCs w:val="21"/>
              </w:rPr>
            </w:pPr>
          </w:p>
        </w:tc>
      </w:tr>
    </w:tbl>
    <w:p w14:paraId="08B67DD4">
      <w:pPr>
        <w:spacing w:line="360" w:lineRule="auto"/>
        <w:ind w:firstLine="480"/>
        <w:rPr>
          <w:rFonts w:hint="eastAsia" w:ascii="华文宋体" w:hAnsi="华文宋体" w:cs="华文宋体"/>
          <w:szCs w:val="24"/>
        </w:rPr>
      </w:pPr>
    </w:p>
    <w:bookmarkEnd w:id="1536"/>
    <w:p w14:paraId="356E7E47">
      <w:pPr>
        <w:pStyle w:val="4"/>
        <w:snapToGrid w:val="0"/>
        <w:spacing w:before="156" w:beforeLines="50" w:after="156" w:afterLines="50"/>
        <w:ind w:firstLine="480"/>
        <w:rPr>
          <w:rFonts w:hint="eastAsia" w:ascii="华文宋体" w:hAnsi="华文宋体" w:cs="宋体"/>
          <w:color w:val="000000"/>
          <w:sz w:val="24"/>
          <w:szCs w:val="22"/>
        </w:rPr>
      </w:pPr>
      <w:bookmarkStart w:id="1586" w:name="_Toc23351"/>
      <w:bookmarkStart w:id="1587" w:name="_Toc203558384"/>
      <w:bookmarkStart w:id="1588" w:name="_Toc22700"/>
      <w:bookmarkStart w:id="1589" w:name="_Toc231854128"/>
      <w:bookmarkStart w:id="1590" w:name="_Toc14920"/>
      <w:r>
        <w:rPr>
          <w:rFonts w:hint="eastAsia" w:ascii="华文宋体" w:hAnsi="华文宋体" w:cs="宋体"/>
          <w:color w:val="000000"/>
          <w:sz w:val="24"/>
          <w:szCs w:val="22"/>
        </w:rPr>
        <w:t>四、平台架构能力需求</w:t>
      </w:r>
      <w:bookmarkEnd w:id="1586"/>
      <w:bookmarkEnd w:id="1587"/>
      <w:bookmarkEnd w:id="1588"/>
      <w:bookmarkEnd w:id="1589"/>
    </w:p>
    <w:p w14:paraId="7ADAB528">
      <w:pPr>
        <w:pStyle w:val="4"/>
        <w:snapToGrid w:val="0"/>
        <w:spacing w:before="312" w:after="312"/>
        <w:ind w:firstLine="480"/>
        <w:rPr>
          <w:rFonts w:hint="eastAsia" w:ascii="华文宋体" w:hAnsi="华文宋体" w:cs="华文宋体"/>
          <w:sz w:val="24"/>
          <w:szCs w:val="24"/>
        </w:rPr>
      </w:pPr>
      <w:bookmarkStart w:id="1591" w:name="_Toc203558385"/>
      <w:bookmarkStart w:id="1592" w:name="_Toc26944"/>
      <w:bookmarkStart w:id="1593" w:name="_Toc231854129"/>
      <w:bookmarkStart w:id="1594" w:name="_Toc10613"/>
      <w:r>
        <w:rPr>
          <w:rFonts w:hint="eastAsia" w:ascii="华文宋体" w:hAnsi="华文宋体" w:cs="华文宋体"/>
          <w:sz w:val="24"/>
          <w:szCs w:val="24"/>
        </w:rPr>
        <w:t>4.1</w:t>
      </w:r>
      <w:bookmarkEnd w:id="1590"/>
      <w:r>
        <w:rPr>
          <w:rFonts w:hint="eastAsia" w:ascii="华文宋体" w:hAnsi="华文宋体" w:cs="华文宋体"/>
          <w:sz w:val="24"/>
          <w:szCs w:val="24"/>
        </w:rPr>
        <w:t>部署环境要求</w:t>
      </w:r>
      <w:bookmarkEnd w:id="1591"/>
      <w:bookmarkEnd w:id="1592"/>
      <w:bookmarkEnd w:id="1593"/>
      <w:bookmarkEnd w:id="1594"/>
    </w:p>
    <w:p w14:paraId="5218FD21">
      <w:pPr>
        <w:spacing w:line="360" w:lineRule="auto"/>
        <w:ind w:firstLine="480"/>
        <w:rPr>
          <w:rFonts w:hint="eastAsia" w:ascii="华文宋体" w:hAnsi="华文宋体" w:cs="华文宋体"/>
          <w:lang w:val="en-GB"/>
        </w:rPr>
      </w:pPr>
      <w:r>
        <w:rPr>
          <w:rFonts w:hint="eastAsia" w:ascii="华文宋体" w:hAnsi="华文宋体" w:cs="华文宋体"/>
          <w:szCs w:val="24"/>
          <w:lang w:val="en-GB"/>
        </w:rPr>
        <w:t>（</w:t>
      </w:r>
      <w:r>
        <w:rPr>
          <w:rFonts w:hint="eastAsia" w:ascii="华文宋体" w:hAnsi="华文宋体" w:cs="华文宋体"/>
          <w:szCs w:val="24"/>
        </w:rPr>
        <w:t>1</w:t>
      </w:r>
      <w:r>
        <w:rPr>
          <w:rFonts w:hint="eastAsia" w:ascii="华文宋体" w:hAnsi="华文宋体" w:cs="华文宋体"/>
          <w:szCs w:val="24"/>
          <w:lang w:val="en-GB"/>
        </w:rPr>
        <w:t>）</w:t>
      </w:r>
      <w:r>
        <w:rPr>
          <w:rFonts w:hint="eastAsia" w:ascii="华文宋体" w:hAnsi="华文宋体" w:cs="华文宋体"/>
          <w:lang w:val="en-GB"/>
        </w:rPr>
        <w:t>高可用与容灾：实现主从复制或流复制架构，支持快速故障切换，避免数据库节点单点故障。配置自动化备份与灾难恢复机制，确保数据安全和业务连续性；</w:t>
      </w:r>
    </w:p>
    <w:p w14:paraId="1DE1D244">
      <w:pPr>
        <w:pStyle w:val="29"/>
        <w:spacing w:after="0" w:afterLines="0" w:line="360" w:lineRule="auto"/>
        <w:rPr>
          <w:rFonts w:hint="eastAsia" w:ascii="华文宋体" w:hAnsi="华文宋体" w:cs="华文宋体"/>
          <w:lang w:val="en-GB"/>
        </w:rPr>
      </w:pPr>
      <w:r>
        <w:rPr>
          <w:rFonts w:hint="eastAsia" w:ascii="华文宋体" w:hAnsi="华文宋体" w:cs="华文宋体"/>
          <w:szCs w:val="24"/>
          <w:lang w:val="en-GB"/>
        </w:rPr>
        <w:t>（</w:t>
      </w:r>
      <w:r>
        <w:rPr>
          <w:rFonts w:hint="eastAsia" w:ascii="华文宋体" w:hAnsi="华文宋体" w:cs="华文宋体"/>
          <w:szCs w:val="24"/>
          <w:lang w:val="en-US" w:eastAsia="zh-CN"/>
        </w:rPr>
        <w:t>2</w:t>
      </w:r>
      <w:r>
        <w:rPr>
          <w:rFonts w:hint="eastAsia" w:ascii="华文宋体" w:hAnsi="华文宋体" w:cs="华文宋体"/>
          <w:szCs w:val="24"/>
          <w:lang w:val="en-GB"/>
        </w:rPr>
        <w:t>）</w:t>
      </w:r>
      <w:r>
        <w:rPr>
          <w:rFonts w:hint="eastAsia" w:ascii="华文宋体" w:hAnsi="华文宋体" w:cs="华文宋体"/>
          <w:lang w:val="en-GB"/>
        </w:rPr>
        <w:t>性能与优化：对查询和数据存储进行深度优化，确保大规模并发场景下的性能表现。针对产品配置管理系统的复杂查询需求，设计高效的索引和分区方案；</w:t>
      </w:r>
    </w:p>
    <w:p w14:paraId="4CC4689E">
      <w:pPr>
        <w:pStyle w:val="29"/>
        <w:spacing w:after="0" w:afterLines="0" w:line="360" w:lineRule="auto"/>
        <w:rPr>
          <w:rFonts w:hint="eastAsia" w:ascii="华文宋体" w:hAnsi="华文宋体" w:cs="华文宋体"/>
          <w:lang w:val="en-GB"/>
        </w:rPr>
      </w:pPr>
      <w:r>
        <w:rPr>
          <w:rFonts w:hint="eastAsia" w:ascii="华文宋体" w:hAnsi="华文宋体" w:cs="华文宋体"/>
          <w:szCs w:val="24"/>
          <w:lang w:val="en-GB"/>
        </w:rPr>
        <w:t>（</w:t>
      </w:r>
      <w:r>
        <w:rPr>
          <w:rFonts w:hint="eastAsia" w:ascii="华文宋体" w:hAnsi="华文宋体" w:cs="华文宋体"/>
          <w:szCs w:val="24"/>
          <w:lang w:val="en-US" w:eastAsia="zh-CN"/>
        </w:rPr>
        <w:t>3</w:t>
      </w:r>
      <w:r>
        <w:rPr>
          <w:rFonts w:hint="eastAsia" w:ascii="华文宋体" w:hAnsi="华文宋体" w:cs="华文宋体"/>
          <w:szCs w:val="24"/>
          <w:lang w:val="en-GB"/>
        </w:rPr>
        <w:t>）</w:t>
      </w:r>
      <w:r>
        <w:rPr>
          <w:rFonts w:hint="eastAsia" w:ascii="华文宋体" w:hAnsi="华文宋体" w:cs="华文宋体"/>
          <w:lang w:val="en-GB"/>
        </w:rPr>
        <w:t>数据安全与监控：通过严格的访问控制和数据加密，保护敏感数据的安全性。集成监控工具，实现数据库的实时监控与预警，提高问题发现和响应能力；</w:t>
      </w:r>
    </w:p>
    <w:p w14:paraId="31A3D879">
      <w:pPr>
        <w:pStyle w:val="29"/>
        <w:spacing w:after="0" w:afterLines="0" w:line="360" w:lineRule="auto"/>
        <w:rPr>
          <w:rFonts w:hint="eastAsia" w:ascii="华文宋体" w:hAnsi="华文宋体" w:cs="华文宋体"/>
          <w:lang w:val="en-GB"/>
        </w:rPr>
      </w:pPr>
      <w:r>
        <w:rPr>
          <w:rFonts w:hint="eastAsia" w:ascii="华文宋体" w:hAnsi="华文宋体" w:cs="华文宋体"/>
          <w:szCs w:val="24"/>
          <w:lang w:val="en-GB"/>
        </w:rPr>
        <w:t>（</w:t>
      </w:r>
      <w:r>
        <w:rPr>
          <w:rFonts w:hint="eastAsia" w:ascii="华文宋体" w:hAnsi="华文宋体" w:cs="华文宋体"/>
          <w:szCs w:val="24"/>
          <w:lang w:val="en-US" w:eastAsia="zh-CN"/>
        </w:rPr>
        <w:t>4</w:t>
      </w:r>
      <w:r>
        <w:rPr>
          <w:rFonts w:hint="eastAsia" w:ascii="华文宋体" w:hAnsi="华文宋体" w:cs="华文宋体"/>
          <w:szCs w:val="24"/>
          <w:lang w:val="en-GB"/>
        </w:rPr>
        <w:t>）</w:t>
      </w:r>
      <w:r>
        <w:rPr>
          <w:rFonts w:hint="eastAsia" w:ascii="华文宋体" w:hAnsi="华文宋体" w:cs="华文宋体"/>
          <w:lang w:val="en-GB"/>
        </w:rPr>
        <w:t>扩展性与兼容性：支持未来分院业务扩展和数据量增长的需求。</w:t>
      </w:r>
    </w:p>
    <w:p w14:paraId="224B9CC8">
      <w:pPr>
        <w:spacing w:line="360" w:lineRule="auto"/>
        <w:rPr>
          <w:rFonts w:hint="eastAsia" w:ascii="华文宋体" w:hAnsi="华文宋体" w:cs="华文宋体"/>
          <w:szCs w:val="24"/>
          <w:lang w:val="en-GB"/>
        </w:rPr>
      </w:pPr>
      <w:r>
        <w:rPr>
          <w:rFonts w:hint="eastAsia" w:ascii="华文宋体" w:hAnsi="华文宋体" w:cs="华文宋体"/>
          <w:szCs w:val="24"/>
          <w:lang w:val="en-GB"/>
        </w:rPr>
        <w:t>（</w:t>
      </w:r>
      <w:r>
        <w:rPr>
          <w:rFonts w:hint="eastAsia" w:ascii="华文宋体" w:hAnsi="华文宋体" w:cs="华文宋体"/>
          <w:szCs w:val="24"/>
          <w:lang w:val="en-US" w:eastAsia="zh-CN"/>
        </w:rPr>
        <w:t>5</w:t>
      </w:r>
      <w:r>
        <w:rPr>
          <w:rFonts w:hint="eastAsia" w:ascii="华文宋体" w:hAnsi="华文宋体" w:cs="华文宋体"/>
          <w:szCs w:val="24"/>
          <w:lang w:val="en-GB"/>
        </w:rPr>
        <w:t>）支持通过客户化配置、Java语言、JDBC、PL/SQL等进行集成与扩展。</w:t>
      </w:r>
    </w:p>
    <w:p w14:paraId="40FA848A">
      <w:pPr>
        <w:spacing w:line="360" w:lineRule="auto"/>
        <w:rPr>
          <w:rFonts w:hint="eastAsia" w:ascii="华文宋体" w:hAnsi="华文宋体" w:cs="华文宋体"/>
          <w:szCs w:val="24"/>
          <w:lang w:val="en-GB"/>
        </w:rPr>
      </w:pPr>
      <w:r>
        <w:rPr>
          <w:rFonts w:hint="eastAsia" w:ascii="华文宋体" w:hAnsi="华文宋体" w:cs="华文宋体"/>
          <w:szCs w:val="24"/>
          <w:lang w:val="en-GB"/>
        </w:rPr>
        <w:t>（</w:t>
      </w:r>
      <w:r>
        <w:rPr>
          <w:rFonts w:hint="eastAsia" w:ascii="华文宋体" w:hAnsi="华文宋体" w:cs="华文宋体"/>
          <w:szCs w:val="24"/>
          <w:lang w:val="en-US" w:eastAsia="zh-CN"/>
        </w:rPr>
        <w:t>6</w:t>
      </w:r>
      <w:r>
        <w:rPr>
          <w:rFonts w:hint="eastAsia" w:ascii="华文宋体" w:hAnsi="华文宋体" w:cs="华文宋体"/>
          <w:szCs w:val="24"/>
          <w:lang w:val="en-GB"/>
        </w:rPr>
        <w:t>）支持CS/BS架构，不同人员可根据使用需求情况灵活使用不同的客户端以及移动端登录。</w:t>
      </w:r>
    </w:p>
    <w:p w14:paraId="7AB538EB">
      <w:pPr>
        <w:spacing w:line="360" w:lineRule="auto"/>
        <w:rPr>
          <w:rFonts w:hint="eastAsia" w:ascii="华文宋体" w:hAnsi="华文宋体" w:cs="华文宋体"/>
          <w:szCs w:val="24"/>
          <w:lang w:val="en-GB"/>
        </w:rPr>
      </w:pPr>
      <w:r>
        <w:rPr>
          <w:rFonts w:hint="eastAsia" w:ascii="华文宋体" w:hAnsi="华文宋体" w:cs="华文宋体"/>
          <w:sz w:val="24"/>
          <w:szCs w:val="24"/>
        </w:rPr>
        <w:t>△</w:t>
      </w:r>
      <w:r>
        <w:rPr>
          <w:rFonts w:hint="eastAsia" w:ascii="华文宋体" w:hAnsi="华文宋体" w:cs="华文宋体"/>
          <w:szCs w:val="24"/>
          <w:lang w:val="en-GB"/>
        </w:rPr>
        <w:t>（</w:t>
      </w:r>
      <w:r>
        <w:rPr>
          <w:rFonts w:hint="eastAsia" w:ascii="华文宋体" w:hAnsi="华文宋体" w:cs="华文宋体"/>
          <w:szCs w:val="24"/>
          <w:lang w:val="en-US" w:eastAsia="zh-CN"/>
        </w:rPr>
        <w:t>7</w:t>
      </w:r>
      <w:r>
        <w:rPr>
          <w:rFonts w:hint="eastAsia" w:ascii="华文宋体" w:hAnsi="华文宋体" w:cs="华文宋体"/>
          <w:szCs w:val="24"/>
          <w:lang w:val="en-GB"/>
        </w:rPr>
        <w:t>）支持异地登录系统，同时允许用户通过诸如Android手机、iOS手机、PC、笔记本等多种终端设备登录系统，实现在安全控制策略下的随时、随地、多种终端访问协同研发管理平台。</w:t>
      </w:r>
    </w:p>
    <w:p w14:paraId="7A6C8A0D">
      <w:pPr>
        <w:spacing w:line="360" w:lineRule="auto"/>
        <w:rPr>
          <w:rFonts w:hint="eastAsia" w:ascii="华文宋体" w:hAnsi="华文宋体" w:cs="华文宋体"/>
          <w:szCs w:val="24"/>
          <w:lang w:val="en-GB"/>
        </w:rPr>
      </w:pPr>
      <w:r>
        <w:rPr>
          <w:rFonts w:hint="eastAsia" w:ascii="华文宋体" w:hAnsi="华文宋体" w:cs="华文宋体"/>
          <w:szCs w:val="24"/>
          <w:lang w:val="en-GB"/>
        </w:rPr>
        <w:t>（</w:t>
      </w:r>
      <w:r>
        <w:rPr>
          <w:rFonts w:hint="eastAsia" w:ascii="华文宋体" w:hAnsi="华文宋体" w:cs="华文宋体"/>
          <w:szCs w:val="24"/>
          <w:lang w:val="en-US" w:eastAsia="zh-CN"/>
        </w:rPr>
        <w:t>8</w:t>
      </w:r>
      <w:r>
        <w:rPr>
          <w:rFonts w:hint="eastAsia" w:ascii="华文宋体" w:hAnsi="华文宋体" w:cs="华文宋体"/>
          <w:szCs w:val="24"/>
          <w:lang w:val="en-GB"/>
        </w:rPr>
        <w:t>）支持分布式网络数据库以及分布式服务部署，图文档可按加密文件夹的方式存储在卷服务器中，其它所有结构化信息要求集中存储在服务器数据库中。</w:t>
      </w:r>
    </w:p>
    <w:p w14:paraId="5E931A7F">
      <w:pPr>
        <w:spacing w:line="360" w:lineRule="auto"/>
        <w:ind w:left="480" w:leftChars="200" w:firstLine="0" w:firstLineChars="0"/>
        <w:rPr>
          <w:rFonts w:hint="eastAsia" w:ascii="华文宋体" w:hAnsi="华文宋体" w:cs="华文宋体"/>
          <w:szCs w:val="24"/>
          <w:lang w:val="en-GB"/>
        </w:rPr>
      </w:pPr>
      <w:r>
        <w:rPr>
          <w:rFonts w:hint="eastAsia" w:ascii="华文宋体" w:hAnsi="华文宋体" w:cs="华文宋体"/>
          <w:szCs w:val="24"/>
          <w:lang w:val="en-GB"/>
        </w:rPr>
        <w:t>（</w:t>
      </w:r>
      <w:r>
        <w:rPr>
          <w:rFonts w:hint="eastAsia" w:ascii="华文宋体" w:hAnsi="华文宋体" w:cs="华文宋体"/>
          <w:szCs w:val="24"/>
          <w:lang w:val="en-US" w:eastAsia="zh-CN"/>
        </w:rPr>
        <w:t>9</w:t>
      </w:r>
      <w:r>
        <w:rPr>
          <w:rFonts w:hint="eastAsia" w:ascii="华文宋体" w:hAnsi="华文宋体" w:cs="华文宋体"/>
          <w:szCs w:val="24"/>
          <w:lang w:val="en-GB"/>
        </w:rPr>
        <w:t>）支持不停机运维、配置等。</w:t>
      </w:r>
    </w:p>
    <w:p w14:paraId="14A06D11">
      <w:pPr>
        <w:spacing w:line="360" w:lineRule="auto"/>
        <w:rPr>
          <w:rFonts w:hint="eastAsia" w:ascii="华文宋体" w:hAnsi="华文宋体" w:cs="华文宋体"/>
          <w:szCs w:val="24"/>
          <w:highlight w:val="none"/>
          <w:lang w:val="en-GB"/>
        </w:rPr>
      </w:pPr>
      <w:r>
        <w:rPr>
          <w:rFonts w:hint="eastAsia" w:ascii="华文宋体" w:hAnsi="华文宋体" w:cs="华文宋体"/>
          <w:szCs w:val="24"/>
          <w:highlight w:val="none"/>
          <w:lang w:val="en-GB"/>
        </w:rPr>
        <w:t>（</w:t>
      </w:r>
      <w:r>
        <w:rPr>
          <w:rFonts w:hint="eastAsia" w:ascii="华文宋体" w:hAnsi="华文宋体" w:cs="华文宋体"/>
          <w:szCs w:val="24"/>
          <w:highlight w:val="none"/>
          <w:lang w:val="en-US" w:eastAsia="zh-CN"/>
        </w:rPr>
        <w:t>10</w:t>
      </w:r>
      <w:r>
        <w:rPr>
          <w:rFonts w:hint="eastAsia" w:ascii="华文宋体" w:hAnsi="华文宋体" w:cs="华文宋体"/>
          <w:szCs w:val="24"/>
          <w:highlight w:val="none"/>
          <w:lang w:val="en-GB"/>
        </w:rPr>
        <w:t>）支持双机集群热备份等复杂的系统架构，减少软件维护的相关工作量。</w:t>
      </w:r>
    </w:p>
    <w:p w14:paraId="23DB5CF0">
      <w:pPr>
        <w:spacing w:line="360" w:lineRule="auto"/>
        <w:rPr>
          <w:rFonts w:hint="eastAsia" w:ascii="华文宋体" w:hAnsi="华文宋体" w:cs="华文宋体"/>
          <w:szCs w:val="24"/>
          <w:highlight w:val="none"/>
          <w:lang w:val="en-GB"/>
        </w:rPr>
      </w:pPr>
      <w:r>
        <w:rPr>
          <w:rFonts w:ascii="Segoe UI Symbol" w:hAnsi="Segoe UI Symbol" w:cs="Segoe UI Symbol"/>
          <w:szCs w:val="16"/>
          <w:highlight w:val="none"/>
        </w:rPr>
        <w:t>★</w:t>
      </w:r>
      <w:r>
        <w:rPr>
          <w:rFonts w:ascii="华文宋体" w:hAnsi="华文宋体" w:cs="华文宋体"/>
          <w:szCs w:val="24"/>
          <w:highlight w:val="none"/>
          <w:lang w:val="en-GB"/>
        </w:rPr>
        <w:t>（</w:t>
      </w:r>
      <w:r>
        <w:rPr>
          <w:rFonts w:hint="eastAsia" w:ascii="华文宋体" w:hAnsi="华文宋体" w:cs="华文宋体"/>
          <w:szCs w:val="24"/>
          <w:highlight w:val="none"/>
          <w:lang w:val="en-US" w:eastAsia="zh-CN"/>
        </w:rPr>
        <w:t>11</w:t>
      </w:r>
      <w:r>
        <w:rPr>
          <w:rFonts w:ascii="华文宋体" w:hAnsi="华文宋体" w:cs="华文宋体"/>
          <w:szCs w:val="24"/>
          <w:highlight w:val="none"/>
          <w:lang w:val="en-GB"/>
        </w:rPr>
        <w:t>）系统应支持在私有云/国产化部署环境下，对</w:t>
      </w:r>
      <w:r>
        <w:rPr>
          <w:rFonts w:hint="eastAsia" w:ascii="华文宋体" w:hAnsi="华文宋体" w:cs="华文宋体"/>
          <w:szCs w:val="24"/>
          <w:highlight w:val="none"/>
          <w:lang w:val="en-GB"/>
        </w:rPr>
        <w:t>CATIA 3DE</w:t>
      </w:r>
      <w:r>
        <w:rPr>
          <w:rFonts w:ascii="华文宋体" w:hAnsi="华文宋体" w:cs="华文宋体"/>
          <w:szCs w:val="24"/>
          <w:highlight w:val="none"/>
          <w:lang w:val="en-GB"/>
        </w:rPr>
        <w:t>三维数模及其 MBD 信息进行本地化大文件访问与轻量化浏览，保障异地/多终端访问下的三维数据体验与安全。</w:t>
      </w:r>
    </w:p>
    <w:p w14:paraId="487CBDA2">
      <w:pPr>
        <w:pStyle w:val="4"/>
        <w:snapToGrid w:val="0"/>
        <w:spacing w:before="312" w:after="312"/>
        <w:ind w:firstLine="480"/>
        <w:rPr>
          <w:rFonts w:hint="eastAsia" w:ascii="华文宋体" w:hAnsi="华文宋体" w:cs="华文宋体"/>
          <w:sz w:val="24"/>
          <w:szCs w:val="24"/>
        </w:rPr>
      </w:pPr>
      <w:bookmarkStart w:id="1595" w:name="_Toc203558386"/>
      <w:bookmarkStart w:id="1596" w:name="_Toc12644"/>
      <w:bookmarkStart w:id="1597" w:name="_Toc231854130"/>
      <w:bookmarkStart w:id="1598" w:name="_Toc4527"/>
      <w:r>
        <w:rPr>
          <w:rFonts w:hint="eastAsia" w:ascii="华文宋体" w:hAnsi="华文宋体" w:cs="华文宋体"/>
          <w:sz w:val="24"/>
          <w:szCs w:val="24"/>
        </w:rPr>
        <w:t>4.2 容错性和可靠性要求</w:t>
      </w:r>
      <w:bookmarkEnd w:id="1595"/>
      <w:bookmarkEnd w:id="1596"/>
      <w:bookmarkEnd w:id="1597"/>
      <w:bookmarkEnd w:id="1598"/>
      <w:r>
        <w:rPr>
          <w:rFonts w:hint="eastAsia" w:ascii="华文宋体" w:hAnsi="华文宋体" w:cs="华文宋体"/>
          <w:sz w:val="24"/>
          <w:szCs w:val="24"/>
        </w:rPr>
        <w:t xml:space="preserve"> </w:t>
      </w:r>
    </w:p>
    <w:p w14:paraId="0BC7E2A3">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 xml:space="preserve">（1）提供有效的故障诊断及维护工具，具备主备系统自主切换应急恢复能力。 </w:t>
      </w:r>
    </w:p>
    <w:p w14:paraId="2938C6F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（2）支持数据集中备份、整理、恢复，实现数据集中管理；具有高可用的系统架构，支持系统访问的负载均衡、冗余控制、故障转移。</w:t>
      </w:r>
    </w:p>
    <w:p w14:paraId="42560417">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系统架构需具备足够强大的稳定性，可7x24小时的长时间无故障运行，性能上能够保证数百人并发进行重量级的操作和大数据吞吐，比如大型系统的三维数模本地打开、上传等。确保系统的性能和响应速度，系统不会因数据存储量增加导致性能和响应速度下降。</w:t>
      </w:r>
    </w:p>
    <w:p w14:paraId="19600F9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（4）系统对运维团队和成本的要求合理，系统具备集中部署、集中维护、多地域本地化大文件访问机制，并且能够支持异地容灾、负载均衡等信息安全、性能优化的机制。</w:t>
      </w:r>
    </w:p>
    <w:p w14:paraId="6C15B6CE">
      <w:pPr>
        <w:pStyle w:val="4"/>
        <w:snapToGrid w:val="0"/>
        <w:spacing w:before="312" w:after="312"/>
        <w:ind w:firstLine="480"/>
        <w:rPr>
          <w:rFonts w:hint="eastAsia" w:ascii="华文宋体" w:hAnsi="华文宋体" w:cs="华文宋体"/>
          <w:sz w:val="24"/>
          <w:szCs w:val="24"/>
        </w:rPr>
      </w:pPr>
      <w:bookmarkStart w:id="1599" w:name="_Toc23657"/>
      <w:bookmarkStart w:id="1600" w:name="_Toc231854131"/>
      <w:bookmarkStart w:id="1601" w:name="_Toc19887"/>
      <w:bookmarkStart w:id="1602" w:name="_Toc203558387"/>
      <w:r>
        <w:rPr>
          <w:rFonts w:hint="eastAsia" w:ascii="华文宋体" w:hAnsi="华文宋体" w:cs="华文宋体"/>
          <w:sz w:val="24"/>
          <w:szCs w:val="24"/>
        </w:rPr>
        <w:t>4.3 可扩展性要求</w:t>
      </w:r>
      <w:bookmarkEnd w:id="1599"/>
      <w:bookmarkEnd w:id="1600"/>
      <w:bookmarkEnd w:id="1601"/>
      <w:bookmarkEnd w:id="1602"/>
    </w:p>
    <w:p w14:paraId="7894C13C">
      <w:pPr>
        <w:spacing w:before="60" w:after="60"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为保障系统的长期可持续运行和未来数字化产品配置设计平台演进建设需求，系统应具备良好的平台化扩展能力、业务适应能力和二次开发能力。系统的可扩展性要求如下：</w:t>
      </w:r>
    </w:p>
    <w:p w14:paraId="252E8B0B">
      <w:pPr>
        <w:spacing w:line="360" w:lineRule="auto"/>
        <w:rPr>
          <w:rFonts w:hint="eastAsia" w:ascii="华文宋体" w:hAnsi="华文宋体" w:cs="华文宋体"/>
          <w:szCs w:val="24"/>
          <w:lang w:val="en-GB"/>
        </w:rPr>
      </w:pPr>
      <w:r>
        <w:rPr>
          <w:rFonts w:hint="eastAsia" w:ascii="华文宋体" w:hAnsi="华文宋体" w:cs="华文宋体"/>
          <w:szCs w:val="24"/>
          <w:lang w:val="en-GB"/>
        </w:rPr>
        <w:t>（1）总体扩展性要求：</w:t>
      </w:r>
    </w:p>
    <w:p w14:paraId="16838127">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①系统应具有高度的适应性与可扩展性，便于扩充、维护和升级，能够支撑钻探分院在未来业务扩展、用户规模增长、组织调整等场景下的系统演进。</w:t>
      </w:r>
    </w:p>
    <w:p w14:paraId="366F5677">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②平台架构应支持模块化和组件化扩展，能够在同一数据架构下灵活增加功能模块。</w:t>
      </w:r>
    </w:p>
    <w:p w14:paraId="71FD7B8E">
      <w:pPr>
        <w:spacing w:line="360" w:lineRule="auto"/>
        <w:rPr>
          <w:rFonts w:hint="eastAsia" w:ascii="华文宋体" w:hAnsi="华文宋体" w:cs="华文宋体"/>
          <w:szCs w:val="24"/>
          <w:lang w:val="en-GB"/>
        </w:rPr>
      </w:pPr>
      <w:r>
        <w:rPr>
          <w:rFonts w:hint="eastAsia" w:ascii="华文宋体" w:hAnsi="华文宋体" w:cs="华文宋体"/>
          <w:szCs w:val="24"/>
          <w:lang w:val="en-GB"/>
        </w:rPr>
        <w:t>（2）数据与模型扩展：</w:t>
      </w:r>
    </w:p>
    <w:p w14:paraId="13D64D2F">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①系统应支持数据模型的可视化定义与动态扩展，可通过配置或二次开发方式新增业务对象、扩展属性、建立数据关系。</w:t>
      </w:r>
    </w:p>
    <w:p w14:paraId="6D011A3A">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②支持自定义业务流程模板、审批节点、编码规则、菜单结构、权限策略、界面布局等。</w:t>
      </w:r>
    </w:p>
    <w:p w14:paraId="14CDB852">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③系统应与现有产品协同开发管理主系统保持统一的数据对象模型，实现基于模型的三维产品配置管理，确保扩展功能在同一数据源下运行。</w:t>
      </w:r>
    </w:p>
    <w:p w14:paraId="69CBA2E7">
      <w:pPr>
        <w:spacing w:line="360" w:lineRule="auto"/>
        <w:rPr>
          <w:rFonts w:hint="eastAsia" w:ascii="华文宋体" w:hAnsi="华文宋体" w:cs="华文宋体"/>
          <w:szCs w:val="24"/>
          <w:lang w:val="en-GB"/>
        </w:rPr>
      </w:pPr>
      <w:r>
        <w:rPr>
          <w:rFonts w:hint="eastAsia" w:ascii="华文宋体" w:hAnsi="华文宋体" w:cs="华文宋体"/>
          <w:szCs w:val="24"/>
          <w:lang w:val="en-GB"/>
        </w:rPr>
        <w:t>（3）技术与开发接口：</w:t>
      </w:r>
    </w:p>
    <w:p w14:paraId="0EA19E12">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①系统应采用开放式架构，支持标准化的API接口与服务调用，便于与现有及后续建设的产品协同开发管理主系统、MES、ERP等系统集成。</w:t>
      </w:r>
    </w:p>
    <w:p w14:paraId="63F8FEB8">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②应采用主流开发框架和标准技术规范，支持Java、C/C++等语言的扩展开发，并提供SDK或接口文档，便于二次开发和个性化定制。</w:t>
      </w:r>
    </w:p>
    <w:p w14:paraId="63B0D045">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③系统应具备可配置的安全与权限控制机制，确保扩展功能在安全合规的前提下实现灵活配置。</w:t>
      </w:r>
    </w:p>
    <w:p w14:paraId="3CE8CF67">
      <w:pPr>
        <w:spacing w:line="360" w:lineRule="auto"/>
        <w:rPr>
          <w:rFonts w:hint="eastAsia" w:ascii="华文宋体" w:hAnsi="华文宋体" w:cs="华文宋体"/>
          <w:szCs w:val="24"/>
          <w:lang w:val="en-GB"/>
        </w:rPr>
      </w:pPr>
      <w:r>
        <w:rPr>
          <w:rFonts w:hint="eastAsia" w:ascii="华文宋体" w:hAnsi="华文宋体" w:cs="华文宋体"/>
          <w:szCs w:val="24"/>
          <w:lang w:val="en-GB"/>
        </w:rPr>
        <w:t>（4）平台演进与投资保护：</w:t>
      </w:r>
    </w:p>
    <w:p w14:paraId="1371DCDB">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①系统建设应充分考虑钻探分院的中长期信息化规划，具备持续演进能力。</w:t>
      </w:r>
    </w:p>
    <w:p w14:paraId="469962F4">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②系统应兼容国产化部署架构，支持后续的组件替换与自主化升级，保障投资的长期价值与技术延续性。</w:t>
      </w:r>
    </w:p>
    <w:p w14:paraId="22CB333F">
      <w:pPr>
        <w:spacing w:line="360" w:lineRule="auto"/>
        <w:rPr>
          <w:rFonts w:hint="eastAsia" w:ascii="华文宋体" w:hAnsi="华文宋体" w:cs="华文宋体"/>
          <w:szCs w:val="24"/>
          <w:lang w:val="en-GB"/>
        </w:rPr>
      </w:pPr>
      <w:r>
        <w:rPr>
          <w:rFonts w:hint="eastAsia" w:ascii="华文宋体" w:hAnsi="华文宋体" w:cs="华文宋体"/>
          <w:szCs w:val="24"/>
          <w:lang w:val="en-GB"/>
        </w:rPr>
        <w:t>（5）面向平台未来扩展，具备优势能力：</w:t>
      </w:r>
    </w:p>
    <w:p w14:paraId="6BE3462D">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①同源扩展架构：产品配置平台与现有产品协同开发管理主系统采用统一数据模型与服务接口，实现真正的一体化扩展。</w:t>
      </w:r>
    </w:p>
    <w:p w14:paraId="5DC8262A">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②数据模型继承：扩展功能可直接继承设计模型、BOM结构，避免重复建设。</w:t>
      </w:r>
    </w:p>
    <w:p w14:paraId="007B6202">
      <w:pPr>
        <w:pStyle w:val="29"/>
        <w:spacing w:after="0" w:afterLines="0" w:line="360" w:lineRule="auto"/>
        <w:rPr>
          <w:rFonts w:hint="eastAsia" w:ascii="华文宋体" w:hAnsi="华文宋体" w:cs="华文宋体"/>
          <w:lang w:val="en-GB"/>
        </w:rPr>
      </w:pPr>
      <w:r>
        <w:rPr>
          <w:rFonts w:hint="eastAsia" w:ascii="华文宋体" w:hAnsi="华文宋体" w:cs="华文宋体"/>
          <w:lang w:val="en-GB"/>
        </w:rPr>
        <w:t>③模块化投资保护：系统采用模块化架构，按需扩展、分期投资，降低总体建设成本。</w:t>
      </w:r>
    </w:p>
    <w:p w14:paraId="6950C516">
      <w:pPr>
        <w:spacing w:line="360" w:lineRule="auto"/>
        <w:ind w:firstLine="480"/>
        <w:rPr>
          <w:rFonts w:hint="eastAsia" w:ascii="华文宋体" w:hAnsi="华文宋体" w:cs="华文宋体"/>
          <w:szCs w:val="24"/>
          <w:lang w:val="en-GB"/>
        </w:rPr>
      </w:pPr>
      <w:r>
        <w:rPr>
          <w:rFonts w:hint="eastAsia" w:ascii="华文宋体" w:hAnsi="华文宋体" w:cs="华文宋体"/>
          <w:szCs w:val="32"/>
          <w:lang w:val="en-GB"/>
        </w:rPr>
        <w:t>④技术开放与安全并重：支持标准开发语言与接口协议，满足国产化、安全与可维护性要求。</w:t>
      </w:r>
    </w:p>
    <w:p w14:paraId="734914F7">
      <w:pPr>
        <w:pStyle w:val="4"/>
        <w:snapToGrid w:val="0"/>
        <w:spacing w:before="312" w:after="312"/>
        <w:ind w:firstLine="480"/>
        <w:rPr>
          <w:rFonts w:hint="eastAsia" w:ascii="宋体" w:hAnsi="宋体" w:eastAsia="宋体" w:cs="宋体"/>
          <w:color w:val="000000"/>
          <w:sz w:val="22"/>
          <w:szCs w:val="22"/>
          <w:lang w:val="en-GB"/>
        </w:rPr>
      </w:pPr>
      <w:bookmarkStart w:id="1603" w:name="_Toc203558388"/>
      <w:bookmarkStart w:id="1604" w:name="_Toc28248"/>
      <w:bookmarkStart w:id="1605" w:name="_Toc231854132"/>
      <w:bookmarkStart w:id="1606" w:name="_Toc350"/>
      <w:r>
        <w:rPr>
          <w:rFonts w:hint="eastAsia" w:ascii="华文宋体" w:hAnsi="华文宋体" w:cs="华文宋体"/>
          <w:sz w:val="24"/>
          <w:szCs w:val="24"/>
        </w:rPr>
        <w:t>4.4 易用性要求</w:t>
      </w:r>
      <w:bookmarkEnd w:id="1603"/>
      <w:bookmarkEnd w:id="1604"/>
      <w:bookmarkEnd w:id="1605"/>
      <w:bookmarkEnd w:id="1606"/>
      <w:r>
        <w:rPr>
          <w:rFonts w:hint="eastAsia" w:ascii="宋体" w:hAnsi="宋体" w:eastAsia="宋体" w:cs="宋体"/>
          <w:color w:val="000000"/>
          <w:sz w:val="22"/>
          <w:szCs w:val="22"/>
          <w:lang w:val="en-GB"/>
        </w:rPr>
        <w:t xml:space="preserve"> </w:t>
      </w:r>
    </w:p>
    <w:p w14:paraId="088E4F5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（1）具有良好的人机界面和可操作性，系统支持根据用户在企业中的不同岗位职责，提供个性化的用户工作界面，避免在多个界面反复切换、反复查找数据，减少不增值的系统操作，提高员工的工作效率。</w:t>
      </w:r>
    </w:p>
    <w:p w14:paraId="3019E78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（2）具有良好的简体中文和英文操作界面、详细的在线帮助信息，系统参数的维护与管理通过操作界面完成，能灵活定制个性化操作界面。</w:t>
      </w:r>
    </w:p>
    <w:p w14:paraId="47C04007">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（3）提供图形化的界面，灵活制定用户、组织、角色及其访问权限，用户界面友好，支持基于内容的多语言环境，语言表达符合行业标准。</w:t>
      </w:r>
    </w:p>
    <w:p w14:paraId="68003E3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（4）人机交互必须运行在高效、美观、整洁和易于理解的图形界面中；提供客户端浏览器、服务器访问方式，从而使得用户在企业内部能通过客户端进行数据访问；可定义各类工具可视化。</w:t>
      </w:r>
    </w:p>
    <w:p w14:paraId="1736E5B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（5）系统操作便捷，经过简单培训就能快速上手使用。</w:t>
      </w:r>
    </w:p>
    <w:p w14:paraId="55553644">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（6）支持多语言的操作界面，界面语言能够便捷切换。语言切换不影响系统操作。</w:t>
      </w:r>
    </w:p>
    <w:p w14:paraId="7300408C">
      <w:pPr>
        <w:pStyle w:val="4"/>
        <w:snapToGrid w:val="0"/>
        <w:spacing w:before="312" w:after="312"/>
        <w:ind w:firstLine="480"/>
        <w:rPr>
          <w:rFonts w:hint="eastAsia" w:ascii="华文宋体" w:hAnsi="华文宋体" w:cs="华文宋体"/>
          <w:sz w:val="24"/>
          <w:szCs w:val="24"/>
        </w:rPr>
      </w:pPr>
      <w:bookmarkStart w:id="1607" w:name="_Toc27438"/>
      <w:bookmarkStart w:id="1608" w:name="_Toc203558389"/>
      <w:bookmarkStart w:id="1609" w:name="_Toc13906"/>
      <w:bookmarkStart w:id="1610" w:name="_Toc231854133"/>
      <w:r>
        <w:rPr>
          <w:rFonts w:hint="eastAsia" w:ascii="华文宋体" w:hAnsi="华文宋体" w:cs="华文宋体"/>
          <w:sz w:val="24"/>
          <w:szCs w:val="24"/>
        </w:rPr>
        <w:t>4.5 安全性要求</w:t>
      </w:r>
      <w:bookmarkEnd w:id="1607"/>
      <w:bookmarkEnd w:id="1608"/>
      <w:bookmarkEnd w:id="1609"/>
      <w:bookmarkEnd w:id="1610"/>
    </w:p>
    <w:p w14:paraId="606498E4">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（1）具有完善的用户登录日志、关键数据的更改必须有变更历史记录，能够根据用户身份和应用活动进行审计，便于系统的管理和控制。</w:t>
      </w:r>
    </w:p>
    <w:p w14:paraId="767D91F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（2）支持提供图形化的界面进行安全设置，灵活定义用户、角色、组织的访问权限，支持企业复杂的业务过程。</w:t>
      </w:r>
    </w:p>
    <w:p w14:paraId="17331BB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（3）支持数据不同工作状态（提交、审核、批准、归档等）均有不同的读/写操作权限，确保文档不受非法使用和操作的侵犯。</w:t>
      </w:r>
    </w:p>
    <w:p w14:paraId="0F820023">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（4）对关键业务数据要求有定期备份的功能；支持双机热备的使用方式。支持使用备份数据恢复或重建系统的能力。</w:t>
      </w:r>
    </w:p>
    <w:bookmarkEnd w:id="1472"/>
    <w:bookmarkEnd w:id="1473"/>
    <w:bookmarkEnd w:id="1474"/>
    <w:bookmarkEnd w:id="1475"/>
    <w:bookmarkEnd w:id="1476"/>
    <w:bookmarkEnd w:id="1477"/>
    <w:p w14:paraId="7DEB8F7D">
      <w:pPr>
        <w:pStyle w:val="4"/>
        <w:snapToGrid w:val="0"/>
        <w:spacing w:before="156" w:beforeLines="50" w:after="156" w:afterLines="50"/>
        <w:ind w:firstLine="480"/>
        <w:rPr>
          <w:rFonts w:hint="eastAsia" w:ascii="华文宋体" w:hAnsi="华文宋体" w:cs="宋体"/>
          <w:color w:val="000000"/>
          <w:sz w:val="24"/>
          <w:szCs w:val="22"/>
          <w:lang w:val="en-GB"/>
        </w:rPr>
      </w:pPr>
      <w:bookmarkStart w:id="1611" w:name="_Toc32164"/>
      <w:bookmarkStart w:id="1612" w:name="_Toc203558390"/>
      <w:bookmarkStart w:id="1613" w:name="_Toc10421"/>
      <w:bookmarkStart w:id="1614" w:name="_Toc231854134"/>
      <w:bookmarkStart w:id="1615" w:name="_Toc20107"/>
      <w:bookmarkStart w:id="1616" w:name="_Toc211529242"/>
      <w:bookmarkStart w:id="1617" w:name="_Toc7130"/>
      <w:bookmarkStart w:id="1618" w:name="_Toc7825"/>
      <w:r>
        <w:rPr>
          <w:rFonts w:hint="eastAsia" w:ascii="华文宋体" w:hAnsi="华文宋体" w:cs="宋体"/>
          <w:color w:val="000000"/>
          <w:sz w:val="24"/>
          <w:szCs w:val="22"/>
        </w:rPr>
        <w:t>五</w:t>
      </w:r>
      <w:r>
        <w:rPr>
          <w:rFonts w:hint="eastAsia" w:ascii="华文宋体" w:hAnsi="华文宋体" w:cs="宋体"/>
          <w:color w:val="000000"/>
          <w:sz w:val="24"/>
          <w:szCs w:val="22"/>
          <w:lang w:val="en-GB"/>
        </w:rPr>
        <w:t>、项目实施要求</w:t>
      </w:r>
      <w:bookmarkEnd w:id="1611"/>
      <w:bookmarkEnd w:id="1612"/>
      <w:bookmarkEnd w:id="1613"/>
      <w:bookmarkEnd w:id="1614"/>
    </w:p>
    <w:bookmarkEnd w:id="1615"/>
    <w:bookmarkEnd w:id="1616"/>
    <w:bookmarkEnd w:id="1617"/>
    <w:bookmarkEnd w:id="1618"/>
    <w:p w14:paraId="1DCBBC17">
      <w:pPr>
        <w:pStyle w:val="4"/>
        <w:snapToGrid w:val="0"/>
        <w:spacing w:before="312" w:after="312"/>
        <w:ind w:firstLine="480"/>
        <w:rPr>
          <w:rFonts w:hint="eastAsia" w:ascii="华文宋体" w:hAnsi="华文宋体" w:cs="华文宋体"/>
          <w:sz w:val="24"/>
          <w:szCs w:val="24"/>
        </w:rPr>
      </w:pPr>
      <w:bookmarkStart w:id="1619" w:name="_Toc2238"/>
      <w:bookmarkStart w:id="1620" w:name="_Toc231854135"/>
      <w:bookmarkStart w:id="1621" w:name="_Toc23044"/>
      <w:bookmarkStart w:id="1622" w:name="_Toc203558391"/>
      <w:r>
        <w:rPr>
          <w:rFonts w:hint="eastAsia" w:ascii="华文宋体" w:hAnsi="华文宋体" w:cs="华文宋体"/>
          <w:sz w:val="24"/>
          <w:szCs w:val="24"/>
        </w:rPr>
        <w:t>5.1 实施要求</w:t>
      </w:r>
      <w:bookmarkEnd w:id="1619"/>
      <w:bookmarkEnd w:id="1620"/>
      <w:bookmarkEnd w:id="1621"/>
      <w:bookmarkEnd w:id="1622"/>
    </w:p>
    <w:p w14:paraId="47EBE10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投标人应根据招标人协同开发管理系统需求书，在投标文件中提交一份关于本次招标内容的《项目实施初步方案》，其包含的主要内容为：</w:t>
      </w:r>
    </w:p>
    <w:p w14:paraId="1130800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（1）实施范围和实施内容；</w:t>
      </w:r>
    </w:p>
    <w:p w14:paraId="3731F62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（2）实施策略和关键技术以及实施的过程规划；</w:t>
      </w:r>
    </w:p>
    <w:p w14:paraId="0802BE1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（3）实施的文档清单；</w:t>
      </w:r>
    </w:p>
    <w:p w14:paraId="5354D8F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（4）实施人员组成及主要人员情况和实施经验介绍；</w:t>
      </w:r>
    </w:p>
    <w:p w14:paraId="3184BE4D">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（5）实施的培训计划；</w:t>
      </w:r>
    </w:p>
    <w:p w14:paraId="76265FC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（6）实施步骤与节点控制；</w:t>
      </w:r>
    </w:p>
    <w:p w14:paraId="3E31D94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（7）验收评价的方法及标准；</w:t>
      </w:r>
    </w:p>
    <w:p w14:paraId="52B5AC4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（8）实施的风险控制与防范措施；</w:t>
      </w:r>
    </w:p>
    <w:p w14:paraId="5D478CB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（9）实施的预期效果；</w:t>
      </w:r>
    </w:p>
    <w:p w14:paraId="56D24A5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（10）实施的后续维护及服务；</w:t>
      </w:r>
    </w:p>
    <w:p w14:paraId="0A243AE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（11）其他有关建议内容。</w:t>
      </w:r>
    </w:p>
    <w:p w14:paraId="415B9C0F">
      <w:pPr>
        <w:pStyle w:val="4"/>
        <w:snapToGrid w:val="0"/>
        <w:spacing w:before="312" w:after="312"/>
        <w:ind w:firstLine="480"/>
        <w:rPr>
          <w:rFonts w:hint="eastAsia" w:ascii="华文宋体" w:hAnsi="华文宋体" w:cs="华文宋体"/>
          <w:sz w:val="24"/>
          <w:szCs w:val="24"/>
        </w:rPr>
      </w:pPr>
      <w:bookmarkStart w:id="1623" w:name="_Toc18797"/>
      <w:bookmarkStart w:id="1624" w:name="_Toc231854136"/>
      <w:bookmarkStart w:id="1625" w:name="_Toc203558392"/>
      <w:bookmarkStart w:id="1626" w:name="_Toc13922"/>
      <w:r>
        <w:rPr>
          <w:rFonts w:hint="eastAsia" w:ascii="华文宋体" w:hAnsi="华文宋体" w:cs="华文宋体"/>
          <w:sz w:val="24"/>
          <w:szCs w:val="24"/>
        </w:rPr>
        <w:t>5.2 实施周期要求</w:t>
      </w:r>
      <w:bookmarkEnd w:id="1623"/>
      <w:bookmarkEnd w:id="1624"/>
      <w:bookmarkEnd w:id="1625"/>
      <w:bookmarkEnd w:id="1626"/>
    </w:p>
    <w:p w14:paraId="33D0AB35">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项目实施周期限定为6个月达到初验要求，要求实施方在合同生效一个月内提出合理的项目实施计划、详细设计方案，并明确实施阶段控制节点以及质量的保证措施。</w:t>
      </w:r>
    </w:p>
    <w:p w14:paraId="4F8BA99B">
      <w:pPr>
        <w:ind w:firstLine="420"/>
        <w:rPr>
          <w:sz w:val="21"/>
          <w:szCs w:val="24"/>
          <w:lang w:val="en-GB"/>
        </w:rPr>
      </w:pPr>
    </w:p>
    <w:tbl>
      <w:tblPr>
        <w:tblStyle w:val="20"/>
        <w:tblW w:w="8344"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9"/>
        <w:gridCol w:w="3636"/>
        <w:gridCol w:w="2569"/>
      </w:tblGrid>
      <w:tr w14:paraId="3DF3C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2139" w:type="dxa"/>
            <w:tcBorders>
              <w:top w:val="single" w:color="000000" w:sz="4" w:space="0"/>
              <w:left w:val="single" w:color="000000" w:sz="4" w:space="0"/>
              <w:bottom w:val="single" w:color="000000" w:sz="4" w:space="0"/>
              <w:right w:val="single" w:color="000000" w:sz="4" w:space="0"/>
              <w:tl2br w:val="nil"/>
              <w:tr2bl w:val="nil"/>
            </w:tcBorders>
          </w:tcPr>
          <w:p w14:paraId="2E7BF5FF">
            <w:pPr>
              <w:spacing w:line="360" w:lineRule="auto"/>
              <w:ind w:firstLine="420"/>
              <w:jc w:val="center"/>
              <w:rPr>
                <w:rFonts w:hint="eastAsia" w:ascii="宋体" w:hAnsi="宋体"/>
                <w:b/>
                <w:sz w:val="21"/>
                <w:szCs w:val="21"/>
              </w:rPr>
            </w:pPr>
            <w:r>
              <w:rPr>
                <w:rFonts w:hint="eastAsia" w:ascii="宋体" w:hAnsi="宋体"/>
                <w:b/>
                <w:sz w:val="21"/>
                <w:szCs w:val="21"/>
              </w:rPr>
              <w:t>里程碑</w:t>
            </w:r>
          </w:p>
        </w:tc>
        <w:tc>
          <w:tcPr>
            <w:tcW w:w="3636" w:type="dxa"/>
            <w:tcBorders>
              <w:top w:val="single" w:color="000000" w:sz="4" w:space="0"/>
              <w:left w:val="single" w:color="000000" w:sz="4" w:space="0"/>
              <w:bottom w:val="single" w:color="000000" w:sz="4" w:space="0"/>
              <w:right w:val="single" w:color="000000" w:sz="4" w:space="0"/>
              <w:tl2br w:val="nil"/>
              <w:tr2bl w:val="nil"/>
            </w:tcBorders>
          </w:tcPr>
          <w:p w14:paraId="1C57540D">
            <w:pPr>
              <w:spacing w:line="360" w:lineRule="auto"/>
              <w:ind w:firstLine="420"/>
              <w:jc w:val="center"/>
              <w:rPr>
                <w:rFonts w:hint="eastAsia" w:ascii="宋体" w:hAnsi="宋体"/>
                <w:b/>
                <w:sz w:val="21"/>
                <w:szCs w:val="21"/>
              </w:rPr>
            </w:pPr>
            <w:r>
              <w:rPr>
                <w:rFonts w:hint="eastAsia" w:ascii="宋体" w:hAnsi="宋体"/>
                <w:b/>
                <w:sz w:val="21"/>
                <w:szCs w:val="21"/>
              </w:rPr>
              <w:t>项目阶段</w:t>
            </w:r>
          </w:p>
        </w:tc>
        <w:tc>
          <w:tcPr>
            <w:tcW w:w="2569" w:type="dxa"/>
            <w:tcBorders>
              <w:top w:val="single" w:color="000000" w:sz="4" w:space="0"/>
              <w:left w:val="single" w:color="000000" w:sz="4" w:space="0"/>
              <w:bottom w:val="single" w:color="000000" w:sz="4" w:space="0"/>
              <w:right w:val="single" w:color="000000" w:sz="4" w:space="0"/>
              <w:tl2br w:val="nil"/>
              <w:tr2bl w:val="nil"/>
            </w:tcBorders>
          </w:tcPr>
          <w:p w14:paraId="5F236885">
            <w:pPr>
              <w:spacing w:line="360" w:lineRule="auto"/>
              <w:ind w:firstLine="420"/>
              <w:jc w:val="center"/>
              <w:rPr>
                <w:rFonts w:hint="eastAsia" w:ascii="宋体" w:hAnsi="宋体"/>
                <w:b/>
                <w:sz w:val="21"/>
                <w:szCs w:val="21"/>
              </w:rPr>
            </w:pPr>
            <w:r>
              <w:rPr>
                <w:rFonts w:hint="eastAsia" w:ascii="宋体" w:hAnsi="宋体"/>
                <w:b/>
                <w:sz w:val="21"/>
                <w:szCs w:val="21"/>
              </w:rPr>
              <w:t>备注</w:t>
            </w:r>
          </w:p>
        </w:tc>
      </w:tr>
      <w:tr w14:paraId="2AD9E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139" w:type="dxa"/>
            <w:tcBorders>
              <w:top w:val="single" w:color="000000" w:sz="4" w:space="0"/>
              <w:left w:val="single" w:color="000000" w:sz="4" w:space="0"/>
              <w:bottom w:val="single" w:color="000000" w:sz="4" w:space="0"/>
              <w:right w:val="single" w:color="000000" w:sz="4" w:space="0"/>
              <w:tl2br w:val="nil"/>
              <w:tr2bl w:val="nil"/>
            </w:tcBorders>
          </w:tcPr>
          <w:p w14:paraId="0B0D6446">
            <w:pPr>
              <w:spacing w:line="360" w:lineRule="auto"/>
              <w:ind w:firstLine="420"/>
              <w:jc w:val="center"/>
              <w:rPr>
                <w:rFonts w:hint="eastAsia" w:ascii="宋体" w:hAnsi="宋体"/>
                <w:sz w:val="21"/>
                <w:szCs w:val="21"/>
              </w:rPr>
            </w:pPr>
            <w:r>
              <w:rPr>
                <w:rFonts w:hint="eastAsia" w:ascii="宋体" w:hAnsi="宋体"/>
                <w:sz w:val="21"/>
                <w:szCs w:val="21"/>
              </w:rPr>
              <w:t>里程碑一</w:t>
            </w:r>
          </w:p>
        </w:tc>
        <w:tc>
          <w:tcPr>
            <w:tcW w:w="3636" w:type="dxa"/>
            <w:tcBorders>
              <w:top w:val="single" w:color="000000" w:sz="4" w:space="0"/>
              <w:left w:val="single" w:color="000000" w:sz="4" w:space="0"/>
              <w:bottom w:val="single" w:color="000000" w:sz="4" w:space="0"/>
              <w:right w:val="single" w:color="000000" w:sz="4" w:space="0"/>
              <w:tl2br w:val="nil"/>
              <w:tr2bl w:val="nil"/>
            </w:tcBorders>
          </w:tcPr>
          <w:p w14:paraId="1C5EAEA4">
            <w:pPr>
              <w:spacing w:line="360" w:lineRule="auto"/>
              <w:ind w:firstLine="420"/>
              <w:jc w:val="center"/>
              <w:rPr>
                <w:rFonts w:hint="eastAsia" w:ascii="宋体" w:hAnsi="宋体"/>
                <w:sz w:val="21"/>
                <w:szCs w:val="21"/>
              </w:rPr>
            </w:pPr>
            <w:r>
              <w:rPr>
                <w:rFonts w:hint="eastAsia" w:ascii="宋体" w:hAnsi="宋体"/>
                <w:sz w:val="21"/>
                <w:szCs w:val="21"/>
              </w:rPr>
              <w:t>项目启动及准备阶段</w:t>
            </w:r>
          </w:p>
        </w:tc>
        <w:tc>
          <w:tcPr>
            <w:tcW w:w="2569" w:type="dxa"/>
            <w:tcBorders>
              <w:top w:val="single" w:color="000000" w:sz="4" w:space="0"/>
              <w:left w:val="single" w:color="000000" w:sz="4" w:space="0"/>
              <w:bottom w:val="single" w:color="000000" w:sz="4" w:space="0"/>
              <w:right w:val="single" w:color="000000" w:sz="4" w:space="0"/>
              <w:tl2br w:val="nil"/>
              <w:tr2bl w:val="nil"/>
            </w:tcBorders>
          </w:tcPr>
          <w:p w14:paraId="6EC105E4">
            <w:pPr>
              <w:spacing w:line="360" w:lineRule="auto"/>
              <w:ind w:firstLine="420"/>
              <w:jc w:val="center"/>
              <w:rPr>
                <w:rFonts w:hint="eastAsia" w:ascii="宋体" w:hAnsi="宋体"/>
                <w:sz w:val="21"/>
                <w:szCs w:val="21"/>
              </w:rPr>
            </w:pPr>
            <w:r>
              <w:rPr>
                <w:rFonts w:hint="eastAsia" w:ascii="宋体" w:hAnsi="宋体"/>
                <w:sz w:val="21"/>
                <w:szCs w:val="21"/>
              </w:rPr>
              <w:t>需甲方签批</w:t>
            </w:r>
          </w:p>
        </w:tc>
      </w:tr>
      <w:tr w14:paraId="6B4AD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 w:hRule="atLeast"/>
        </w:trPr>
        <w:tc>
          <w:tcPr>
            <w:tcW w:w="2139" w:type="dxa"/>
            <w:tcBorders>
              <w:top w:val="single" w:color="000000" w:sz="4" w:space="0"/>
              <w:left w:val="single" w:color="000000" w:sz="4" w:space="0"/>
              <w:bottom w:val="single" w:color="000000" w:sz="4" w:space="0"/>
              <w:right w:val="single" w:color="000000" w:sz="4" w:space="0"/>
              <w:tl2br w:val="nil"/>
              <w:tr2bl w:val="nil"/>
            </w:tcBorders>
          </w:tcPr>
          <w:p w14:paraId="3B11C2E6">
            <w:pPr>
              <w:spacing w:line="360" w:lineRule="auto"/>
              <w:ind w:firstLine="420"/>
              <w:jc w:val="center"/>
              <w:rPr>
                <w:rFonts w:hint="eastAsia" w:ascii="宋体" w:hAnsi="宋体"/>
                <w:sz w:val="21"/>
                <w:szCs w:val="21"/>
              </w:rPr>
            </w:pPr>
            <w:r>
              <w:rPr>
                <w:rFonts w:hint="eastAsia" w:ascii="宋体" w:hAnsi="宋体"/>
                <w:sz w:val="21"/>
                <w:szCs w:val="21"/>
              </w:rPr>
              <w:t>里程碑二</w:t>
            </w:r>
          </w:p>
        </w:tc>
        <w:tc>
          <w:tcPr>
            <w:tcW w:w="3636" w:type="dxa"/>
            <w:tcBorders>
              <w:top w:val="single" w:color="000000" w:sz="4" w:space="0"/>
              <w:left w:val="single" w:color="000000" w:sz="4" w:space="0"/>
              <w:bottom w:val="single" w:color="000000" w:sz="4" w:space="0"/>
              <w:right w:val="single" w:color="000000" w:sz="4" w:space="0"/>
              <w:tl2br w:val="nil"/>
              <w:tr2bl w:val="nil"/>
            </w:tcBorders>
          </w:tcPr>
          <w:p w14:paraId="0813BBD5">
            <w:pPr>
              <w:spacing w:line="360" w:lineRule="auto"/>
              <w:ind w:firstLine="420"/>
              <w:jc w:val="center"/>
              <w:rPr>
                <w:rFonts w:hint="eastAsia" w:ascii="宋体" w:hAnsi="宋体"/>
                <w:sz w:val="21"/>
                <w:szCs w:val="21"/>
              </w:rPr>
            </w:pPr>
            <w:r>
              <w:rPr>
                <w:rFonts w:hint="eastAsia" w:ascii="宋体" w:hAnsi="宋体"/>
                <w:sz w:val="21"/>
                <w:szCs w:val="21"/>
              </w:rPr>
              <w:t>蓝图设计阶段</w:t>
            </w:r>
          </w:p>
        </w:tc>
        <w:tc>
          <w:tcPr>
            <w:tcW w:w="2569" w:type="dxa"/>
            <w:tcBorders>
              <w:top w:val="single" w:color="000000" w:sz="4" w:space="0"/>
              <w:left w:val="single" w:color="000000" w:sz="4" w:space="0"/>
              <w:bottom w:val="single" w:color="000000" w:sz="4" w:space="0"/>
              <w:right w:val="single" w:color="000000" w:sz="4" w:space="0"/>
              <w:tl2br w:val="nil"/>
              <w:tr2bl w:val="nil"/>
            </w:tcBorders>
          </w:tcPr>
          <w:p w14:paraId="5CE4A507">
            <w:pPr>
              <w:spacing w:line="360" w:lineRule="auto"/>
              <w:ind w:firstLine="420"/>
              <w:jc w:val="center"/>
              <w:rPr>
                <w:rFonts w:hint="eastAsia" w:ascii="宋体" w:hAnsi="宋体"/>
                <w:sz w:val="21"/>
                <w:szCs w:val="21"/>
              </w:rPr>
            </w:pPr>
            <w:r>
              <w:rPr>
                <w:rFonts w:hint="eastAsia" w:ascii="宋体" w:hAnsi="宋体"/>
                <w:sz w:val="21"/>
                <w:szCs w:val="21"/>
              </w:rPr>
              <w:t>需甲方签批</w:t>
            </w:r>
          </w:p>
        </w:tc>
      </w:tr>
      <w:tr w14:paraId="1F350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2139" w:type="dxa"/>
            <w:tcBorders>
              <w:top w:val="single" w:color="000000" w:sz="4" w:space="0"/>
              <w:left w:val="single" w:color="000000" w:sz="4" w:space="0"/>
              <w:bottom w:val="single" w:color="000000" w:sz="4" w:space="0"/>
              <w:right w:val="single" w:color="000000" w:sz="4" w:space="0"/>
              <w:tl2br w:val="nil"/>
              <w:tr2bl w:val="nil"/>
            </w:tcBorders>
          </w:tcPr>
          <w:p w14:paraId="17BA477E">
            <w:pPr>
              <w:spacing w:line="360" w:lineRule="auto"/>
              <w:ind w:firstLine="420"/>
              <w:jc w:val="center"/>
              <w:rPr>
                <w:rFonts w:hint="eastAsia" w:ascii="宋体" w:hAnsi="宋体"/>
                <w:sz w:val="21"/>
                <w:szCs w:val="21"/>
              </w:rPr>
            </w:pPr>
            <w:r>
              <w:rPr>
                <w:rFonts w:hint="eastAsia" w:ascii="宋体" w:hAnsi="宋体"/>
                <w:sz w:val="21"/>
                <w:szCs w:val="21"/>
              </w:rPr>
              <w:t>里程碑三</w:t>
            </w:r>
          </w:p>
        </w:tc>
        <w:tc>
          <w:tcPr>
            <w:tcW w:w="3636" w:type="dxa"/>
            <w:tcBorders>
              <w:top w:val="single" w:color="000000" w:sz="4" w:space="0"/>
              <w:left w:val="single" w:color="000000" w:sz="4" w:space="0"/>
              <w:bottom w:val="single" w:color="000000" w:sz="4" w:space="0"/>
              <w:right w:val="single" w:color="000000" w:sz="4" w:space="0"/>
              <w:tl2br w:val="nil"/>
              <w:tr2bl w:val="nil"/>
            </w:tcBorders>
          </w:tcPr>
          <w:p w14:paraId="3E883D9F">
            <w:pPr>
              <w:spacing w:line="360" w:lineRule="auto"/>
              <w:ind w:firstLine="420"/>
              <w:jc w:val="center"/>
              <w:rPr>
                <w:rFonts w:hint="eastAsia" w:ascii="宋体" w:hAnsi="宋体"/>
                <w:sz w:val="21"/>
                <w:szCs w:val="21"/>
              </w:rPr>
            </w:pPr>
            <w:r>
              <w:rPr>
                <w:rFonts w:hint="eastAsia" w:ascii="宋体" w:hAnsi="宋体"/>
                <w:sz w:val="21"/>
                <w:szCs w:val="21"/>
              </w:rPr>
              <w:t>系统开发及测试阶段</w:t>
            </w:r>
          </w:p>
        </w:tc>
        <w:tc>
          <w:tcPr>
            <w:tcW w:w="2569" w:type="dxa"/>
            <w:tcBorders>
              <w:top w:val="single" w:color="000000" w:sz="4" w:space="0"/>
              <w:left w:val="single" w:color="000000" w:sz="4" w:space="0"/>
              <w:bottom w:val="single" w:color="000000" w:sz="4" w:space="0"/>
              <w:right w:val="single" w:color="000000" w:sz="4" w:space="0"/>
              <w:tl2br w:val="nil"/>
              <w:tr2bl w:val="nil"/>
            </w:tcBorders>
          </w:tcPr>
          <w:p w14:paraId="60B4E649">
            <w:pPr>
              <w:spacing w:line="360" w:lineRule="auto"/>
              <w:ind w:firstLine="420"/>
              <w:jc w:val="center"/>
              <w:rPr>
                <w:rFonts w:hint="eastAsia" w:ascii="宋体" w:hAnsi="宋体"/>
                <w:sz w:val="21"/>
                <w:szCs w:val="21"/>
              </w:rPr>
            </w:pPr>
            <w:r>
              <w:rPr>
                <w:rFonts w:hint="eastAsia" w:ascii="宋体" w:hAnsi="宋体"/>
                <w:sz w:val="21"/>
                <w:szCs w:val="21"/>
              </w:rPr>
              <w:t>需甲方签批</w:t>
            </w:r>
          </w:p>
        </w:tc>
      </w:tr>
      <w:tr w14:paraId="205DB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2139" w:type="dxa"/>
            <w:tcBorders>
              <w:top w:val="single" w:color="000000" w:sz="4" w:space="0"/>
              <w:left w:val="single" w:color="000000" w:sz="4" w:space="0"/>
              <w:bottom w:val="single" w:color="000000" w:sz="4" w:space="0"/>
              <w:right w:val="single" w:color="000000" w:sz="4" w:space="0"/>
              <w:tl2br w:val="nil"/>
              <w:tr2bl w:val="nil"/>
            </w:tcBorders>
          </w:tcPr>
          <w:p w14:paraId="281B8920">
            <w:pPr>
              <w:spacing w:line="360" w:lineRule="auto"/>
              <w:ind w:firstLine="420"/>
              <w:jc w:val="center"/>
              <w:rPr>
                <w:rFonts w:hint="eastAsia" w:ascii="宋体" w:hAnsi="宋体"/>
                <w:sz w:val="21"/>
                <w:szCs w:val="21"/>
              </w:rPr>
            </w:pPr>
            <w:r>
              <w:rPr>
                <w:rFonts w:hint="eastAsia" w:ascii="宋体" w:hAnsi="宋体"/>
                <w:sz w:val="21"/>
                <w:szCs w:val="21"/>
              </w:rPr>
              <w:t>里程碑四</w:t>
            </w:r>
          </w:p>
        </w:tc>
        <w:tc>
          <w:tcPr>
            <w:tcW w:w="3636" w:type="dxa"/>
            <w:tcBorders>
              <w:top w:val="single" w:color="000000" w:sz="4" w:space="0"/>
              <w:left w:val="single" w:color="000000" w:sz="4" w:space="0"/>
              <w:bottom w:val="single" w:color="000000" w:sz="4" w:space="0"/>
              <w:right w:val="single" w:color="000000" w:sz="4" w:space="0"/>
              <w:tl2br w:val="nil"/>
              <w:tr2bl w:val="nil"/>
            </w:tcBorders>
          </w:tcPr>
          <w:p w14:paraId="3558C3BE">
            <w:pPr>
              <w:spacing w:line="360" w:lineRule="auto"/>
              <w:ind w:firstLine="420"/>
              <w:jc w:val="center"/>
              <w:rPr>
                <w:rFonts w:hint="eastAsia" w:ascii="宋体" w:hAnsi="宋体"/>
                <w:sz w:val="21"/>
                <w:szCs w:val="21"/>
              </w:rPr>
            </w:pPr>
            <w:r>
              <w:rPr>
                <w:rFonts w:hint="eastAsia" w:ascii="宋体" w:hAnsi="宋体"/>
                <w:sz w:val="21"/>
                <w:szCs w:val="21"/>
              </w:rPr>
              <w:t>系统上线阶段</w:t>
            </w:r>
          </w:p>
        </w:tc>
        <w:tc>
          <w:tcPr>
            <w:tcW w:w="2569" w:type="dxa"/>
            <w:tcBorders>
              <w:top w:val="single" w:color="000000" w:sz="4" w:space="0"/>
              <w:left w:val="single" w:color="000000" w:sz="4" w:space="0"/>
              <w:bottom w:val="single" w:color="000000" w:sz="4" w:space="0"/>
              <w:right w:val="single" w:color="000000" w:sz="4" w:space="0"/>
              <w:tl2br w:val="nil"/>
              <w:tr2bl w:val="nil"/>
            </w:tcBorders>
          </w:tcPr>
          <w:p w14:paraId="6A194777">
            <w:pPr>
              <w:spacing w:line="360" w:lineRule="auto"/>
              <w:ind w:firstLine="420"/>
              <w:jc w:val="center"/>
              <w:rPr>
                <w:rFonts w:hint="eastAsia" w:ascii="宋体" w:hAnsi="宋体"/>
                <w:sz w:val="21"/>
                <w:szCs w:val="21"/>
              </w:rPr>
            </w:pPr>
            <w:r>
              <w:rPr>
                <w:rFonts w:hint="eastAsia" w:ascii="宋体" w:hAnsi="宋体"/>
                <w:sz w:val="21"/>
                <w:szCs w:val="21"/>
              </w:rPr>
              <w:t>需甲方签批</w:t>
            </w:r>
          </w:p>
        </w:tc>
      </w:tr>
      <w:tr w14:paraId="08727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2139" w:type="dxa"/>
            <w:tcBorders>
              <w:top w:val="single" w:color="000000" w:sz="4" w:space="0"/>
              <w:left w:val="single" w:color="000000" w:sz="4" w:space="0"/>
              <w:bottom w:val="single" w:color="000000" w:sz="4" w:space="0"/>
              <w:right w:val="single" w:color="000000" w:sz="4" w:space="0"/>
              <w:tl2br w:val="nil"/>
              <w:tr2bl w:val="nil"/>
            </w:tcBorders>
          </w:tcPr>
          <w:p w14:paraId="69F6E50E">
            <w:pPr>
              <w:spacing w:line="360" w:lineRule="auto"/>
              <w:ind w:firstLine="420"/>
              <w:jc w:val="center"/>
              <w:rPr>
                <w:rFonts w:hint="eastAsia" w:ascii="宋体" w:hAnsi="宋体"/>
                <w:sz w:val="21"/>
                <w:szCs w:val="21"/>
              </w:rPr>
            </w:pPr>
            <w:r>
              <w:rPr>
                <w:rFonts w:hint="eastAsia" w:ascii="宋体" w:hAnsi="宋体"/>
                <w:sz w:val="21"/>
                <w:szCs w:val="21"/>
              </w:rPr>
              <w:t>里程碑五</w:t>
            </w:r>
          </w:p>
        </w:tc>
        <w:tc>
          <w:tcPr>
            <w:tcW w:w="3636" w:type="dxa"/>
            <w:tcBorders>
              <w:top w:val="single" w:color="000000" w:sz="4" w:space="0"/>
              <w:left w:val="single" w:color="000000" w:sz="4" w:space="0"/>
              <w:bottom w:val="single" w:color="000000" w:sz="4" w:space="0"/>
              <w:right w:val="single" w:color="000000" w:sz="4" w:space="0"/>
              <w:tl2br w:val="nil"/>
              <w:tr2bl w:val="nil"/>
            </w:tcBorders>
          </w:tcPr>
          <w:p w14:paraId="2BF2FA2F">
            <w:pPr>
              <w:spacing w:line="360" w:lineRule="auto"/>
              <w:ind w:firstLine="420"/>
              <w:jc w:val="center"/>
              <w:rPr>
                <w:rFonts w:hint="eastAsia" w:ascii="宋体" w:hAnsi="宋体"/>
                <w:sz w:val="21"/>
                <w:szCs w:val="21"/>
              </w:rPr>
            </w:pPr>
            <w:r>
              <w:rPr>
                <w:rFonts w:hint="eastAsia" w:ascii="宋体" w:hAnsi="宋体"/>
                <w:sz w:val="21"/>
                <w:szCs w:val="21"/>
              </w:rPr>
              <w:t>项目验收阶段</w:t>
            </w:r>
          </w:p>
        </w:tc>
        <w:tc>
          <w:tcPr>
            <w:tcW w:w="2569" w:type="dxa"/>
            <w:tcBorders>
              <w:top w:val="single" w:color="000000" w:sz="4" w:space="0"/>
              <w:left w:val="single" w:color="000000" w:sz="4" w:space="0"/>
              <w:bottom w:val="single" w:color="000000" w:sz="4" w:space="0"/>
              <w:right w:val="single" w:color="000000" w:sz="4" w:space="0"/>
              <w:tl2br w:val="nil"/>
              <w:tr2bl w:val="nil"/>
            </w:tcBorders>
          </w:tcPr>
          <w:p w14:paraId="263F4A15">
            <w:pPr>
              <w:spacing w:line="360" w:lineRule="auto"/>
              <w:ind w:firstLine="420"/>
              <w:jc w:val="center"/>
              <w:rPr>
                <w:rFonts w:hint="eastAsia" w:ascii="宋体" w:hAnsi="宋体"/>
                <w:sz w:val="21"/>
                <w:szCs w:val="21"/>
              </w:rPr>
            </w:pPr>
            <w:r>
              <w:rPr>
                <w:rFonts w:hint="eastAsia" w:ascii="宋体" w:hAnsi="宋体"/>
                <w:sz w:val="21"/>
                <w:szCs w:val="21"/>
              </w:rPr>
              <w:t>需甲方签批</w:t>
            </w:r>
          </w:p>
        </w:tc>
      </w:tr>
    </w:tbl>
    <w:p w14:paraId="76EB63C8">
      <w:pPr>
        <w:pStyle w:val="29"/>
        <w:spacing w:after="0" w:afterLines="0" w:line="360" w:lineRule="auto"/>
        <w:rPr>
          <w:rFonts w:hint="eastAsia" w:ascii="宋体" w:hAnsi="宋体" w:cs="宋体"/>
          <w:b/>
          <w:color w:val="000000"/>
        </w:rPr>
      </w:pPr>
    </w:p>
    <w:p w14:paraId="40122137">
      <w:pPr>
        <w:pStyle w:val="4"/>
        <w:snapToGrid w:val="0"/>
        <w:spacing w:before="312" w:after="312"/>
        <w:ind w:firstLine="480"/>
        <w:rPr>
          <w:rFonts w:hint="eastAsia" w:ascii="华文宋体" w:hAnsi="华文宋体" w:cs="华文宋体"/>
          <w:sz w:val="24"/>
          <w:szCs w:val="24"/>
        </w:rPr>
      </w:pPr>
      <w:bookmarkStart w:id="1627" w:name="_Toc231854137"/>
      <w:bookmarkStart w:id="1628" w:name="_Toc9497"/>
      <w:bookmarkStart w:id="1629" w:name="_Toc29524"/>
      <w:bookmarkStart w:id="1630" w:name="_Toc203558393"/>
      <w:r>
        <w:rPr>
          <w:rFonts w:hint="eastAsia" w:ascii="华文宋体" w:hAnsi="华文宋体" w:cs="华文宋体"/>
          <w:sz w:val="24"/>
          <w:szCs w:val="24"/>
        </w:rPr>
        <w:t>5.3 实施方法要求</w:t>
      </w:r>
      <w:bookmarkEnd w:id="1627"/>
      <w:bookmarkEnd w:id="1628"/>
      <w:bookmarkEnd w:id="1629"/>
      <w:bookmarkEnd w:id="1630"/>
    </w:p>
    <w:p w14:paraId="483F535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实施方应拥有完整的实施方法和相关联的标准实施文档模版。实施中，必须严格按照系统、规范的实施方法和步骤进行，按进度完成项目活动和相关文档。</w:t>
      </w:r>
    </w:p>
    <w:p w14:paraId="36DD01EA">
      <w:pPr>
        <w:pStyle w:val="4"/>
        <w:snapToGrid w:val="0"/>
        <w:spacing w:before="312" w:after="312"/>
        <w:ind w:firstLine="480"/>
        <w:rPr>
          <w:rFonts w:hint="eastAsia" w:ascii="华文宋体" w:hAnsi="华文宋体" w:cs="华文宋体"/>
          <w:sz w:val="24"/>
          <w:szCs w:val="24"/>
        </w:rPr>
      </w:pPr>
      <w:bookmarkStart w:id="1631" w:name="_Toc7563"/>
      <w:bookmarkStart w:id="1632" w:name="_Toc203558394"/>
      <w:bookmarkStart w:id="1633" w:name="_Toc11739"/>
      <w:bookmarkStart w:id="1634" w:name="_Toc231854138"/>
      <w:r>
        <w:rPr>
          <w:rFonts w:hint="eastAsia" w:ascii="华文宋体" w:hAnsi="华文宋体" w:cs="华文宋体"/>
          <w:sz w:val="24"/>
          <w:szCs w:val="24"/>
        </w:rPr>
        <w:t>5.4 实施过程要求</w:t>
      </w:r>
      <w:bookmarkEnd w:id="1631"/>
      <w:bookmarkEnd w:id="1632"/>
      <w:bookmarkEnd w:id="1633"/>
      <w:bookmarkEnd w:id="1634"/>
    </w:p>
    <w:p w14:paraId="357675E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实施方必须明确项目实施的总目标和实施过程中每一阶段的阶段目标，制定并执行项目成果的监督、检查、跟踪和评价制度，及时修改更正项目实施过程中的目标偏差、内容矛盾和不协调等问题，确保项目的阶段成果和最终成果。</w:t>
      </w:r>
    </w:p>
    <w:p w14:paraId="3B467F7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（2）实施方应根据买方需求，在系统实施过程中组织定制开发，并在买方现场完成调试与测试。</w:t>
      </w:r>
    </w:p>
    <w:p w14:paraId="64054EC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（3）实施方应根据买方需求，全力配合买方其它信息化系统所需的系统集成定制开发。</w:t>
      </w:r>
    </w:p>
    <w:p w14:paraId="7CA00625">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（4）系统测试和试运行过程中，实施方应检查应用系统的稳定性、可行性和适用性，提出应用系统进一步改进和完善的内容和要求，保证应用系统正式运行后满足预定的各项目标。</w:t>
      </w:r>
    </w:p>
    <w:p w14:paraId="6645B974">
      <w:pPr>
        <w:pStyle w:val="4"/>
        <w:snapToGrid w:val="0"/>
        <w:spacing w:before="312" w:after="312"/>
        <w:ind w:firstLine="480"/>
        <w:rPr>
          <w:rFonts w:hint="eastAsia" w:ascii="华文宋体" w:hAnsi="华文宋体" w:cs="华文宋体"/>
          <w:sz w:val="24"/>
          <w:szCs w:val="24"/>
        </w:rPr>
      </w:pPr>
      <w:bookmarkStart w:id="1635" w:name="_Toc203558395"/>
      <w:bookmarkStart w:id="1636" w:name="_Toc231854139"/>
      <w:bookmarkStart w:id="1637" w:name="_Toc8562"/>
      <w:bookmarkStart w:id="1638" w:name="_Toc14085"/>
      <w:r>
        <w:rPr>
          <w:rFonts w:hint="eastAsia" w:ascii="华文宋体" w:hAnsi="华文宋体" w:cs="华文宋体"/>
          <w:sz w:val="24"/>
          <w:szCs w:val="24"/>
        </w:rPr>
        <w:t>5.5 实施供应商要求</w:t>
      </w:r>
      <w:bookmarkEnd w:id="1635"/>
      <w:bookmarkEnd w:id="1636"/>
      <w:bookmarkEnd w:id="1637"/>
      <w:bookmarkEnd w:id="1638"/>
    </w:p>
    <w:p w14:paraId="0A7F94E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5.5.1 项目实施供应商需要具备高质量的综合能力，具体要求如下：</w:t>
      </w:r>
    </w:p>
    <w:p w14:paraId="5756B2E3">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（1）专业技术能力</w:t>
      </w:r>
    </w:p>
    <w:p w14:paraId="6BD5FBDB">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实施供应商需具备丰富的产品配置管理系统（或PLM产品配置模块）实施经验，熟悉主流配置管理系统。</w:t>
      </w:r>
    </w:p>
    <w:p w14:paraId="7F72DB30">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（2）业务理解能力</w:t>
      </w:r>
    </w:p>
    <w:p w14:paraId="710293A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需深入了解制造行业，尤其是理解重庆研究院各实体业务和产品配置管理的能力、钻探设备研发、制造和服务的业务特点；</w:t>
      </w:r>
    </w:p>
    <w:p w14:paraId="37998513">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能够提供业务与系统的最佳实践经验，将技术解决方案精准匹配业务需求。</w:t>
      </w:r>
    </w:p>
    <w:p w14:paraId="64D2C13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（3）资源配置能力</w:t>
      </w:r>
    </w:p>
    <w:p w14:paraId="17A247C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需提供一个由项目经理、技术专家、业务顾问和实施工程师组成的专业团队，确保团队成员经验丰富、分工明确；</w:t>
      </w:r>
    </w:p>
    <w:p w14:paraId="400037F3">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在项目实施过程中，确保团队的稳定性，避免频繁更换关键岗位人员。</w:t>
      </w:r>
    </w:p>
    <w:p w14:paraId="2358696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5.5.2 同时项目实施供应商需要具备丰富的项目实施能力，具体要求如下：</w:t>
      </w:r>
    </w:p>
    <w:p w14:paraId="0CB9A827">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（1）实施方法论与流程</w:t>
      </w:r>
    </w:p>
    <w:p w14:paraId="0C1E27A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采用规范化、标准化的实施方法论，确保项目实施过程清晰可控；</w:t>
      </w:r>
    </w:p>
    <w:p w14:paraId="25A3F86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制定详细的实施计划，包括阶段目标、时间节点和交付内容，并提供定期进度汇报。</w:t>
      </w:r>
    </w:p>
    <w:p w14:paraId="067FC057">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（2）风险管理</w:t>
      </w:r>
    </w:p>
    <w:p w14:paraId="2ABDC35A">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在项目初期提供 全面的风险评估报告，并制定对应的应急预案；</w:t>
      </w:r>
    </w:p>
    <w:p w14:paraId="38C53C1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实施过程中，定期识别、跟踪和汇报风险状态，确保及时采取措施；</w:t>
      </w:r>
    </w:p>
    <w:p w14:paraId="1ACCB90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每个阶段结束后需完成阶段验收，提交对应的成果文档。</w:t>
      </w:r>
    </w:p>
    <w:p w14:paraId="6680DFB2">
      <w:pPr>
        <w:pStyle w:val="4"/>
        <w:snapToGrid w:val="0"/>
        <w:spacing w:before="312" w:after="312"/>
        <w:ind w:firstLine="480"/>
        <w:rPr>
          <w:rFonts w:hint="eastAsia" w:ascii="华文宋体" w:hAnsi="华文宋体" w:cs="华文宋体"/>
          <w:sz w:val="24"/>
          <w:szCs w:val="24"/>
        </w:rPr>
      </w:pPr>
      <w:bookmarkStart w:id="1639" w:name="_Toc231854140"/>
      <w:bookmarkStart w:id="1640" w:name="_Toc25120"/>
      <w:bookmarkStart w:id="1641" w:name="_Toc203558396"/>
      <w:bookmarkStart w:id="1642" w:name="_Toc14727"/>
      <w:r>
        <w:rPr>
          <w:rFonts w:hint="eastAsia" w:ascii="华文宋体" w:hAnsi="华文宋体" w:cs="华文宋体"/>
          <w:sz w:val="24"/>
          <w:szCs w:val="24"/>
        </w:rPr>
        <w:t>5.6 全面培训要求</w:t>
      </w:r>
      <w:bookmarkEnd w:id="1639"/>
      <w:bookmarkEnd w:id="1640"/>
      <w:bookmarkEnd w:id="1641"/>
      <w:bookmarkEnd w:id="1642"/>
    </w:p>
    <w:p w14:paraId="2DEF86D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（1）实施方对招标单位人员进行培训前须制定培训计划，培训计划须得到甲方的认可；</w:t>
      </w:r>
    </w:p>
    <w:p w14:paraId="741562A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（2）实施方进行培训时需向甲方提供培训教程、系统操作手册和系统管理维护手册，文档需要结合甲方的实际应用进行编制；</w:t>
      </w:r>
    </w:p>
    <w:p w14:paraId="5B0C0ED5">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（3）培训对象包括对系统管理及维护人员进行系统配置、维护和管理的培训，对具体操作人员进行相应功能模块的使用培训；</w:t>
      </w:r>
    </w:p>
    <w:p w14:paraId="4602AD3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（4）所有培训应符合企业培训管理相关规定，符合企业管理体系要求；</w:t>
      </w:r>
    </w:p>
    <w:p w14:paraId="3644F18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（5）实施方本次为买方提供的各种培训，应包括协同开发管理系统实施技术、开发技术、管理维护技能等；提供培训课程表随投标文件一并提交；</w:t>
      </w:r>
    </w:p>
    <w:p w14:paraId="18C91367">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（6）培训不少于3名系统维护人员、不少于2名软件二次开发人员、1名数据库开发维护人员，以及使用人员培训；</w:t>
      </w:r>
    </w:p>
    <w:p w14:paraId="1037CC8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7）对系统维护人员的培训采用现场集体授课的方式培训。对软件开发人员的培训采用集体授课和现场指导相结合的原则。集体授课由实施方指派合格的软件开发人员负责授课；现场指导采用由实施方派人指导实施客户开发工作的方法；</w:t>
      </w:r>
    </w:p>
    <w:p w14:paraId="3F05D20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（8）以上培训均应保证受培训人员充分掌握系统性能、熟练使用系统，并通过书面考试与实践操作相结合的方法验证培训效果。</w:t>
      </w:r>
    </w:p>
    <w:tbl>
      <w:tblPr>
        <w:tblStyle w:val="20"/>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275"/>
        <w:gridCol w:w="4121"/>
        <w:gridCol w:w="2825"/>
      </w:tblGrid>
      <w:tr w14:paraId="3DE6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7F449BDF">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序号</w:t>
            </w:r>
          </w:p>
        </w:tc>
        <w:tc>
          <w:tcPr>
            <w:tcW w:w="1275" w:type="dxa"/>
            <w:tcBorders>
              <w:top w:val="single" w:color="auto" w:sz="4" w:space="0"/>
              <w:left w:val="single" w:color="auto" w:sz="4" w:space="0"/>
              <w:bottom w:val="single" w:color="auto" w:sz="4" w:space="0"/>
              <w:right w:val="single" w:color="auto" w:sz="4" w:space="0"/>
              <w:tl2br w:val="nil"/>
              <w:tr2bl w:val="nil"/>
            </w:tcBorders>
            <w:vAlign w:val="center"/>
          </w:tcPr>
          <w:p w14:paraId="1F1A1A51">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领域</w:t>
            </w: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68BB3BCA">
            <w:pPr>
              <w:spacing w:line="312" w:lineRule="auto"/>
              <w:ind w:firstLine="420"/>
              <w:rPr>
                <w:rFonts w:hint="eastAsia" w:ascii="宋体" w:hAnsi="宋体"/>
                <w:color w:val="000000"/>
                <w:sz w:val="21"/>
                <w:szCs w:val="21"/>
              </w:rPr>
            </w:pPr>
            <w:r>
              <w:rPr>
                <w:rFonts w:hint="eastAsia" w:ascii="宋体" w:hAnsi="宋体"/>
                <w:color w:val="000000"/>
                <w:sz w:val="21"/>
                <w:szCs w:val="21"/>
              </w:rPr>
              <w:t>实施内容</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3061BA88">
            <w:pPr>
              <w:spacing w:line="312" w:lineRule="auto"/>
              <w:ind w:firstLine="420"/>
              <w:rPr>
                <w:rFonts w:hint="eastAsia" w:ascii="宋体" w:hAnsi="宋体"/>
                <w:color w:val="000000"/>
                <w:sz w:val="21"/>
                <w:szCs w:val="21"/>
              </w:rPr>
            </w:pPr>
            <w:r>
              <w:rPr>
                <w:rFonts w:hint="eastAsia" w:ascii="宋体" w:hAnsi="宋体"/>
                <w:color w:val="000000"/>
                <w:sz w:val="21"/>
                <w:szCs w:val="21"/>
              </w:rPr>
              <w:t>备注</w:t>
            </w:r>
          </w:p>
        </w:tc>
      </w:tr>
      <w:tr w14:paraId="1089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1258634F">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1</w:t>
            </w:r>
          </w:p>
        </w:tc>
        <w:tc>
          <w:tcPr>
            <w:tcW w:w="1275" w:type="dxa"/>
            <w:vMerge w:val="restart"/>
            <w:tcBorders>
              <w:top w:val="single" w:color="auto" w:sz="4" w:space="0"/>
              <w:left w:val="single" w:color="auto" w:sz="4" w:space="0"/>
              <w:bottom w:val="single" w:color="auto" w:sz="4" w:space="0"/>
              <w:right w:val="single" w:color="auto" w:sz="4" w:space="0"/>
              <w:tl2br w:val="nil"/>
              <w:tr2bl w:val="nil"/>
            </w:tcBorders>
            <w:vAlign w:val="center"/>
          </w:tcPr>
          <w:p w14:paraId="43103CFE">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普通用户</w:t>
            </w: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4433B57D">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-基础操作：</w:t>
            </w:r>
            <w:r>
              <w:rPr>
                <w:rFonts w:hint="eastAsia" w:ascii="宋体" w:hAnsi="宋体" w:cs="宋体"/>
                <w:color w:val="000000"/>
                <w:sz w:val="22"/>
                <w:szCs w:val="22"/>
              </w:rPr>
              <w:t>产品配置管理系统</w:t>
            </w:r>
            <w:r>
              <w:rPr>
                <w:rFonts w:hint="eastAsia" w:ascii="宋体" w:hAnsi="宋体"/>
                <w:color w:val="000000"/>
                <w:sz w:val="21"/>
                <w:szCs w:val="21"/>
              </w:rPr>
              <w:t>的日常使用</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01C02E14">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确保用户能完成日常业务操作</w:t>
            </w:r>
          </w:p>
        </w:tc>
      </w:tr>
      <w:tr w14:paraId="6D2C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69E5B8F2">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2</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7ED6D570">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1FD1CA00">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-典型场景：结合实际业务流程，进行典型使用场景的实操训练</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06D3C0CD">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确保培训内容与实际应用高度结合</w:t>
            </w:r>
          </w:p>
        </w:tc>
      </w:tr>
      <w:tr w14:paraId="58FD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425F358F">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3</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3CEE6B01">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18E2B335">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-问题处理：常见问题的识别和初步解决方法</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14ACA4A4">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提高用户的独立问题处理能力</w:t>
            </w:r>
          </w:p>
        </w:tc>
      </w:tr>
      <w:tr w14:paraId="023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4D3B9A6E">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4</w:t>
            </w:r>
          </w:p>
        </w:tc>
        <w:tc>
          <w:tcPr>
            <w:tcW w:w="1275" w:type="dxa"/>
            <w:vMerge w:val="restart"/>
            <w:tcBorders>
              <w:top w:val="single" w:color="auto" w:sz="4" w:space="0"/>
              <w:left w:val="single" w:color="auto" w:sz="4" w:space="0"/>
              <w:bottom w:val="single" w:color="auto" w:sz="4" w:space="0"/>
              <w:right w:val="single" w:color="auto" w:sz="4" w:space="0"/>
              <w:tl2br w:val="nil"/>
              <w:tr2bl w:val="nil"/>
            </w:tcBorders>
            <w:vAlign w:val="center"/>
          </w:tcPr>
          <w:p w14:paraId="2783A294">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管理层培训</w:t>
            </w: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667C8D3C">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-系统功能概览：</w:t>
            </w:r>
            <w:r>
              <w:rPr>
                <w:rFonts w:hint="eastAsia" w:ascii="宋体" w:hAnsi="宋体" w:cs="宋体"/>
                <w:color w:val="000000"/>
                <w:sz w:val="22"/>
                <w:szCs w:val="22"/>
              </w:rPr>
              <w:t>产品配置管理系统</w:t>
            </w:r>
            <w:r>
              <w:rPr>
                <w:rFonts w:hint="eastAsia" w:ascii="宋体" w:hAnsi="宋体"/>
                <w:color w:val="000000"/>
                <w:sz w:val="21"/>
                <w:szCs w:val="21"/>
              </w:rPr>
              <w:t>整体功能与价值，包括数据管理、跨部门协同和决策支持功能</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4D1A4924">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帮助管理层了解系统整体能力</w:t>
            </w:r>
          </w:p>
        </w:tc>
      </w:tr>
      <w:tr w14:paraId="251E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79557913">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5</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04925509">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7D6E8822">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-数据分析与报表：查看和分析系统中的关键数据</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6C908E1C">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提高管理层的决策支持能力</w:t>
            </w:r>
          </w:p>
        </w:tc>
      </w:tr>
      <w:tr w14:paraId="64F7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1FD956C8">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6</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2E06F923">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7E600669">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-战略视角：理解系统的长远价值及对业务数字化转型的支持</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68C938D5">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为系统未来优化和扩展提供指导</w:t>
            </w:r>
          </w:p>
        </w:tc>
      </w:tr>
      <w:tr w14:paraId="2988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65B81C21">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7</w:t>
            </w:r>
          </w:p>
        </w:tc>
        <w:tc>
          <w:tcPr>
            <w:tcW w:w="1275" w:type="dxa"/>
            <w:vMerge w:val="restart"/>
            <w:tcBorders>
              <w:top w:val="single" w:color="auto" w:sz="4" w:space="0"/>
              <w:left w:val="single" w:color="auto" w:sz="4" w:space="0"/>
              <w:bottom w:val="single" w:color="auto" w:sz="4" w:space="0"/>
              <w:right w:val="single" w:color="auto" w:sz="4" w:space="0"/>
              <w:tl2br w:val="nil"/>
              <w:tr2bl w:val="nil"/>
            </w:tcBorders>
            <w:vAlign w:val="center"/>
          </w:tcPr>
          <w:p w14:paraId="3374EDEF">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系统维护人员培训</w:t>
            </w: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59475CF7">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-系统架构与配置：熟悉</w:t>
            </w:r>
            <w:r>
              <w:rPr>
                <w:rFonts w:hint="eastAsia" w:ascii="宋体" w:hAnsi="宋体" w:cs="宋体"/>
                <w:color w:val="000000"/>
                <w:sz w:val="22"/>
                <w:szCs w:val="22"/>
              </w:rPr>
              <w:t>产品配置管理系统</w:t>
            </w:r>
            <w:r>
              <w:rPr>
                <w:rFonts w:hint="eastAsia" w:ascii="宋体" w:hAnsi="宋体"/>
                <w:color w:val="000000"/>
                <w:sz w:val="21"/>
                <w:szCs w:val="21"/>
              </w:rPr>
              <w:t>的架构设计和模块配置，掌握用户权限管理</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5EDCB8CB">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确保运维人员能独立管理系统</w:t>
            </w:r>
          </w:p>
        </w:tc>
      </w:tr>
      <w:tr w14:paraId="0A16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13A4F9AD">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8</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01EFC466">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7DCA8F27">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-数据维护：学习数据清洗、规范化处理及数据迁移后的质量监控</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5BBEA750">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提高数据管理水平</w:t>
            </w:r>
          </w:p>
        </w:tc>
      </w:tr>
      <w:tr w14:paraId="18E9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68BD61AB">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9</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41404BE7">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73042F15">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-性能优化：系统性能监控与优化方法，包括索引优化、日志分析等</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44DC0BB8">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保证系统运行稳定</w:t>
            </w:r>
          </w:p>
        </w:tc>
      </w:tr>
      <w:tr w14:paraId="7FE3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312F8F2A">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10</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3DDDB16E">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207545CF">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-备份与恢复：学习数据库备份、恢复及容灾演练</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34B748F1">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提高系统安全性与业务连续性</w:t>
            </w:r>
          </w:p>
        </w:tc>
      </w:tr>
      <w:tr w14:paraId="6911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3D8F4024">
            <w:pPr>
              <w:spacing w:line="312" w:lineRule="auto"/>
              <w:ind w:firstLine="420"/>
              <w:jc w:val="center"/>
              <w:rPr>
                <w:rFonts w:hint="eastAsia" w:ascii="宋体" w:hAnsi="宋体"/>
                <w:color w:val="000000"/>
                <w:sz w:val="21"/>
                <w:szCs w:val="21"/>
              </w:rPr>
            </w:pPr>
            <w:r>
              <w:rPr>
                <w:rFonts w:hint="eastAsia" w:ascii="宋体" w:hAnsi="宋体"/>
                <w:color w:val="000000"/>
                <w:sz w:val="21"/>
                <w:szCs w:val="21"/>
              </w:rPr>
              <w:t>11</w:t>
            </w:r>
          </w:p>
        </w:tc>
        <w:tc>
          <w:tcPr>
            <w:tcW w:w="1275"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21C88389">
            <w:pPr>
              <w:spacing w:line="312" w:lineRule="auto"/>
              <w:ind w:firstLine="420"/>
              <w:rPr>
                <w:rFonts w:hint="eastAsia" w:ascii="宋体" w:hAnsi="宋体"/>
                <w:color w:val="000000"/>
                <w:sz w:val="21"/>
                <w:szCs w:val="21"/>
              </w:rPr>
            </w:pPr>
          </w:p>
        </w:tc>
        <w:tc>
          <w:tcPr>
            <w:tcW w:w="4121" w:type="dxa"/>
            <w:tcBorders>
              <w:top w:val="single" w:color="auto" w:sz="4" w:space="0"/>
              <w:left w:val="single" w:color="auto" w:sz="4" w:space="0"/>
              <w:bottom w:val="single" w:color="auto" w:sz="4" w:space="0"/>
              <w:right w:val="single" w:color="auto" w:sz="4" w:space="0"/>
              <w:tl2br w:val="nil"/>
              <w:tr2bl w:val="nil"/>
            </w:tcBorders>
            <w:vAlign w:val="center"/>
          </w:tcPr>
          <w:p w14:paraId="6A70ECCE">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-问题排查：掌握常见系统故障（如权限问题、数据冲突等）的分析与初步解决</w:t>
            </w:r>
          </w:p>
        </w:tc>
        <w:tc>
          <w:tcPr>
            <w:tcW w:w="2825" w:type="dxa"/>
            <w:tcBorders>
              <w:top w:val="single" w:color="auto" w:sz="4" w:space="0"/>
              <w:left w:val="single" w:color="auto" w:sz="4" w:space="0"/>
              <w:bottom w:val="single" w:color="auto" w:sz="4" w:space="0"/>
              <w:right w:val="single" w:color="auto" w:sz="4" w:space="0"/>
              <w:tl2br w:val="nil"/>
              <w:tr2bl w:val="nil"/>
            </w:tcBorders>
            <w:vAlign w:val="center"/>
          </w:tcPr>
          <w:p w14:paraId="56154919">
            <w:pPr>
              <w:spacing w:line="312" w:lineRule="auto"/>
              <w:ind w:firstLine="0" w:firstLineChars="0"/>
              <w:rPr>
                <w:rFonts w:hint="eastAsia" w:ascii="宋体" w:hAnsi="宋体"/>
                <w:color w:val="000000"/>
                <w:sz w:val="21"/>
                <w:szCs w:val="21"/>
              </w:rPr>
            </w:pPr>
            <w:r>
              <w:rPr>
                <w:rFonts w:hint="eastAsia" w:ascii="宋体" w:hAnsi="宋体"/>
                <w:color w:val="000000"/>
                <w:sz w:val="21"/>
                <w:szCs w:val="21"/>
              </w:rPr>
              <w:t>减少依赖外部技术支持</w:t>
            </w:r>
          </w:p>
        </w:tc>
      </w:tr>
    </w:tbl>
    <w:p w14:paraId="1E2043EA">
      <w:pPr>
        <w:ind w:firstLine="420"/>
        <w:rPr>
          <w:rFonts w:hint="eastAsia" w:ascii="宋体" w:hAnsi="宋体"/>
          <w:sz w:val="21"/>
          <w:szCs w:val="24"/>
        </w:rPr>
      </w:pPr>
    </w:p>
    <w:p w14:paraId="375A8AFE">
      <w:pPr>
        <w:pStyle w:val="4"/>
        <w:snapToGrid w:val="0"/>
        <w:spacing w:before="312" w:after="312"/>
        <w:ind w:firstLine="480"/>
        <w:rPr>
          <w:rFonts w:hint="eastAsia" w:ascii="华文宋体" w:hAnsi="华文宋体" w:cs="华文宋体"/>
          <w:sz w:val="24"/>
          <w:szCs w:val="24"/>
        </w:rPr>
      </w:pPr>
      <w:bookmarkStart w:id="1643" w:name="_Toc231854141"/>
      <w:bookmarkStart w:id="1644" w:name="_Toc28506"/>
      <w:bookmarkStart w:id="1645" w:name="_Toc203558397"/>
      <w:bookmarkStart w:id="1646" w:name="_Toc28240"/>
      <w:r>
        <w:rPr>
          <w:rFonts w:hint="eastAsia" w:ascii="华文宋体" w:hAnsi="华文宋体" w:cs="华文宋体"/>
          <w:sz w:val="24"/>
          <w:szCs w:val="24"/>
        </w:rPr>
        <w:t>5.7 保密管理要求</w:t>
      </w:r>
      <w:bookmarkEnd w:id="1643"/>
      <w:bookmarkEnd w:id="1644"/>
      <w:bookmarkEnd w:id="1645"/>
      <w:bookmarkEnd w:id="1646"/>
    </w:p>
    <w:p w14:paraId="316548BA">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5.7.1 实施供应商的所有项目实施人员在进入重庆研究院现场工作之前，必须与重庆研究院方签订符合重庆研究院要求的保密协议。保密协议应明确约定实施人员对项目中接触到的所有信息和技术资料承担保密义务，包括但不限于：</w:t>
      </w:r>
    </w:p>
    <w:p w14:paraId="59A77B9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（1）项目方案、设计文档、数据文件、操作流程；</w:t>
      </w:r>
    </w:p>
    <w:p w14:paraId="09E58D3A">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（2）重庆研究院的内部业务信息、生产工艺、技术资料；</w:t>
      </w:r>
    </w:p>
    <w:p w14:paraId="46D19FA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（3）重庆研究院在招投标过程中提供的所有相关材料。</w:t>
      </w:r>
    </w:p>
    <w:p w14:paraId="43469A7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5.7.2 信息和资料的保密要求。实施方在项目实施过程中接触到的所有重庆研究院信息和技术资料，未经重庆研究院书面许可，不得：</w:t>
      </w:r>
    </w:p>
    <w:p w14:paraId="058330F4">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（1）向任何第三方透露；</w:t>
      </w:r>
    </w:p>
    <w:p w14:paraId="0E7EA174">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 xml:space="preserve">（2）用于与本项目无关的其他目的；  </w:t>
      </w:r>
    </w:p>
    <w:p w14:paraId="4C841F2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（3）擅自复制、存储或传输；</w:t>
      </w:r>
    </w:p>
    <w:p w14:paraId="2839D657">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（4）项目完成后，实施方需根据重庆研究院要求销毁或归还所有与项目相关的资料、数据或文档，并提供销毁或归还的证明文件。</w:t>
      </w:r>
    </w:p>
    <w:p w14:paraId="4AF6B468">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5.7.3 保密管理制度遵守。实施方及其人员需严格遵守重庆研究院在保密管理方面的所有规章制度，包括但不限于：</w:t>
      </w:r>
    </w:p>
    <w:p w14:paraId="3214A8D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（1）进入重庆研究院现场的区域权限管理；</w:t>
      </w:r>
    </w:p>
    <w:p w14:paraId="71B1DE55">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（2）数据和信息的存储、传输及访问限制；</w:t>
      </w:r>
    </w:p>
    <w:p w14:paraId="4312649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（3）对保密信息的存储设备和载体的管理要求；</w:t>
      </w:r>
    </w:p>
    <w:p w14:paraId="682D6C3B">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（4）未经重庆研究院明确授权，实施方人员不得进入未获许可的重庆研究院办公区域、实验室、生产场所或其他敏感部位。</w:t>
      </w:r>
    </w:p>
    <w:p w14:paraId="3882900A">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5.7.4 招投标与合同履约保密。实施方及其产品制造厂商在招投标过程中、签订合同后、项目实施过程中以及售后服务期间，均需严格遵守国家招投标和保密法律法规，以及重庆研究院的管理要求，服从重庆研究院的管理安排。</w:t>
      </w:r>
    </w:p>
    <w:p w14:paraId="4E34C54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（1）实施方及其产品制造厂商不得通过任何形式：</w:t>
      </w:r>
    </w:p>
    <w:p w14:paraId="7EC3ECD5">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（2）刺探或泄露重庆研究院的招投标信息；</w:t>
      </w:r>
    </w:p>
    <w:p w14:paraId="1152EB67">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（3）干涉招投标和项目实施过程；</w:t>
      </w:r>
    </w:p>
    <w:p w14:paraId="3E615738">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（4）干扰重庆研究院的科研生产、经营管理活动。</w:t>
      </w:r>
    </w:p>
    <w:p w14:paraId="07BC94C5">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 xml:space="preserve">    5.7.8 保密违规的后果。如出现以下任何保密违规行为，重庆研究院有权按照保密协议和相关法律法规采取相应措施：</w:t>
      </w:r>
    </w:p>
    <w:p w14:paraId="2A3E8F0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（1）向第三方泄露重庆研究院信息；</w:t>
      </w:r>
    </w:p>
    <w:p w14:paraId="4EE4961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（2）干涉招投标过程或项目实施；</w:t>
      </w:r>
    </w:p>
    <w:p w14:paraId="794BC67F">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（3）违反重庆研究院保密规章制度或国家保密法律法规。</w:t>
      </w:r>
    </w:p>
    <w:p w14:paraId="68CBAE5B">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 xml:space="preserve">  5.7.9 重庆研究院有权采取以下措施：</w:t>
      </w:r>
    </w:p>
    <w:p w14:paraId="4D4580A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（1）单方面取消实施方的投标或中标资格；</w:t>
      </w:r>
    </w:p>
    <w:p w14:paraId="15EB33B3">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（2）终止商务合同，并更换产品；</w:t>
      </w:r>
    </w:p>
    <w:p w14:paraId="79B713D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（3）不承担因此带来的任何经济和法律责任；</w:t>
      </w:r>
    </w:p>
    <w:p w14:paraId="11017E2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（4）要求实施方退回已支付的全部或部分货款，并自行承担由此产生的全部经济和法律责任；</w:t>
      </w:r>
    </w:p>
    <w:p w14:paraId="77ACB91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（5）重庆研究院将按照国家相关法律法规追究实施方及相关责任人的法律责任和经济赔偿。</w:t>
      </w:r>
    </w:p>
    <w:p w14:paraId="70F180E8">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5.7.10 风险与责任。实施方需承担因违反保密要求而引发的所有法律和经济责任，包括但不限于重庆研究院的直接损失、间接损失以及声誉损失。实施方需无条件接受保密违规行为所造成的所有后果，包括合同解除、货款退还和法律追责。</w:t>
      </w:r>
    </w:p>
    <w:p w14:paraId="033D229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5.7.11 保密培训与意识提升。实施方需对参与项目的全体人员进行保密意识培训，确保所有人员清楚保密要求及违规后果。重庆研究院有权对实施方的保密措施进行审查和监督，确保其符合重庆研究院的保密管理规定。</w:t>
      </w:r>
    </w:p>
    <w:p w14:paraId="70A617CB">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5.7.12 实施方在项目实施过程中需严格履行保密义务，确保重庆研究院信息和技术资料的安全。如果出现任何形式的保密违规行为，重庆研究院将采取严厉措施追究责任，实施方需无条件接受由此造成的一切后果。这一保密要求是保障项目顺利实施、保护重庆研究院权益的重要前提。</w:t>
      </w:r>
    </w:p>
    <w:p w14:paraId="7387D972">
      <w:pPr>
        <w:pStyle w:val="4"/>
        <w:snapToGrid w:val="0"/>
        <w:spacing w:before="312" w:after="312"/>
        <w:ind w:firstLine="480"/>
        <w:rPr>
          <w:rFonts w:hint="eastAsia" w:ascii="华文宋体" w:hAnsi="华文宋体" w:cs="华文宋体"/>
          <w:sz w:val="24"/>
          <w:szCs w:val="24"/>
        </w:rPr>
      </w:pPr>
      <w:bookmarkStart w:id="1647" w:name="_Toc3834"/>
      <w:bookmarkStart w:id="1648" w:name="_Toc231854142"/>
      <w:bookmarkStart w:id="1649" w:name="_Toc7853"/>
      <w:bookmarkStart w:id="1650" w:name="_Toc203558398"/>
      <w:r>
        <w:rPr>
          <w:rFonts w:hint="eastAsia" w:ascii="华文宋体" w:hAnsi="华文宋体" w:cs="华文宋体"/>
          <w:sz w:val="24"/>
          <w:szCs w:val="24"/>
        </w:rPr>
        <w:t>5.8 验收要求</w:t>
      </w:r>
      <w:bookmarkEnd w:id="1647"/>
      <w:bookmarkEnd w:id="1648"/>
      <w:bookmarkEnd w:id="1649"/>
      <w:bookmarkEnd w:id="1650"/>
    </w:p>
    <w:p w14:paraId="5865448A">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本项目的验收根据招标人的项目实施进度要求，系统完成开发部署，整体上线并运行3个月后进行终验收。项目实施方要提供详尽的项目验收方案，包括验收组织、验收内容、验收标准、验收报告等。</w:t>
      </w:r>
    </w:p>
    <w:p w14:paraId="4DBFB366">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验收交付物包含且不限于以下内容：</w:t>
      </w:r>
    </w:p>
    <w:tbl>
      <w:tblPr>
        <w:tblStyle w:val="20"/>
        <w:tblW w:w="9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1"/>
        <w:gridCol w:w="1283"/>
        <w:gridCol w:w="4464"/>
        <w:gridCol w:w="2483"/>
      </w:tblGrid>
      <w:tr w14:paraId="27CE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6161ECF1">
            <w:pPr>
              <w:ind w:firstLine="0" w:firstLineChars="0"/>
              <w:rPr>
                <w:rFonts w:hint="eastAsia" w:ascii="宋体" w:hAnsi="宋体"/>
                <w:color w:val="000000"/>
                <w:sz w:val="21"/>
                <w:szCs w:val="21"/>
              </w:rPr>
            </w:pPr>
            <w:r>
              <w:rPr>
                <w:rFonts w:hint="eastAsia" w:ascii="宋体" w:hAnsi="宋体"/>
                <w:color w:val="000000"/>
                <w:sz w:val="21"/>
                <w:szCs w:val="21"/>
              </w:rPr>
              <w:t>序号</w:t>
            </w:r>
          </w:p>
        </w:tc>
        <w:tc>
          <w:tcPr>
            <w:tcW w:w="1291" w:type="dxa"/>
            <w:tcBorders>
              <w:top w:val="single" w:color="auto" w:sz="4" w:space="0"/>
              <w:left w:val="single" w:color="auto" w:sz="4" w:space="0"/>
              <w:bottom w:val="single" w:color="auto" w:sz="4" w:space="0"/>
              <w:right w:val="single" w:color="auto" w:sz="4" w:space="0"/>
              <w:tl2br w:val="nil"/>
              <w:tr2bl w:val="nil"/>
            </w:tcBorders>
            <w:vAlign w:val="center"/>
          </w:tcPr>
          <w:p w14:paraId="39312911">
            <w:pPr>
              <w:ind w:firstLine="420"/>
              <w:rPr>
                <w:rFonts w:hint="eastAsia" w:ascii="宋体" w:hAnsi="宋体"/>
                <w:color w:val="000000"/>
                <w:sz w:val="21"/>
                <w:szCs w:val="21"/>
              </w:rPr>
            </w:pPr>
            <w:r>
              <w:rPr>
                <w:rFonts w:hint="eastAsia" w:ascii="宋体" w:hAnsi="宋体"/>
                <w:color w:val="000000"/>
                <w:sz w:val="21"/>
                <w:szCs w:val="21"/>
              </w:rPr>
              <w:t>领域</w:t>
            </w:r>
          </w:p>
        </w:tc>
        <w:tc>
          <w:tcPr>
            <w:tcW w:w="4536" w:type="dxa"/>
            <w:tcBorders>
              <w:top w:val="single" w:color="auto" w:sz="4" w:space="0"/>
              <w:left w:val="single" w:color="auto" w:sz="4" w:space="0"/>
              <w:bottom w:val="single" w:color="auto" w:sz="4" w:space="0"/>
              <w:right w:val="single" w:color="auto" w:sz="4" w:space="0"/>
              <w:tl2br w:val="nil"/>
              <w:tr2bl w:val="nil"/>
            </w:tcBorders>
            <w:vAlign w:val="center"/>
          </w:tcPr>
          <w:p w14:paraId="4677760A">
            <w:pPr>
              <w:ind w:firstLine="420"/>
              <w:rPr>
                <w:rFonts w:hint="eastAsia" w:ascii="宋体" w:hAnsi="宋体"/>
                <w:color w:val="000000"/>
                <w:sz w:val="21"/>
                <w:szCs w:val="21"/>
              </w:rPr>
            </w:pPr>
            <w:r>
              <w:rPr>
                <w:rFonts w:hint="eastAsia" w:ascii="宋体" w:hAnsi="宋体"/>
                <w:color w:val="000000"/>
                <w:sz w:val="21"/>
                <w:szCs w:val="21"/>
              </w:rPr>
              <w:t>交付内容</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481D6897">
            <w:pPr>
              <w:ind w:firstLine="420"/>
              <w:rPr>
                <w:rFonts w:hint="eastAsia" w:ascii="宋体" w:hAnsi="宋体"/>
                <w:color w:val="000000"/>
                <w:sz w:val="21"/>
                <w:szCs w:val="21"/>
              </w:rPr>
            </w:pPr>
            <w:r>
              <w:rPr>
                <w:rFonts w:hint="eastAsia" w:ascii="宋体" w:hAnsi="宋体"/>
                <w:color w:val="000000"/>
                <w:sz w:val="21"/>
                <w:szCs w:val="21"/>
              </w:rPr>
              <w:t>交付物形式</w:t>
            </w:r>
          </w:p>
        </w:tc>
      </w:tr>
      <w:tr w14:paraId="7E38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38C13B0E">
            <w:pPr>
              <w:ind w:firstLine="420"/>
              <w:rPr>
                <w:rFonts w:hint="eastAsia" w:ascii="宋体" w:hAnsi="宋体"/>
                <w:color w:val="000000"/>
                <w:sz w:val="21"/>
                <w:szCs w:val="21"/>
              </w:rPr>
            </w:pPr>
            <w:r>
              <w:rPr>
                <w:rFonts w:hint="eastAsia" w:ascii="宋体" w:hAnsi="宋体"/>
                <w:color w:val="000000"/>
                <w:sz w:val="21"/>
                <w:szCs w:val="21"/>
              </w:rPr>
              <w:t>1</w:t>
            </w:r>
          </w:p>
        </w:tc>
        <w:tc>
          <w:tcPr>
            <w:tcW w:w="1291" w:type="dxa"/>
            <w:tcBorders>
              <w:top w:val="single" w:color="auto" w:sz="4" w:space="0"/>
              <w:left w:val="single" w:color="auto" w:sz="4" w:space="0"/>
              <w:bottom w:val="single" w:color="auto" w:sz="4" w:space="0"/>
              <w:right w:val="single" w:color="auto" w:sz="4" w:space="0"/>
              <w:tl2br w:val="nil"/>
              <w:tr2bl w:val="nil"/>
            </w:tcBorders>
            <w:vAlign w:val="center"/>
          </w:tcPr>
          <w:p w14:paraId="2B96ACCF">
            <w:pPr>
              <w:ind w:firstLine="0" w:firstLineChars="0"/>
              <w:rPr>
                <w:rFonts w:hint="eastAsia" w:ascii="宋体" w:hAnsi="宋体"/>
                <w:color w:val="000000"/>
                <w:sz w:val="21"/>
                <w:szCs w:val="21"/>
              </w:rPr>
            </w:pPr>
            <w:r>
              <w:rPr>
                <w:rFonts w:hint="eastAsia" w:ascii="宋体" w:hAnsi="宋体"/>
                <w:color w:val="000000"/>
                <w:sz w:val="21"/>
                <w:szCs w:val="21"/>
              </w:rPr>
              <w:t>软件</w:t>
            </w:r>
          </w:p>
        </w:tc>
        <w:tc>
          <w:tcPr>
            <w:tcW w:w="4536" w:type="dxa"/>
            <w:tcBorders>
              <w:top w:val="single" w:color="auto" w:sz="4" w:space="0"/>
              <w:left w:val="single" w:color="auto" w:sz="4" w:space="0"/>
              <w:bottom w:val="single" w:color="auto" w:sz="4" w:space="0"/>
              <w:right w:val="single" w:color="auto" w:sz="4" w:space="0"/>
              <w:tl2br w:val="nil"/>
              <w:tr2bl w:val="nil"/>
            </w:tcBorders>
          </w:tcPr>
          <w:p w14:paraId="1CF8CBD6">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软件产品一套，包括随机资料及其相应的介质等相关技术文档</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32F83724">
            <w:pPr>
              <w:ind w:firstLine="0" w:firstLineChars="0"/>
              <w:rPr>
                <w:rFonts w:hint="eastAsia" w:ascii="宋体" w:hAnsi="宋体"/>
                <w:color w:val="000000"/>
                <w:sz w:val="21"/>
                <w:szCs w:val="21"/>
              </w:rPr>
            </w:pPr>
            <w:r>
              <w:rPr>
                <w:rFonts w:hint="eastAsia" w:ascii="宋体" w:hAnsi="宋体"/>
                <w:color w:val="000000"/>
                <w:sz w:val="21"/>
                <w:szCs w:val="21"/>
              </w:rPr>
              <w:t>安装文件（zip包）</w:t>
            </w:r>
          </w:p>
        </w:tc>
      </w:tr>
      <w:tr w14:paraId="3C83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3C4A78ED">
            <w:pPr>
              <w:ind w:firstLine="420"/>
              <w:rPr>
                <w:rFonts w:hint="eastAsia" w:ascii="宋体" w:hAnsi="宋体"/>
                <w:color w:val="000000"/>
                <w:sz w:val="21"/>
                <w:szCs w:val="21"/>
              </w:rPr>
            </w:pPr>
            <w:r>
              <w:rPr>
                <w:rFonts w:hint="eastAsia" w:ascii="宋体" w:hAnsi="宋体"/>
                <w:color w:val="000000"/>
                <w:sz w:val="21"/>
                <w:szCs w:val="21"/>
              </w:rPr>
              <w:t>2</w:t>
            </w:r>
          </w:p>
        </w:tc>
        <w:tc>
          <w:tcPr>
            <w:tcW w:w="1291" w:type="dxa"/>
            <w:vMerge w:val="restart"/>
            <w:tcBorders>
              <w:top w:val="single" w:color="auto" w:sz="4" w:space="0"/>
              <w:left w:val="single" w:color="auto" w:sz="4" w:space="0"/>
              <w:bottom w:val="single" w:color="auto" w:sz="4" w:space="0"/>
              <w:right w:val="single" w:color="auto" w:sz="4" w:space="0"/>
              <w:tl2br w:val="nil"/>
              <w:tr2bl w:val="nil"/>
            </w:tcBorders>
            <w:vAlign w:val="center"/>
          </w:tcPr>
          <w:p w14:paraId="4ABBA3A6">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p>
        </w:tc>
        <w:tc>
          <w:tcPr>
            <w:tcW w:w="4536" w:type="dxa"/>
            <w:tcBorders>
              <w:top w:val="single" w:color="auto" w:sz="4" w:space="0"/>
              <w:left w:val="single" w:color="auto" w:sz="4" w:space="0"/>
              <w:bottom w:val="single" w:color="auto" w:sz="4" w:space="0"/>
              <w:right w:val="single" w:color="auto" w:sz="4" w:space="0"/>
              <w:tl2br w:val="nil"/>
              <w:tr2bl w:val="nil"/>
            </w:tcBorders>
          </w:tcPr>
          <w:p w14:paraId="799DA0F6">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安装部署手册</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470D7E5E">
            <w:pPr>
              <w:ind w:firstLine="0" w:firstLineChars="0"/>
              <w:rPr>
                <w:rFonts w:hint="eastAsia" w:ascii="宋体" w:hAnsi="宋体"/>
                <w:color w:val="000000"/>
                <w:sz w:val="21"/>
                <w:szCs w:val="21"/>
              </w:rPr>
            </w:pPr>
            <w:r>
              <w:rPr>
                <w:rFonts w:hint="eastAsia" w:ascii="宋体" w:hAnsi="宋体"/>
                <w:color w:val="000000"/>
                <w:sz w:val="21"/>
                <w:szCs w:val="21"/>
              </w:rPr>
              <w:t>Word文档</w:t>
            </w:r>
          </w:p>
        </w:tc>
      </w:tr>
      <w:tr w14:paraId="1982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66997BE3">
            <w:pPr>
              <w:ind w:firstLine="420"/>
              <w:rPr>
                <w:rFonts w:hint="eastAsia" w:ascii="宋体" w:hAnsi="宋体"/>
                <w:color w:val="000000"/>
                <w:sz w:val="21"/>
                <w:szCs w:val="21"/>
              </w:rPr>
            </w:pPr>
            <w:r>
              <w:rPr>
                <w:rFonts w:hint="eastAsia" w:ascii="宋体" w:hAnsi="宋体"/>
                <w:color w:val="000000"/>
                <w:sz w:val="21"/>
                <w:szCs w:val="21"/>
              </w:rPr>
              <w:t>3</w:t>
            </w:r>
          </w:p>
        </w:tc>
        <w:tc>
          <w:tcPr>
            <w:tcW w:w="129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28A97DA4">
            <w:pPr>
              <w:ind w:firstLine="420"/>
              <w:rPr>
                <w:rFonts w:hint="eastAsia" w:ascii="宋体" w:hAnsi="宋体"/>
                <w:color w:val="000000"/>
                <w:sz w:val="21"/>
                <w:szCs w:val="21"/>
              </w:rPr>
            </w:pPr>
          </w:p>
        </w:tc>
        <w:tc>
          <w:tcPr>
            <w:tcW w:w="4536" w:type="dxa"/>
            <w:tcBorders>
              <w:top w:val="single" w:color="auto" w:sz="4" w:space="0"/>
              <w:left w:val="single" w:color="auto" w:sz="4" w:space="0"/>
              <w:bottom w:val="single" w:color="auto" w:sz="4" w:space="0"/>
              <w:right w:val="single" w:color="auto" w:sz="4" w:space="0"/>
              <w:tl2br w:val="nil"/>
              <w:tr2bl w:val="nil"/>
            </w:tcBorders>
          </w:tcPr>
          <w:p w14:paraId="13C28BBB">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的建设蓝图</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5745D3B3">
            <w:pPr>
              <w:ind w:firstLine="0" w:firstLineChars="0"/>
              <w:rPr>
                <w:rFonts w:hint="eastAsia" w:ascii="宋体" w:hAnsi="宋体"/>
                <w:color w:val="000000"/>
                <w:sz w:val="21"/>
                <w:szCs w:val="21"/>
              </w:rPr>
            </w:pPr>
            <w:r>
              <w:rPr>
                <w:rFonts w:hint="eastAsia" w:ascii="宋体" w:hAnsi="宋体"/>
                <w:color w:val="000000"/>
                <w:sz w:val="21"/>
                <w:szCs w:val="21"/>
              </w:rPr>
              <w:t>PPT文档</w:t>
            </w:r>
          </w:p>
        </w:tc>
      </w:tr>
      <w:tr w14:paraId="41603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56564D99">
            <w:pPr>
              <w:ind w:firstLine="420"/>
              <w:rPr>
                <w:rFonts w:hint="eastAsia" w:ascii="宋体" w:hAnsi="宋体"/>
                <w:color w:val="000000"/>
                <w:sz w:val="21"/>
                <w:szCs w:val="21"/>
              </w:rPr>
            </w:pPr>
            <w:r>
              <w:rPr>
                <w:rFonts w:hint="eastAsia" w:ascii="宋体" w:hAnsi="宋体"/>
                <w:color w:val="000000"/>
                <w:sz w:val="21"/>
                <w:szCs w:val="21"/>
              </w:rPr>
              <w:t>4</w:t>
            </w:r>
          </w:p>
        </w:tc>
        <w:tc>
          <w:tcPr>
            <w:tcW w:w="129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687E3B55">
            <w:pPr>
              <w:ind w:firstLine="420"/>
              <w:rPr>
                <w:rFonts w:hint="eastAsia" w:ascii="宋体" w:hAnsi="宋体"/>
                <w:color w:val="000000"/>
                <w:sz w:val="21"/>
                <w:szCs w:val="21"/>
              </w:rPr>
            </w:pPr>
          </w:p>
        </w:tc>
        <w:tc>
          <w:tcPr>
            <w:tcW w:w="4536" w:type="dxa"/>
            <w:tcBorders>
              <w:top w:val="single" w:color="auto" w:sz="4" w:space="0"/>
              <w:left w:val="single" w:color="auto" w:sz="4" w:space="0"/>
              <w:bottom w:val="single" w:color="auto" w:sz="4" w:space="0"/>
              <w:right w:val="single" w:color="auto" w:sz="4" w:space="0"/>
              <w:tl2br w:val="nil"/>
              <w:tr2bl w:val="nil"/>
            </w:tcBorders>
          </w:tcPr>
          <w:p w14:paraId="6AAE296A">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详细设计说明书</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0935B72E">
            <w:pPr>
              <w:ind w:firstLine="0" w:firstLineChars="0"/>
              <w:rPr>
                <w:rFonts w:hint="eastAsia" w:ascii="宋体" w:hAnsi="宋体"/>
                <w:color w:val="000000"/>
                <w:sz w:val="21"/>
                <w:szCs w:val="21"/>
              </w:rPr>
            </w:pPr>
            <w:r>
              <w:rPr>
                <w:rFonts w:hint="eastAsia" w:ascii="宋体" w:hAnsi="宋体"/>
                <w:color w:val="000000"/>
                <w:sz w:val="21"/>
                <w:szCs w:val="21"/>
              </w:rPr>
              <w:t>Word文档</w:t>
            </w:r>
          </w:p>
        </w:tc>
      </w:tr>
      <w:tr w14:paraId="1D6B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37203022">
            <w:pPr>
              <w:ind w:firstLine="420"/>
              <w:rPr>
                <w:rFonts w:hint="eastAsia" w:ascii="宋体" w:hAnsi="宋体"/>
                <w:color w:val="000000"/>
                <w:sz w:val="21"/>
                <w:szCs w:val="21"/>
              </w:rPr>
            </w:pPr>
            <w:r>
              <w:rPr>
                <w:rFonts w:hint="eastAsia" w:ascii="宋体" w:hAnsi="宋体"/>
                <w:color w:val="000000"/>
                <w:sz w:val="21"/>
                <w:szCs w:val="21"/>
              </w:rPr>
              <w:t>5</w:t>
            </w:r>
          </w:p>
        </w:tc>
        <w:tc>
          <w:tcPr>
            <w:tcW w:w="129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09988B45">
            <w:pPr>
              <w:ind w:firstLine="420"/>
              <w:rPr>
                <w:rFonts w:hint="eastAsia" w:ascii="宋体" w:hAnsi="宋体"/>
                <w:color w:val="000000"/>
                <w:sz w:val="21"/>
                <w:szCs w:val="21"/>
              </w:rPr>
            </w:pPr>
          </w:p>
        </w:tc>
        <w:tc>
          <w:tcPr>
            <w:tcW w:w="4536" w:type="dxa"/>
            <w:tcBorders>
              <w:top w:val="single" w:color="auto" w:sz="4" w:space="0"/>
              <w:left w:val="single" w:color="auto" w:sz="4" w:space="0"/>
              <w:bottom w:val="single" w:color="auto" w:sz="4" w:space="0"/>
              <w:right w:val="single" w:color="auto" w:sz="4" w:space="0"/>
              <w:tl2br w:val="nil"/>
              <w:tr2bl w:val="nil"/>
            </w:tcBorders>
          </w:tcPr>
          <w:p w14:paraId="75774265">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用户操作手册</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021F79A4">
            <w:pPr>
              <w:ind w:firstLine="0" w:firstLineChars="0"/>
              <w:rPr>
                <w:rFonts w:hint="eastAsia" w:ascii="宋体" w:hAnsi="宋体"/>
                <w:color w:val="000000"/>
                <w:sz w:val="21"/>
                <w:szCs w:val="21"/>
              </w:rPr>
            </w:pPr>
            <w:r>
              <w:rPr>
                <w:rFonts w:hint="eastAsia" w:ascii="宋体" w:hAnsi="宋体"/>
                <w:color w:val="000000"/>
                <w:sz w:val="21"/>
                <w:szCs w:val="21"/>
              </w:rPr>
              <w:t>PPT文档、视频</w:t>
            </w:r>
          </w:p>
        </w:tc>
      </w:tr>
      <w:tr w14:paraId="2C83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0AE1B80E">
            <w:pPr>
              <w:ind w:firstLine="420"/>
              <w:rPr>
                <w:rFonts w:hint="eastAsia" w:ascii="宋体" w:hAnsi="宋体"/>
                <w:color w:val="000000"/>
                <w:sz w:val="21"/>
                <w:szCs w:val="21"/>
              </w:rPr>
            </w:pPr>
            <w:r>
              <w:rPr>
                <w:rFonts w:hint="eastAsia" w:ascii="宋体" w:hAnsi="宋体"/>
                <w:color w:val="000000"/>
                <w:sz w:val="21"/>
                <w:szCs w:val="21"/>
              </w:rPr>
              <w:t>6</w:t>
            </w:r>
          </w:p>
        </w:tc>
        <w:tc>
          <w:tcPr>
            <w:tcW w:w="129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2175E7EE">
            <w:pPr>
              <w:ind w:firstLine="420"/>
              <w:rPr>
                <w:rFonts w:hint="eastAsia" w:ascii="宋体" w:hAnsi="宋体"/>
                <w:color w:val="000000"/>
                <w:sz w:val="21"/>
                <w:szCs w:val="21"/>
              </w:rPr>
            </w:pPr>
          </w:p>
        </w:tc>
        <w:tc>
          <w:tcPr>
            <w:tcW w:w="4536" w:type="dxa"/>
            <w:tcBorders>
              <w:top w:val="single" w:color="auto" w:sz="4" w:space="0"/>
              <w:left w:val="single" w:color="auto" w:sz="4" w:space="0"/>
              <w:bottom w:val="single" w:color="auto" w:sz="4" w:space="0"/>
              <w:right w:val="single" w:color="auto" w:sz="4" w:space="0"/>
              <w:tl2br w:val="nil"/>
              <w:tr2bl w:val="nil"/>
            </w:tcBorders>
          </w:tcPr>
          <w:p w14:paraId="2AF751F1">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管理员手册</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6E945A54">
            <w:pPr>
              <w:ind w:firstLine="0" w:firstLineChars="0"/>
              <w:rPr>
                <w:rFonts w:hint="eastAsia" w:ascii="宋体" w:hAnsi="宋体"/>
                <w:color w:val="000000"/>
                <w:sz w:val="21"/>
                <w:szCs w:val="21"/>
              </w:rPr>
            </w:pPr>
            <w:r>
              <w:rPr>
                <w:rFonts w:hint="eastAsia" w:ascii="宋体" w:hAnsi="宋体"/>
                <w:color w:val="000000"/>
                <w:sz w:val="21"/>
                <w:szCs w:val="21"/>
              </w:rPr>
              <w:t>Word文档</w:t>
            </w:r>
          </w:p>
        </w:tc>
      </w:tr>
      <w:tr w14:paraId="38A7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4AAD0A33">
            <w:pPr>
              <w:ind w:firstLine="420"/>
              <w:rPr>
                <w:rFonts w:hint="eastAsia" w:ascii="宋体" w:hAnsi="宋体"/>
                <w:color w:val="000000"/>
                <w:sz w:val="21"/>
                <w:szCs w:val="21"/>
              </w:rPr>
            </w:pPr>
            <w:r>
              <w:rPr>
                <w:rFonts w:hint="eastAsia" w:ascii="宋体" w:hAnsi="宋体"/>
                <w:color w:val="000000"/>
                <w:sz w:val="21"/>
                <w:szCs w:val="21"/>
              </w:rPr>
              <w:t>8</w:t>
            </w:r>
          </w:p>
        </w:tc>
        <w:tc>
          <w:tcPr>
            <w:tcW w:w="129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0A7C9B8E">
            <w:pPr>
              <w:ind w:firstLine="420"/>
              <w:rPr>
                <w:rFonts w:hint="eastAsia" w:ascii="宋体" w:hAnsi="宋体"/>
                <w:color w:val="000000"/>
                <w:sz w:val="21"/>
                <w:szCs w:val="21"/>
              </w:rPr>
            </w:pPr>
          </w:p>
        </w:tc>
        <w:tc>
          <w:tcPr>
            <w:tcW w:w="4536" w:type="dxa"/>
            <w:tcBorders>
              <w:top w:val="single" w:color="auto" w:sz="4" w:space="0"/>
              <w:left w:val="single" w:color="auto" w:sz="4" w:space="0"/>
              <w:bottom w:val="single" w:color="auto" w:sz="4" w:space="0"/>
              <w:right w:val="single" w:color="auto" w:sz="4" w:space="0"/>
              <w:tl2br w:val="nil"/>
              <w:tr2bl w:val="nil"/>
            </w:tcBorders>
          </w:tcPr>
          <w:p w14:paraId="6CC113D6">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测试报告</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5BFE88B6">
            <w:pPr>
              <w:ind w:firstLine="0" w:firstLineChars="0"/>
              <w:rPr>
                <w:rFonts w:hint="eastAsia" w:ascii="宋体" w:hAnsi="宋体"/>
                <w:color w:val="000000"/>
                <w:sz w:val="21"/>
                <w:szCs w:val="21"/>
              </w:rPr>
            </w:pPr>
            <w:r>
              <w:rPr>
                <w:rFonts w:hint="eastAsia" w:ascii="宋体" w:hAnsi="宋体"/>
                <w:color w:val="000000"/>
                <w:sz w:val="21"/>
                <w:szCs w:val="21"/>
              </w:rPr>
              <w:t>Word文档</w:t>
            </w:r>
          </w:p>
        </w:tc>
      </w:tr>
      <w:tr w14:paraId="7FB3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89" w:type="dxa"/>
            <w:tcBorders>
              <w:top w:val="single" w:color="auto" w:sz="4" w:space="0"/>
              <w:left w:val="single" w:color="auto" w:sz="4" w:space="0"/>
              <w:bottom w:val="single" w:color="auto" w:sz="4" w:space="0"/>
              <w:right w:val="single" w:color="auto" w:sz="4" w:space="0"/>
              <w:tl2br w:val="nil"/>
              <w:tr2bl w:val="nil"/>
            </w:tcBorders>
            <w:vAlign w:val="center"/>
          </w:tcPr>
          <w:p w14:paraId="7B512E26">
            <w:pPr>
              <w:ind w:firstLine="420"/>
              <w:rPr>
                <w:rFonts w:hint="eastAsia" w:ascii="宋体" w:hAnsi="宋体"/>
                <w:color w:val="000000"/>
                <w:sz w:val="21"/>
                <w:szCs w:val="21"/>
              </w:rPr>
            </w:pPr>
            <w:r>
              <w:rPr>
                <w:rFonts w:hint="eastAsia" w:ascii="宋体" w:hAnsi="宋体"/>
                <w:color w:val="000000"/>
                <w:sz w:val="21"/>
                <w:szCs w:val="21"/>
              </w:rPr>
              <w:t>9</w:t>
            </w:r>
          </w:p>
        </w:tc>
        <w:tc>
          <w:tcPr>
            <w:tcW w:w="129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77AE6E62">
            <w:pPr>
              <w:ind w:firstLine="420"/>
              <w:rPr>
                <w:rFonts w:hint="eastAsia" w:ascii="宋体" w:hAnsi="宋体"/>
                <w:color w:val="000000"/>
                <w:sz w:val="21"/>
                <w:szCs w:val="21"/>
              </w:rPr>
            </w:pPr>
          </w:p>
        </w:tc>
        <w:tc>
          <w:tcPr>
            <w:tcW w:w="4536" w:type="dxa"/>
            <w:tcBorders>
              <w:top w:val="single" w:color="auto" w:sz="4" w:space="0"/>
              <w:left w:val="single" w:color="auto" w:sz="4" w:space="0"/>
              <w:bottom w:val="single" w:color="auto" w:sz="4" w:space="0"/>
              <w:right w:val="single" w:color="auto" w:sz="4" w:space="0"/>
              <w:tl2br w:val="nil"/>
              <w:tr2bl w:val="nil"/>
            </w:tcBorders>
          </w:tcPr>
          <w:p w14:paraId="10DDFFBA">
            <w:pPr>
              <w:ind w:firstLine="0" w:firstLineChars="0"/>
              <w:rPr>
                <w:rFonts w:hint="eastAsia" w:ascii="宋体" w:hAnsi="宋体"/>
                <w:color w:val="000000"/>
                <w:sz w:val="21"/>
                <w:szCs w:val="21"/>
              </w:rPr>
            </w:pPr>
            <w:r>
              <w:rPr>
                <w:rFonts w:hint="eastAsia" w:ascii="宋体" w:hAnsi="宋体" w:cs="宋体"/>
                <w:color w:val="000000"/>
                <w:sz w:val="22"/>
                <w:szCs w:val="22"/>
              </w:rPr>
              <w:t>产品配置管理系统</w:t>
            </w:r>
            <w:r>
              <w:rPr>
                <w:rFonts w:hint="eastAsia" w:ascii="宋体" w:hAnsi="宋体"/>
                <w:color w:val="000000"/>
                <w:sz w:val="21"/>
                <w:szCs w:val="21"/>
              </w:rPr>
              <w:t>项目总结报告</w:t>
            </w:r>
          </w:p>
        </w:tc>
        <w:tc>
          <w:tcPr>
            <w:tcW w:w="2515" w:type="dxa"/>
            <w:tcBorders>
              <w:top w:val="single" w:color="auto" w:sz="4" w:space="0"/>
              <w:left w:val="single" w:color="auto" w:sz="4" w:space="0"/>
              <w:bottom w:val="single" w:color="auto" w:sz="4" w:space="0"/>
              <w:right w:val="single" w:color="auto" w:sz="4" w:space="0"/>
              <w:tl2br w:val="nil"/>
              <w:tr2bl w:val="nil"/>
            </w:tcBorders>
            <w:vAlign w:val="center"/>
          </w:tcPr>
          <w:p w14:paraId="15BCE137">
            <w:pPr>
              <w:ind w:firstLine="0" w:firstLineChars="0"/>
              <w:rPr>
                <w:rFonts w:hint="eastAsia" w:ascii="宋体" w:hAnsi="宋体"/>
                <w:color w:val="000000"/>
                <w:sz w:val="21"/>
                <w:szCs w:val="21"/>
              </w:rPr>
            </w:pPr>
            <w:r>
              <w:rPr>
                <w:rFonts w:hint="eastAsia" w:ascii="宋体" w:hAnsi="宋体"/>
                <w:color w:val="000000"/>
                <w:sz w:val="21"/>
                <w:szCs w:val="21"/>
              </w:rPr>
              <w:t>Word文档、PPT文档</w:t>
            </w:r>
          </w:p>
        </w:tc>
      </w:tr>
    </w:tbl>
    <w:p w14:paraId="6C24359A">
      <w:pPr>
        <w:pStyle w:val="4"/>
        <w:snapToGrid w:val="0"/>
        <w:spacing w:before="312" w:after="312"/>
        <w:ind w:firstLine="480"/>
        <w:rPr>
          <w:rFonts w:hint="eastAsia" w:ascii="华文宋体" w:hAnsi="华文宋体" w:cs="华文宋体"/>
          <w:sz w:val="24"/>
          <w:szCs w:val="24"/>
        </w:rPr>
      </w:pPr>
      <w:bookmarkStart w:id="1651" w:name="_Toc203558399"/>
      <w:bookmarkStart w:id="1652" w:name="_Toc1310"/>
      <w:bookmarkStart w:id="1653" w:name="_Toc231854143"/>
      <w:bookmarkStart w:id="1654" w:name="_Toc22138"/>
      <w:r>
        <w:rPr>
          <w:rFonts w:hint="eastAsia" w:ascii="华文宋体" w:hAnsi="华文宋体" w:cs="华文宋体"/>
          <w:sz w:val="24"/>
          <w:szCs w:val="24"/>
        </w:rPr>
        <w:t>5.9 服务保障要求</w:t>
      </w:r>
      <w:bookmarkEnd w:id="1651"/>
      <w:bookmarkEnd w:id="1652"/>
      <w:bookmarkEnd w:id="1653"/>
      <w:bookmarkEnd w:id="1654"/>
      <w:r>
        <w:rPr>
          <w:rFonts w:hint="eastAsia" w:ascii="华文宋体" w:hAnsi="华文宋体" w:cs="华文宋体"/>
          <w:sz w:val="24"/>
          <w:szCs w:val="24"/>
        </w:rPr>
        <w:t xml:space="preserve"> </w:t>
      </w:r>
    </w:p>
    <w:p w14:paraId="2B71F6CB">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投标人的服务承诺应按不低于招标文件中提出的所有服务要求标准做出响应。其基本服务要求如下：</w:t>
      </w:r>
    </w:p>
    <w:p w14:paraId="671FCE4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（1）在项目实施期间，须按照投标时提交的人员情况保证正常的开发服务和人员支持，确保项目如期完成。系统试运行期间，投标人保证至少一名实施工程师提供驻场实施服务；</w:t>
      </w:r>
    </w:p>
    <w:p w14:paraId="087CC99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（2）提供系统化的培训，确保各部门人员能熟练操作信息系统完成日常办公系统操作相关工作；</w:t>
      </w:r>
    </w:p>
    <w:p w14:paraId="6C387102">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项目通过验收之日起，投标人必须提供至少一年的原厂免费维护服务，若有升级版本须及时通知用户，是否升级由用户决定；免费服务期结束后，投标人应提出升级、维护服务方案，并对服务内容、费用、方式、范围（产品、技术、模块）等方面进行承诺，另行签订服务合同；</w:t>
      </w:r>
    </w:p>
    <w:p w14:paraId="1EFE3EE4">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（4）投标人保证有专门的客户服务机构和人员，能够提供7*24小时电话服务响应；对于必须派人现场解决的问题，保证在收到现场服务通知后，3小时内到达现场；</w:t>
      </w:r>
    </w:p>
    <w:p w14:paraId="6901C79F">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在服务期内，投标人根据使用方的业务需求变化进行二次开发和本地化服务；在需要与其他系统实现对接或者数据交互时，投标人应免费提供相应的技术支持和数据接口（费用包含在投标方中标价格中），配合第三方做好技术衔接工作，不得以任何借口推诿并收取费用；</w:t>
      </w:r>
    </w:p>
    <w:p w14:paraId="0A57667C">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（6）投标人为本项目提供定期健康检查服务，在服务期内每两月进行一次产品巡检和用户回访，并组织用户、厂商，进行技术交流，提高整体维护水平，减少故障隐患。</w:t>
      </w:r>
    </w:p>
    <w:p w14:paraId="48937507">
      <w:pPr>
        <w:pStyle w:val="4"/>
        <w:snapToGrid w:val="0"/>
        <w:spacing w:before="312" w:after="312"/>
        <w:ind w:firstLine="480"/>
        <w:rPr>
          <w:rFonts w:hint="eastAsia" w:ascii="华文宋体" w:hAnsi="华文宋体" w:cs="华文宋体"/>
          <w:sz w:val="24"/>
          <w:szCs w:val="24"/>
        </w:rPr>
      </w:pPr>
      <w:bookmarkStart w:id="1655" w:name="_Toc30652"/>
      <w:bookmarkStart w:id="1656" w:name="_Toc203558401"/>
      <w:bookmarkStart w:id="1657" w:name="_Toc15700"/>
      <w:bookmarkStart w:id="1658" w:name="_Toc231854145"/>
      <w:r>
        <w:rPr>
          <w:rFonts w:hint="eastAsia" w:ascii="华文宋体" w:hAnsi="华文宋体" w:cs="华文宋体"/>
          <w:sz w:val="24"/>
          <w:szCs w:val="24"/>
        </w:rPr>
        <w:t>5.11 产品售后服务要求</w:t>
      </w:r>
      <w:bookmarkEnd w:id="1655"/>
      <w:bookmarkEnd w:id="1656"/>
      <w:bookmarkEnd w:id="1657"/>
      <w:bookmarkEnd w:id="1658"/>
    </w:p>
    <w:p w14:paraId="40C00E8A">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（1）产品配置管理系统的实施能满足3-5年后顺利扩容，并能</w:t>
      </w:r>
      <w:r>
        <w:rPr>
          <w:rFonts w:hint="eastAsia" w:ascii="宋体" w:hAnsi="宋体" w:cs="宋体"/>
          <w:szCs w:val="24"/>
        </w:rPr>
        <w:t>和产品协同开发管理主系统、CAPP、ERP、MES的</w:t>
      </w:r>
      <w:r>
        <w:rPr>
          <w:rFonts w:hint="eastAsia" w:ascii="华文宋体" w:hAnsi="华文宋体" w:cs="华文宋体"/>
          <w:szCs w:val="24"/>
          <w:lang w:val="en-GB"/>
        </w:rPr>
        <w:t>升级版良好的兼容；</w:t>
      </w:r>
    </w:p>
    <w:p w14:paraId="6DDDBBE5">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（2）系统实施方能提供良好的售后服务及技术支撑，系统上线运行后，如遇到企业无法解决的问题，实施方需指派经验丰富的技术人员协助解决；</w:t>
      </w:r>
    </w:p>
    <w:p w14:paraId="0D2E9EBE">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（3）维保期为本项目终验收完成后一年。在维保期内，实施方提供免费技术服务，包括问题处理、安装调试、系统维护、技术咨询、人员培训等，保证系统运行稳定、可靠；</w:t>
      </w:r>
    </w:p>
    <w:p w14:paraId="33F7525A">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5）提供电话热线、网上咨询等远程在线服务和快速的现场响应服务，以满足甲方对突发系统故障的处理要求。投标人在接到用户通过电话、信函、传真、电子邮件、网上提交等方式提出关于系统服务请求后，在2小时内予以响应，一般问题到达现场服务的响应时间不超过24小时，重大问题到达现场服务的响应时间不超过12小时；</w:t>
      </w:r>
    </w:p>
    <w:p w14:paraId="6E671434">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（6）产品配置管理系统投入运行后，要求当软件密钥或许可证文件损坏后，在24小时内免费帮助用户恢复（该条无使用时间限制）；</w:t>
      </w:r>
    </w:p>
    <w:p w14:paraId="0432BF2F">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（7）在维保期结束后，产品寿命期内实施方须继续提供对产品故障处理、功能模块升级等的服务，不得以任何借口拖延或中断对产品的售后服务；</w:t>
      </w:r>
    </w:p>
    <w:p w14:paraId="3F30D8F9">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（8）实施方承诺买方对系统升级或授权数扩容时，享受最优惠价格。</w:t>
      </w:r>
    </w:p>
    <w:p w14:paraId="56D7DEC6">
      <w:pPr>
        <w:pStyle w:val="4"/>
        <w:snapToGrid w:val="0"/>
        <w:spacing w:before="312" w:after="312"/>
        <w:ind w:firstLine="480"/>
        <w:rPr>
          <w:rFonts w:hint="eastAsia" w:ascii="华文宋体" w:hAnsi="华文宋体" w:cs="华文宋体"/>
          <w:sz w:val="24"/>
          <w:szCs w:val="24"/>
        </w:rPr>
      </w:pPr>
      <w:bookmarkStart w:id="1659" w:name="_Toc231854146"/>
      <w:bookmarkStart w:id="1660" w:name="_Toc30360"/>
      <w:bookmarkStart w:id="1661" w:name="_Toc203558402"/>
      <w:bookmarkStart w:id="1662" w:name="_Toc4776"/>
      <w:r>
        <w:rPr>
          <w:rFonts w:hint="eastAsia" w:ascii="华文宋体" w:hAnsi="华文宋体" w:cs="华文宋体"/>
          <w:sz w:val="24"/>
          <w:szCs w:val="24"/>
        </w:rPr>
        <w:t>5.12 知识产权要求</w:t>
      </w:r>
      <w:bookmarkEnd w:id="1659"/>
      <w:bookmarkEnd w:id="1660"/>
      <w:bookmarkEnd w:id="1661"/>
      <w:bookmarkEnd w:id="1662"/>
    </w:p>
    <w:p w14:paraId="44E8DBAB">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本项目的系统实施方应保证重庆研究院在使用该软件或其任何一部分时不受第三方提出的侵犯专利权、著作权、商标权和工业设计权等的起诉。</w:t>
      </w:r>
    </w:p>
    <w:p w14:paraId="16859C0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任何第三方提出侵权指控，中标方须与第三方交涉并承担由此产生的一切责任、费用和经济赔偿。</w:t>
      </w:r>
    </w:p>
    <w:p w14:paraId="57260158">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双方应共同遵守国家有关版权、专利、商标等知识产权方面的法律规定，相互尊重对方的知识产权，对本合同内容、对方的技术秘密和商业秘密负有保密责任。如有违反，违约方负相关法律责任。</w:t>
      </w:r>
    </w:p>
    <w:p w14:paraId="6B6729AF">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在本合同生效时已经存在并为各方合法拥有或使用的所有技术、资料和信息的知识产权，仍应属于其各自的原权利人所有或享有，另有约定的除外。</w:t>
      </w:r>
    </w:p>
    <w:p w14:paraId="1D048D51">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实施方保证拥有由其提供给重庆研究院的所有软件的合法使用权，并且已获得进行许可的正当授权及其有权将软件许可及其相关材料授权或转让给招标方。实施方承诺并保证招标方除本协议的付款义务外无需支付任何其它的许可使用费，以非独家的、永久的、全球的、不可撤销的方式使用本合同条款下软件产品。</w:t>
      </w:r>
    </w:p>
    <w:p w14:paraId="6ABB03A2">
      <w:pPr>
        <w:pStyle w:val="4"/>
        <w:snapToGrid w:val="0"/>
        <w:spacing w:before="312" w:after="312"/>
        <w:ind w:firstLine="480"/>
        <w:rPr>
          <w:rFonts w:hint="eastAsia" w:ascii="华文宋体" w:hAnsi="华文宋体" w:cs="华文宋体"/>
          <w:sz w:val="24"/>
          <w:szCs w:val="24"/>
        </w:rPr>
      </w:pPr>
      <w:bookmarkStart w:id="1663" w:name="_Toc10814"/>
      <w:bookmarkStart w:id="1664" w:name="_Toc231854147"/>
      <w:bookmarkStart w:id="1665" w:name="_Toc203558403"/>
      <w:bookmarkStart w:id="1666" w:name="_Toc20403"/>
      <w:r>
        <w:rPr>
          <w:rFonts w:hint="eastAsia" w:ascii="华文宋体" w:hAnsi="华文宋体" w:cs="华文宋体"/>
          <w:sz w:val="24"/>
          <w:szCs w:val="24"/>
        </w:rPr>
        <w:t>5.13 分包要求</w:t>
      </w:r>
      <w:bookmarkEnd w:id="1663"/>
      <w:bookmarkEnd w:id="1664"/>
      <w:bookmarkEnd w:id="1665"/>
      <w:bookmarkEnd w:id="1666"/>
    </w:p>
    <w:p w14:paraId="5BFE04BD">
      <w:pPr>
        <w:spacing w:line="360" w:lineRule="auto"/>
        <w:ind w:firstLine="480"/>
        <w:rPr>
          <w:rFonts w:hint="eastAsia" w:ascii="华文宋体" w:hAnsi="华文宋体" w:cs="华文宋体"/>
          <w:szCs w:val="24"/>
          <w:lang w:val="en-GB"/>
        </w:rPr>
      </w:pPr>
      <w:r>
        <w:rPr>
          <w:rFonts w:hint="eastAsia" w:ascii="华文宋体" w:hAnsi="华文宋体" w:cs="华文宋体"/>
          <w:szCs w:val="24"/>
          <w:lang w:val="en-GB"/>
        </w:rPr>
        <w:t>本项目不允许分包。如发现分包行为，将立即终止合同并由中标方承担由此造成的所有损失。</w:t>
      </w:r>
    </w:p>
    <w:p w14:paraId="55E2F160">
      <w:pPr>
        <w:spacing w:line="360" w:lineRule="auto"/>
        <w:ind w:firstLine="480"/>
        <w:rPr>
          <w:rFonts w:hint="eastAsia" w:ascii="华文宋体" w:hAnsi="华文宋体" w:cs="华文宋体"/>
          <w:szCs w:val="24"/>
          <w:lang w:val="en-GB"/>
        </w:rPr>
      </w:pPr>
    </w:p>
    <w:p w14:paraId="64D69B46">
      <w:pPr>
        <w:ind w:firstLine="480"/>
        <w:rPr>
          <w:rFonts w:hint="eastAsia" w:ascii="华文宋体" w:hAnsi="华文宋体" w:cs="华文宋体"/>
          <w:szCs w:val="24"/>
          <w:lang w:val="en-GB"/>
        </w:rPr>
      </w:pPr>
    </w:p>
    <w:p w14:paraId="27631515">
      <w:pPr>
        <w:pStyle w:val="3"/>
        <w:pageBreakBefore/>
        <w:spacing w:line="400" w:lineRule="exact"/>
        <w:rPr>
          <w:rFonts w:hint="eastAsia"/>
          <w:szCs w:val="36"/>
        </w:rPr>
      </w:pPr>
      <w:bookmarkStart w:id="1667" w:name="_Toc211529246"/>
      <w:bookmarkStart w:id="1668" w:name="_Toc231854148"/>
      <w:bookmarkStart w:id="1669" w:name="_Toc5244"/>
      <w:bookmarkStart w:id="1670" w:name="_Toc32193"/>
      <w:bookmarkStart w:id="1671" w:name="_Toc27245"/>
      <w:bookmarkStart w:id="1672" w:name="_Toc15842"/>
      <w:bookmarkStart w:id="1673" w:name="_Toc422561358"/>
      <w:bookmarkStart w:id="1674" w:name="_Toc18252"/>
      <w:r>
        <w:rPr>
          <w:rFonts w:hint="eastAsia"/>
          <w:szCs w:val="36"/>
        </w:rPr>
        <w:t>第六章  投标文件格式</w:t>
      </w:r>
      <w:bookmarkEnd w:id="1667"/>
      <w:bookmarkEnd w:id="1668"/>
      <w:bookmarkEnd w:id="1669"/>
      <w:bookmarkEnd w:id="1670"/>
      <w:bookmarkEnd w:id="1671"/>
      <w:bookmarkEnd w:id="1672"/>
      <w:bookmarkEnd w:id="1673"/>
      <w:bookmarkEnd w:id="1674"/>
    </w:p>
    <w:p w14:paraId="222578D1">
      <w:pPr>
        <w:autoSpaceDE w:val="0"/>
        <w:autoSpaceDN w:val="0"/>
        <w:spacing w:after="120" w:line="360" w:lineRule="auto"/>
        <w:ind w:firstLine="801"/>
        <w:jc w:val="center"/>
        <w:outlineLvl w:val="1"/>
        <w:rPr>
          <w:rFonts w:hint="eastAsia" w:ascii="宋体" w:hAnsi="宋体"/>
          <w:b/>
          <w:kern w:val="0"/>
          <w:sz w:val="40"/>
          <w:szCs w:val="44"/>
        </w:rPr>
      </w:pPr>
      <w:bookmarkStart w:id="1675" w:name="_Toc126306025"/>
      <w:bookmarkStart w:id="1676" w:name="_Toc15082"/>
      <w:bookmarkStart w:id="1677" w:name="_Toc26307"/>
      <w:bookmarkStart w:id="1678" w:name="_Toc27893"/>
      <w:bookmarkStart w:id="1679" w:name="_Toc206878470"/>
      <w:bookmarkStart w:id="1680" w:name="_Toc231854149"/>
      <w:bookmarkStart w:id="1681" w:name="_Toc18654"/>
      <w:bookmarkStart w:id="1682" w:name="_Toc14148"/>
      <w:bookmarkStart w:id="1683" w:name="_Toc11792"/>
      <w:bookmarkStart w:id="1684" w:name="_Toc11727"/>
      <w:bookmarkStart w:id="1685" w:name="_Toc24552"/>
      <w:bookmarkStart w:id="1686" w:name="_Toc2498"/>
      <w:r>
        <w:rPr>
          <w:rFonts w:hint="eastAsia" w:ascii="宋体" w:hAnsi="宋体"/>
          <w:b/>
          <w:kern w:val="0"/>
          <w:sz w:val="40"/>
          <w:szCs w:val="44"/>
        </w:rPr>
        <w:t>一、投标文件封面（格式）</w:t>
      </w:r>
      <w:bookmarkEnd w:id="1675"/>
      <w:bookmarkEnd w:id="1676"/>
      <w:bookmarkEnd w:id="1677"/>
      <w:bookmarkEnd w:id="1678"/>
      <w:bookmarkEnd w:id="1679"/>
      <w:bookmarkEnd w:id="1680"/>
      <w:bookmarkEnd w:id="1681"/>
      <w:bookmarkEnd w:id="1682"/>
      <w:bookmarkEnd w:id="1683"/>
      <w:bookmarkEnd w:id="1684"/>
      <w:bookmarkEnd w:id="1685"/>
      <w:bookmarkEnd w:id="1686"/>
    </w:p>
    <w:p w14:paraId="1153904E">
      <w:pPr>
        <w:spacing w:line="360" w:lineRule="auto"/>
        <w:ind w:firstLine="1041"/>
        <w:jc w:val="center"/>
        <w:rPr>
          <w:rFonts w:hint="eastAsia" w:ascii="宋体" w:hAnsi="宋体" w:cs="宋体"/>
          <w:b/>
          <w:kern w:val="0"/>
          <w:sz w:val="52"/>
          <w:szCs w:val="52"/>
        </w:rPr>
      </w:pPr>
      <w:r>
        <w:rPr>
          <w:rFonts w:hint="eastAsia" w:ascii="宋体" w:hAnsi="宋体" w:cs="宋体"/>
          <w:b/>
          <w:kern w:val="0"/>
          <w:sz w:val="52"/>
          <w:szCs w:val="52"/>
        </w:rPr>
        <w:t>中煤科工集团重庆研究院有限公司</w:t>
      </w:r>
    </w:p>
    <w:p w14:paraId="5EDB2914">
      <w:pPr>
        <w:autoSpaceDE w:val="0"/>
        <w:autoSpaceDN w:val="0"/>
        <w:spacing w:after="120" w:line="360" w:lineRule="auto"/>
        <w:ind w:firstLine="1121"/>
        <w:jc w:val="center"/>
        <w:rPr>
          <w:rFonts w:hint="eastAsia" w:ascii="宋体" w:hAnsi="宋体" w:cs="宋体"/>
          <w:b/>
          <w:kern w:val="0"/>
          <w:sz w:val="52"/>
          <w:szCs w:val="52"/>
        </w:rPr>
      </w:pPr>
      <w:r>
        <w:rPr>
          <w:rFonts w:hint="eastAsia" w:ascii="宋体" w:hAnsi="宋体" w:cs="宋体"/>
          <w:b/>
          <w:sz w:val="56"/>
          <w:szCs w:val="56"/>
        </w:rPr>
        <w:t>基于MBD的产品智能配置管理系统</w:t>
      </w:r>
      <w:r>
        <w:rPr>
          <w:rFonts w:hint="eastAsia" w:ascii="宋体" w:hAnsi="宋体" w:cs="宋体"/>
          <w:b/>
          <w:kern w:val="0"/>
          <w:sz w:val="52"/>
          <w:szCs w:val="52"/>
        </w:rPr>
        <w:t>采购</w:t>
      </w:r>
    </w:p>
    <w:p w14:paraId="2F5C67C2">
      <w:pPr>
        <w:autoSpaceDE w:val="0"/>
        <w:autoSpaceDN w:val="0"/>
        <w:spacing w:after="120" w:line="360" w:lineRule="auto"/>
        <w:ind w:firstLine="1922"/>
        <w:jc w:val="center"/>
        <w:rPr>
          <w:rFonts w:hint="eastAsia" w:ascii="宋体" w:hAnsi="宋体"/>
          <w:b/>
          <w:kern w:val="0"/>
          <w:sz w:val="96"/>
          <w:szCs w:val="96"/>
        </w:rPr>
      </w:pPr>
      <w:r>
        <w:rPr>
          <w:rFonts w:hint="eastAsia" w:ascii="宋体" w:hAnsi="宋体"/>
          <w:b/>
          <w:kern w:val="0"/>
          <w:sz w:val="96"/>
          <w:szCs w:val="96"/>
        </w:rPr>
        <w:t>投标文件</w:t>
      </w:r>
    </w:p>
    <w:p w14:paraId="460384B9">
      <w:pPr>
        <w:autoSpaceDE w:val="0"/>
        <w:autoSpaceDN w:val="0"/>
        <w:spacing w:after="120" w:line="560" w:lineRule="exact"/>
        <w:ind w:firstLine="199" w:firstLineChars="62"/>
        <w:jc w:val="center"/>
        <w:rPr>
          <w:rFonts w:hint="eastAsia" w:ascii="宋体" w:hAnsi="宋体"/>
          <w:b/>
          <w:kern w:val="0"/>
          <w:sz w:val="32"/>
          <w:szCs w:val="32"/>
        </w:rPr>
      </w:pPr>
      <w:r>
        <w:rPr>
          <w:rFonts w:hint="eastAsia" w:ascii="宋体" w:hAnsi="宋体"/>
          <w:b/>
          <w:kern w:val="0"/>
          <w:sz w:val="32"/>
          <w:szCs w:val="32"/>
        </w:rPr>
        <w:t>项目编号：GHY-26430</w:t>
      </w:r>
    </w:p>
    <w:p w14:paraId="61FDA635">
      <w:pPr>
        <w:pStyle w:val="30"/>
        <w:rPr>
          <w:rFonts w:ascii="宋体" w:hAnsi="宋体" w:eastAsia="宋体" w:cs="Times New Roman"/>
          <w:color w:val="auto"/>
        </w:rPr>
      </w:pPr>
    </w:p>
    <w:p w14:paraId="73A8C4A5">
      <w:pPr>
        <w:autoSpaceDE w:val="0"/>
        <w:autoSpaceDN w:val="0"/>
        <w:spacing w:after="120" w:line="360" w:lineRule="auto"/>
        <w:ind w:firstLine="1120" w:firstLineChars="400"/>
        <w:textAlignment w:val="baseline"/>
        <w:rPr>
          <w:rFonts w:hint="eastAsia" w:ascii="宋体" w:hAnsi="宋体"/>
          <w:kern w:val="0"/>
          <w:sz w:val="28"/>
          <w:szCs w:val="24"/>
        </w:rPr>
      </w:pPr>
      <w:r>
        <w:rPr>
          <w:rFonts w:hint="eastAsia" w:ascii="宋体" w:hAnsi="宋体"/>
          <w:kern w:val="0"/>
          <w:sz w:val="28"/>
          <w:szCs w:val="24"/>
        </w:rPr>
        <w:t>投标人名称：</w:t>
      </w:r>
      <w:r>
        <w:rPr>
          <w:rFonts w:hint="eastAsia" w:ascii="宋体" w:hAnsi="宋体"/>
          <w:kern w:val="0"/>
          <w:sz w:val="28"/>
          <w:szCs w:val="24"/>
          <w:u w:val="single"/>
        </w:rPr>
        <w:t xml:space="preserve">                          </w:t>
      </w:r>
      <w:r>
        <w:rPr>
          <w:rFonts w:hint="eastAsia" w:ascii="宋体" w:hAnsi="宋体"/>
          <w:kern w:val="0"/>
          <w:sz w:val="28"/>
          <w:szCs w:val="24"/>
        </w:rPr>
        <w:t>（盖章）</w:t>
      </w:r>
    </w:p>
    <w:p w14:paraId="4C1A3CFB">
      <w:pPr>
        <w:autoSpaceDE w:val="0"/>
        <w:autoSpaceDN w:val="0"/>
        <w:spacing w:after="120" w:line="360" w:lineRule="auto"/>
        <w:ind w:firstLine="1120" w:firstLineChars="400"/>
        <w:textAlignment w:val="baseline"/>
        <w:rPr>
          <w:rFonts w:hint="eastAsia" w:ascii="宋体" w:hAnsi="宋体"/>
          <w:kern w:val="0"/>
          <w:sz w:val="28"/>
          <w:szCs w:val="24"/>
          <w:u w:val="single"/>
        </w:rPr>
      </w:pPr>
      <w:r>
        <w:rPr>
          <w:rFonts w:hint="eastAsia" w:ascii="宋体" w:hAnsi="宋体"/>
          <w:kern w:val="0"/>
          <w:sz w:val="28"/>
          <w:szCs w:val="24"/>
        </w:rPr>
        <w:t>法定代表人：</w:t>
      </w:r>
      <w:r>
        <w:rPr>
          <w:rFonts w:hint="eastAsia" w:ascii="宋体" w:hAnsi="宋体"/>
          <w:kern w:val="0"/>
          <w:sz w:val="28"/>
          <w:szCs w:val="24"/>
          <w:u w:val="single"/>
        </w:rPr>
        <w:t xml:space="preserve">                          </w:t>
      </w:r>
      <w:r>
        <w:rPr>
          <w:rFonts w:hint="eastAsia" w:ascii="宋体" w:hAnsi="宋体"/>
          <w:kern w:val="0"/>
          <w:sz w:val="28"/>
          <w:szCs w:val="24"/>
        </w:rPr>
        <w:t>（签字或盖章）</w:t>
      </w:r>
    </w:p>
    <w:p w14:paraId="154782C6">
      <w:pPr>
        <w:autoSpaceDE w:val="0"/>
        <w:autoSpaceDN w:val="0"/>
        <w:spacing w:after="120" w:line="360" w:lineRule="auto"/>
        <w:ind w:firstLine="640"/>
        <w:jc w:val="center"/>
        <w:textAlignment w:val="baseline"/>
        <w:rPr>
          <w:rFonts w:hint="eastAsia" w:ascii="宋体" w:hAnsi="宋体"/>
          <w:kern w:val="0"/>
          <w:sz w:val="32"/>
          <w:szCs w:val="24"/>
        </w:rPr>
        <w:sectPr>
          <w:footerReference r:id="rId5" w:type="default"/>
          <w:pgSz w:w="11906" w:h="16838"/>
          <w:pgMar w:top="1417" w:right="1077" w:bottom="1417" w:left="1361" w:header="851" w:footer="992" w:gutter="0"/>
          <w:cols w:space="720" w:num="1"/>
          <w:docGrid w:type="lines" w:linePitch="312" w:charSpace="0"/>
        </w:sectPr>
      </w:pPr>
      <w:r>
        <w:rPr>
          <w:rFonts w:hint="eastAsia" w:ascii="宋体" w:hAnsi="宋体"/>
          <w:kern w:val="0"/>
          <w:sz w:val="32"/>
          <w:szCs w:val="24"/>
        </w:rPr>
        <w:t>2026年</w:t>
      </w:r>
      <w:r>
        <w:rPr>
          <w:rFonts w:hint="eastAsia" w:ascii="宋体" w:hAnsi="宋体"/>
          <w:kern w:val="0"/>
          <w:sz w:val="32"/>
          <w:szCs w:val="24"/>
          <w:u w:val="single"/>
        </w:rPr>
        <w:t xml:space="preserve">    </w:t>
      </w:r>
      <w:r>
        <w:rPr>
          <w:rFonts w:hint="eastAsia" w:ascii="宋体" w:hAnsi="宋体"/>
          <w:kern w:val="0"/>
          <w:sz w:val="32"/>
          <w:szCs w:val="24"/>
        </w:rPr>
        <w:t>月</w:t>
      </w:r>
      <w:r>
        <w:rPr>
          <w:rFonts w:hint="eastAsia" w:ascii="宋体" w:hAnsi="宋体"/>
          <w:kern w:val="0"/>
          <w:sz w:val="32"/>
          <w:szCs w:val="24"/>
          <w:u w:val="single"/>
        </w:rPr>
        <w:t xml:space="preserve">     </w:t>
      </w:r>
      <w:r>
        <w:rPr>
          <w:rFonts w:hint="eastAsia" w:ascii="宋体" w:hAnsi="宋体"/>
          <w:kern w:val="0"/>
          <w:sz w:val="32"/>
          <w:szCs w:val="24"/>
        </w:rPr>
        <w:t>日</w:t>
      </w:r>
    </w:p>
    <w:p w14:paraId="38D6C492">
      <w:pPr>
        <w:spacing w:before="335" w:beforeLines="100" w:line="360" w:lineRule="auto"/>
        <w:ind w:firstLine="0" w:firstLineChars="0"/>
        <w:jc w:val="center"/>
        <w:rPr>
          <w:rFonts w:cs="宋体"/>
          <w:sz w:val="44"/>
          <w:szCs w:val="44"/>
        </w:rPr>
      </w:pPr>
      <w:r>
        <w:rPr>
          <w:rFonts w:hint="eastAsia" w:cs="宋体"/>
          <w:sz w:val="44"/>
          <w:szCs w:val="44"/>
        </w:rPr>
        <w:t>签字盖章说明</w:t>
      </w:r>
    </w:p>
    <w:p w14:paraId="57702DF8">
      <w:pPr>
        <w:spacing w:before="335" w:beforeLines="100" w:line="360" w:lineRule="auto"/>
        <w:ind w:firstLine="880"/>
        <w:rPr>
          <w:rFonts w:cs="宋体"/>
          <w:sz w:val="44"/>
          <w:szCs w:val="44"/>
        </w:rPr>
      </w:pPr>
      <w:r>
        <w:rPr>
          <w:rFonts w:cs="宋体"/>
          <w:sz w:val="44"/>
          <w:szCs w:val="44"/>
        </w:rPr>
        <w:t>CA支持单位公章，但不支持姓名签字；</w:t>
      </w:r>
    </w:p>
    <w:p w14:paraId="5F77C710">
      <w:pPr>
        <w:spacing w:before="335" w:beforeLines="100" w:line="360" w:lineRule="auto"/>
        <w:ind w:firstLine="880"/>
        <w:rPr>
          <w:rFonts w:cs="宋体"/>
          <w:sz w:val="44"/>
          <w:szCs w:val="44"/>
        </w:rPr>
      </w:pPr>
      <w:r>
        <w:rPr>
          <w:rFonts w:cs="宋体"/>
          <w:sz w:val="44"/>
          <w:szCs w:val="44"/>
        </w:rPr>
        <w:drawing>
          <wp:anchor distT="0" distB="0" distL="114300" distR="114300" simplePos="0" relativeHeight="251659264" behindDoc="0" locked="0" layoutInCell="1" allowOverlap="1">
            <wp:simplePos x="0" y="0"/>
            <wp:positionH relativeFrom="column">
              <wp:posOffset>3966845</wp:posOffset>
            </wp:positionH>
            <wp:positionV relativeFrom="paragraph">
              <wp:posOffset>847725</wp:posOffset>
            </wp:positionV>
            <wp:extent cx="647700" cy="308610"/>
            <wp:effectExtent l="0" t="0" r="0" b="5715"/>
            <wp:wrapNone/>
            <wp:docPr id="7" name="图片 2" descr="cc357f60a29ff8b846195de8ea97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c357f60a29ff8b846195de8ea97a58"/>
                    <pic:cNvPicPr>
                      <a:picLocks noChangeAspect="1"/>
                    </pic:cNvPicPr>
                  </pic:nvPicPr>
                  <pic:blipFill>
                    <a:blip r:embed="rId8"/>
                    <a:srcRect l="42311" t="65308" r="22800" b="24817"/>
                    <a:stretch>
                      <a:fillRect/>
                    </a:stretch>
                  </pic:blipFill>
                  <pic:spPr>
                    <a:xfrm>
                      <a:off x="0" y="0"/>
                      <a:ext cx="647700" cy="308610"/>
                    </a:xfrm>
                    <a:prstGeom prst="rect">
                      <a:avLst/>
                    </a:prstGeom>
                    <a:noFill/>
                    <a:ln>
                      <a:noFill/>
                    </a:ln>
                  </pic:spPr>
                </pic:pic>
              </a:graphicData>
            </a:graphic>
          </wp:anchor>
        </w:drawing>
      </w:r>
      <w:r>
        <w:rPr>
          <w:rFonts w:cs="宋体"/>
          <w:sz w:val="44"/>
          <w:szCs w:val="44"/>
        </w:rPr>
        <w:t>签字应为手签字、加盖手签章、电子签名或人名方章，机打姓名无效（例如：   有效，“张三”无效）。</w:t>
      </w:r>
    </w:p>
    <w:p w14:paraId="79D81E61">
      <w:pPr>
        <w:spacing w:before="335" w:beforeLines="100" w:line="360" w:lineRule="auto"/>
        <w:ind w:firstLine="880"/>
        <w:sectPr>
          <w:pgSz w:w="11905" w:h="16838"/>
          <w:pgMar w:top="1417" w:right="1417" w:bottom="1417" w:left="1417" w:header="850" w:footer="992" w:gutter="0"/>
          <w:cols w:space="0" w:num="1"/>
          <w:docGrid w:type="lines" w:linePitch="335" w:charSpace="0"/>
        </w:sectPr>
      </w:pPr>
      <w:r>
        <w:rPr>
          <w:rFonts w:cs="宋体"/>
          <w:sz w:val="44"/>
          <w:szCs w:val="44"/>
        </w:rPr>
        <w:t>公章使用CA公章。</w:t>
      </w:r>
    </w:p>
    <w:p w14:paraId="29ED2789">
      <w:pPr>
        <w:pStyle w:val="5"/>
        <w:pageBreakBefore/>
        <w:spacing w:line="400" w:lineRule="exact"/>
        <w:ind w:firstLine="0" w:firstLineChars="0"/>
        <w:jc w:val="center"/>
        <w:rPr>
          <w:rFonts w:hint="eastAsia" w:ascii="方正公文小标宋" w:hAnsi="方正公文小标宋" w:eastAsia="方正公文小标宋"/>
          <w:sz w:val="36"/>
          <w:szCs w:val="36"/>
        </w:rPr>
      </w:pPr>
      <w:bookmarkStart w:id="1687" w:name="_Toc26765"/>
      <w:bookmarkStart w:id="1688" w:name="_Toc18198"/>
      <w:bookmarkStart w:id="1689" w:name="_Toc1700815885"/>
      <w:bookmarkStart w:id="1690" w:name="_Toc5536"/>
      <w:bookmarkStart w:id="1691" w:name="_Toc29418"/>
      <w:bookmarkStart w:id="1692" w:name="_Toc1002883002"/>
      <w:bookmarkStart w:id="1693" w:name="_Toc6079"/>
      <w:bookmarkStart w:id="1694" w:name="_Toc530747158"/>
      <w:bookmarkStart w:id="1695" w:name="_Toc1993002720"/>
      <w:bookmarkStart w:id="1696" w:name="_Toc1160419689"/>
      <w:bookmarkStart w:id="1697" w:name="_Toc2016093024"/>
      <w:bookmarkStart w:id="1698" w:name="_Toc16170"/>
      <w:bookmarkStart w:id="1699" w:name="_Toc1486570482"/>
      <w:bookmarkStart w:id="1700" w:name="_Toc14824"/>
      <w:bookmarkStart w:id="1701" w:name="_Toc18521"/>
      <w:bookmarkStart w:id="1702" w:name="_Toc29983"/>
      <w:bookmarkStart w:id="1703" w:name="_Toc736732088"/>
      <w:r>
        <w:rPr>
          <w:rFonts w:hint="eastAsia" w:ascii="方正公文小标宋" w:hAnsi="方正公文小标宋" w:eastAsia="方正公文小标宋"/>
          <w:sz w:val="36"/>
          <w:szCs w:val="36"/>
        </w:rPr>
        <w:t xml:space="preserve">目 </w:t>
      </w:r>
      <w:r>
        <w:rPr>
          <w:rFonts w:ascii="方正公文小标宋" w:hAnsi="方正公文小标宋" w:eastAsia="方正公文小标宋"/>
          <w:sz w:val="36"/>
          <w:szCs w:val="36"/>
        </w:rPr>
        <w:t xml:space="preserve"> </w:t>
      </w:r>
      <w:r>
        <w:rPr>
          <w:rFonts w:hint="eastAsia" w:ascii="方正公文小标宋" w:hAnsi="方正公文小标宋" w:eastAsia="方正公文小标宋"/>
          <w:sz w:val="36"/>
          <w:szCs w:val="36"/>
        </w:rPr>
        <w:t>录</w:t>
      </w:r>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p>
    <w:p w14:paraId="2A6C810A">
      <w:pPr>
        <w:ind w:firstLine="480"/>
      </w:pPr>
      <w:r>
        <w:rPr>
          <w:rFonts w:hint="eastAsia"/>
        </w:rPr>
        <w:t>投标人自行生成文件目录放置于此处。</w:t>
      </w:r>
    </w:p>
    <w:p w14:paraId="42C34BFA">
      <w:pPr>
        <w:pStyle w:val="5"/>
        <w:pageBreakBefore/>
        <w:spacing w:line="400" w:lineRule="exact"/>
        <w:ind w:firstLine="0" w:firstLineChars="0"/>
        <w:jc w:val="center"/>
        <w:rPr>
          <w:szCs w:val="28"/>
        </w:rPr>
      </w:pPr>
      <w:bookmarkStart w:id="1704" w:name="_Toc11936"/>
      <w:bookmarkStart w:id="1705" w:name="_Toc4204"/>
      <w:bookmarkStart w:id="1706" w:name="_Toc1767898515"/>
      <w:bookmarkStart w:id="1707" w:name="_Toc10510"/>
      <w:bookmarkStart w:id="1708" w:name="_Toc457753978"/>
      <w:bookmarkStart w:id="1709" w:name="_Toc24396"/>
      <w:bookmarkStart w:id="1710" w:name="_Toc2094272781"/>
      <w:bookmarkStart w:id="1711" w:name="_Toc965341776"/>
      <w:bookmarkStart w:id="1712" w:name="_Toc1478472002"/>
      <w:bookmarkStart w:id="1713" w:name="_Toc27301"/>
      <w:bookmarkStart w:id="1714" w:name="_Toc6425"/>
      <w:bookmarkStart w:id="1715" w:name="_Toc17319"/>
      <w:bookmarkStart w:id="1716" w:name="_Toc1188113504"/>
      <w:bookmarkStart w:id="1717" w:name="_Toc10772"/>
      <w:bookmarkStart w:id="1718" w:name="_Toc2012978061"/>
      <w:bookmarkStart w:id="1719" w:name="_Toc8131"/>
      <w:bookmarkStart w:id="1720" w:name="_Toc1874714616"/>
      <w:bookmarkStart w:id="1721" w:name="_Toc2002952958"/>
      <w:r>
        <w:rPr>
          <w:szCs w:val="28"/>
        </w:rPr>
        <w:t>索引表</w:t>
      </w:r>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p>
    <w:p w14:paraId="34DB245E">
      <w:pPr>
        <w:ind w:firstLine="480"/>
        <w:jc w:val="center"/>
        <w:rPr>
          <w:b/>
          <w:bCs/>
          <w:color w:val="auto"/>
          <w:szCs w:val="22"/>
        </w:rPr>
      </w:pPr>
      <w:r>
        <w:rPr>
          <w:b/>
          <w:bCs/>
          <w:color w:val="auto"/>
          <w:szCs w:val="22"/>
        </w:rPr>
        <w:t>下列索引表为必填项。</w:t>
      </w:r>
    </w:p>
    <w:p w14:paraId="41DF0A0D">
      <w:pPr>
        <w:pStyle w:val="5"/>
        <w:spacing w:line="400" w:lineRule="exact"/>
        <w:ind w:firstLine="0" w:firstLineChars="0"/>
        <w:jc w:val="center"/>
        <w:rPr>
          <w:color w:val="auto"/>
          <w:szCs w:val="28"/>
        </w:rPr>
      </w:pPr>
      <w:bookmarkStart w:id="1722" w:name="_Toc448482328"/>
      <w:bookmarkStart w:id="1723" w:name="_Toc24312"/>
      <w:bookmarkStart w:id="1724" w:name="_Toc486601713"/>
      <w:bookmarkStart w:id="1725" w:name="_Toc1824198381"/>
      <w:bookmarkStart w:id="1726" w:name="_Toc14058"/>
      <w:bookmarkStart w:id="1727" w:name="_Toc1185655937"/>
      <w:bookmarkStart w:id="1728" w:name="_Toc18640"/>
      <w:bookmarkStart w:id="1729" w:name="_Toc136"/>
      <w:bookmarkStart w:id="1730" w:name="_Toc664896389"/>
      <w:bookmarkStart w:id="1731" w:name="_Toc145658177"/>
      <w:bookmarkStart w:id="1732" w:name="_Toc17128"/>
      <w:bookmarkStart w:id="1733" w:name="_Toc24631"/>
      <w:bookmarkStart w:id="1734" w:name="_Toc260276147"/>
      <w:bookmarkStart w:id="1735" w:name="_Toc1320711922"/>
      <w:bookmarkStart w:id="1736" w:name="_Toc8818"/>
      <w:bookmarkStart w:id="1737" w:name="_Toc1184684692"/>
      <w:bookmarkStart w:id="1738" w:name="_Toc5938"/>
      <w:bookmarkStart w:id="1739" w:name="_Toc2536"/>
      <w:bookmarkStart w:id="1740" w:name="_Toc20522"/>
      <w:r>
        <w:rPr>
          <w:color w:val="auto"/>
          <w:szCs w:val="28"/>
        </w:rPr>
        <w:t>索引表1-投标人资格要求内容</w:t>
      </w:r>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Start w:id="1741" w:name="_Hlk112771186"/>
    </w:p>
    <w:p w14:paraId="583E6B64">
      <w:pPr>
        <w:ind w:firstLine="480"/>
        <w:jc w:val="center"/>
        <w:rPr>
          <w:b/>
          <w:bCs/>
          <w:color w:val="auto"/>
          <w:szCs w:val="22"/>
        </w:rPr>
      </w:pPr>
      <w:r>
        <w:rPr>
          <w:rFonts w:hint="eastAsia"/>
          <w:b/>
          <w:bCs/>
          <w:color w:val="auto"/>
          <w:szCs w:val="22"/>
        </w:rPr>
        <w:t>（详见第一章 投标人资格要求）</w:t>
      </w:r>
    </w:p>
    <w:tbl>
      <w:tblPr>
        <w:tblStyle w:val="20"/>
        <w:tblW w:w="95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1352"/>
        <w:gridCol w:w="6143"/>
        <w:gridCol w:w="1298"/>
      </w:tblGrid>
      <w:tr w14:paraId="0D0F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2BE902B4">
            <w:pPr>
              <w:ind w:firstLine="0" w:firstLineChars="0"/>
              <w:jc w:val="center"/>
              <w:rPr>
                <w:rFonts w:cs="华文宋体"/>
                <w:b/>
                <w:bCs/>
                <w:color w:val="000000"/>
                <w:szCs w:val="21"/>
              </w:rPr>
            </w:pPr>
            <w:r>
              <w:rPr>
                <w:rFonts w:hint="eastAsia" w:cs="华文宋体"/>
                <w:b/>
                <w:bCs/>
                <w:szCs w:val="21"/>
              </w:rPr>
              <w:t>序号</w:t>
            </w:r>
          </w:p>
        </w:tc>
        <w:tc>
          <w:tcPr>
            <w:tcW w:w="1352" w:type="dxa"/>
            <w:tcBorders>
              <w:top w:val="single" w:color="auto" w:sz="4" w:space="0"/>
              <w:left w:val="single" w:color="auto" w:sz="4" w:space="0"/>
              <w:bottom w:val="single" w:color="auto" w:sz="4" w:space="0"/>
              <w:right w:val="single" w:color="auto" w:sz="4" w:space="0"/>
            </w:tcBorders>
            <w:vAlign w:val="center"/>
          </w:tcPr>
          <w:p w14:paraId="77E8512E">
            <w:pPr>
              <w:ind w:firstLine="0" w:firstLineChars="0"/>
              <w:jc w:val="center"/>
              <w:rPr>
                <w:rFonts w:cs="华文宋体"/>
                <w:b/>
                <w:bCs/>
                <w:color w:val="000000"/>
                <w:szCs w:val="21"/>
              </w:rPr>
            </w:pPr>
            <w:r>
              <w:rPr>
                <w:rFonts w:hint="eastAsia" w:cs="华文宋体"/>
                <w:b/>
                <w:bCs/>
                <w:color w:val="000000"/>
                <w:szCs w:val="21"/>
              </w:rPr>
              <w:t>评审条款</w:t>
            </w:r>
          </w:p>
        </w:tc>
        <w:tc>
          <w:tcPr>
            <w:tcW w:w="6143" w:type="dxa"/>
            <w:tcBorders>
              <w:top w:val="single" w:color="auto" w:sz="4" w:space="0"/>
              <w:left w:val="single" w:color="auto" w:sz="4" w:space="0"/>
              <w:bottom w:val="single" w:color="auto" w:sz="4" w:space="0"/>
              <w:right w:val="single" w:color="auto" w:sz="4" w:space="0"/>
            </w:tcBorders>
            <w:vAlign w:val="center"/>
          </w:tcPr>
          <w:p w14:paraId="32C1EBEE">
            <w:pPr>
              <w:ind w:firstLine="0" w:firstLineChars="0"/>
              <w:jc w:val="center"/>
              <w:rPr>
                <w:rFonts w:cs="华文宋体"/>
                <w:b/>
                <w:bCs/>
                <w:color w:val="000000"/>
                <w:szCs w:val="21"/>
              </w:rPr>
            </w:pPr>
            <w:r>
              <w:rPr>
                <w:rFonts w:hint="eastAsia" w:cs="华文宋体"/>
                <w:b/>
                <w:bCs/>
                <w:szCs w:val="21"/>
              </w:rPr>
              <w:t>评审内容</w:t>
            </w:r>
          </w:p>
        </w:tc>
        <w:tc>
          <w:tcPr>
            <w:tcW w:w="1298" w:type="dxa"/>
            <w:tcBorders>
              <w:top w:val="single" w:color="auto" w:sz="4" w:space="0"/>
              <w:left w:val="single" w:color="auto" w:sz="4" w:space="0"/>
              <w:bottom w:val="single" w:color="auto" w:sz="4" w:space="0"/>
              <w:right w:val="single" w:color="auto" w:sz="4" w:space="0"/>
            </w:tcBorders>
            <w:vAlign w:val="center"/>
          </w:tcPr>
          <w:p w14:paraId="53F8C352">
            <w:pPr>
              <w:ind w:firstLine="0" w:firstLineChars="0"/>
              <w:jc w:val="center"/>
              <w:rPr>
                <w:rFonts w:cs="华文宋体"/>
                <w:b/>
                <w:bCs/>
                <w:szCs w:val="21"/>
              </w:rPr>
            </w:pPr>
            <w:r>
              <w:rPr>
                <w:rFonts w:hint="eastAsia" w:cs="华文宋体"/>
                <w:b/>
                <w:bCs/>
                <w:szCs w:val="21"/>
              </w:rPr>
              <w:t>索引页码</w:t>
            </w:r>
          </w:p>
        </w:tc>
      </w:tr>
      <w:tr w14:paraId="274E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6D16315B">
            <w:pPr>
              <w:pStyle w:val="17"/>
              <w:spacing w:before="0" w:beforeAutospacing="0" w:after="0" w:afterAutospacing="0" w:line="400" w:lineRule="exact"/>
              <w:ind w:firstLine="0" w:firstLineChars="0"/>
              <w:jc w:val="center"/>
              <w:rPr>
                <w:rFonts w:cs="华文宋体"/>
                <w:sz w:val="21"/>
                <w:szCs w:val="21"/>
              </w:rPr>
            </w:pPr>
            <w:r>
              <w:rPr>
                <w:rFonts w:cs="华文宋体"/>
                <w:sz w:val="21"/>
                <w:szCs w:val="21"/>
              </w:rPr>
              <w:t>1</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center"/>
          </w:tcPr>
          <w:p w14:paraId="1B67ABF7">
            <w:pPr>
              <w:spacing w:line="440" w:lineRule="exact"/>
              <w:ind w:firstLine="0" w:firstLineChars="0"/>
              <w:jc w:val="center"/>
              <w:rPr>
                <w:rFonts w:hint="default" w:ascii="Times New Roman" w:hAnsi="Times New Roman" w:eastAsia="华文宋体" w:cs="Times New Roman"/>
                <w:kern w:val="2"/>
                <w:sz w:val="24"/>
                <w:lang w:val="en-US" w:eastAsia="zh-CN" w:bidi="ar-SA"/>
              </w:rPr>
            </w:pPr>
            <w:r>
              <w:t>资质要求</w:t>
            </w:r>
          </w:p>
        </w:tc>
        <w:tc>
          <w:tcPr>
            <w:tcW w:w="6143" w:type="dxa"/>
            <w:tcBorders>
              <w:top w:val="single" w:color="auto" w:sz="4" w:space="0"/>
              <w:left w:val="single" w:color="auto" w:sz="4" w:space="0"/>
              <w:bottom w:val="single" w:color="auto" w:sz="4" w:space="0"/>
              <w:right w:val="single" w:color="auto" w:sz="4" w:space="0"/>
            </w:tcBorders>
            <w:shd w:val="clear" w:color="auto" w:fill="auto"/>
            <w:vAlign w:val="center"/>
          </w:tcPr>
          <w:p w14:paraId="29E5C620">
            <w:pPr>
              <w:wordWrap/>
              <w:snapToGrid/>
              <w:ind w:firstLine="0" w:firstLineChars="0"/>
              <w:rPr>
                <w:rFonts w:hint="default" w:ascii="Times New Roman" w:hAnsi="Times New Roman" w:eastAsia="华文宋体" w:cs="Times New Roman"/>
                <w:kern w:val="2"/>
                <w:sz w:val="24"/>
                <w:lang w:val="en-US" w:eastAsia="zh-CN" w:bidi="ar-SA"/>
              </w:rPr>
            </w:pPr>
            <w:r>
              <w:rPr>
                <w:rFonts w:hint="eastAsia"/>
              </w:rPr>
              <w:t>投标人必须是在中华人民共和国境内注册，具有合法经营资格的国内独立法人的企业，投标人应提供营业执照副本，营业期限应在有效期范围内；</w:t>
            </w:r>
          </w:p>
        </w:tc>
        <w:tc>
          <w:tcPr>
            <w:tcW w:w="1298" w:type="dxa"/>
            <w:tcBorders>
              <w:top w:val="single" w:color="auto" w:sz="4" w:space="0"/>
              <w:left w:val="single" w:color="auto" w:sz="4" w:space="0"/>
              <w:bottom w:val="single" w:color="auto" w:sz="4" w:space="0"/>
              <w:right w:val="single" w:color="auto" w:sz="4" w:space="0"/>
            </w:tcBorders>
            <w:vAlign w:val="center"/>
          </w:tcPr>
          <w:p w14:paraId="0D34D968">
            <w:pPr>
              <w:pStyle w:val="17"/>
              <w:spacing w:before="0" w:beforeAutospacing="0" w:after="0" w:afterAutospacing="0" w:line="400" w:lineRule="exact"/>
              <w:ind w:firstLine="0" w:firstLineChars="0"/>
              <w:jc w:val="both"/>
              <w:rPr>
                <w:kern w:val="2"/>
                <w:szCs w:val="24"/>
              </w:rPr>
            </w:pPr>
          </w:p>
        </w:tc>
      </w:tr>
      <w:tr w14:paraId="0C1F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2B4F708B">
            <w:pPr>
              <w:pStyle w:val="17"/>
              <w:spacing w:before="0" w:beforeAutospacing="0" w:after="0" w:afterAutospacing="0" w:line="400" w:lineRule="exact"/>
              <w:ind w:firstLine="0" w:firstLineChars="0"/>
              <w:jc w:val="center"/>
              <w:rPr>
                <w:rFonts w:cs="华文宋体"/>
                <w:sz w:val="21"/>
                <w:szCs w:val="21"/>
              </w:rPr>
            </w:pPr>
            <w:r>
              <w:rPr>
                <w:rFonts w:cs="华文宋体"/>
                <w:sz w:val="21"/>
                <w:szCs w:val="21"/>
              </w:rPr>
              <w:t>2</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center"/>
          </w:tcPr>
          <w:p w14:paraId="2EC00599">
            <w:pPr>
              <w:spacing w:line="440" w:lineRule="exact"/>
              <w:ind w:firstLine="0" w:firstLineChars="0"/>
              <w:jc w:val="center"/>
              <w:rPr>
                <w:rFonts w:hint="default" w:ascii="Times New Roman" w:hAnsi="Times New Roman" w:eastAsia="华文宋体" w:cs="Times New Roman"/>
                <w:kern w:val="2"/>
                <w:sz w:val="24"/>
                <w:lang w:val="en-US" w:eastAsia="zh-CN" w:bidi="ar-SA"/>
              </w:rPr>
            </w:pPr>
            <w:r>
              <w:t>信誉要求</w:t>
            </w:r>
          </w:p>
        </w:tc>
        <w:tc>
          <w:tcPr>
            <w:tcW w:w="6143" w:type="dxa"/>
            <w:tcBorders>
              <w:top w:val="single" w:color="auto" w:sz="4" w:space="0"/>
              <w:left w:val="single" w:color="auto" w:sz="4" w:space="0"/>
              <w:bottom w:val="single" w:color="auto" w:sz="4" w:space="0"/>
              <w:right w:val="single" w:color="auto" w:sz="4" w:space="0"/>
            </w:tcBorders>
            <w:shd w:val="clear" w:color="auto" w:fill="auto"/>
            <w:vAlign w:val="center"/>
          </w:tcPr>
          <w:p w14:paraId="16837F89">
            <w:pPr>
              <w:wordWrap/>
              <w:snapToGrid/>
              <w:ind w:firstLine="0" w:firstLineChars="0"/>
              <w:rPr>
                <w:rFonts w:hint="default" w:ascii="Times New Roman" w:hAnsi="Times New Roman" w:eastAsia="华文宋体" w:cs="Times New Roman"/>
                <w:kern w:val="2"/>
                <w:sz w:val="24"/>
                <w:lang w:val="en-US" w:eastAsia="zh-CN" w:bidi="ar-SA"/>
              </w:rPr>
            </w:pPr>
            <w:r>
              <w:t>投标人未列入发改委和人行“信用中国”网</w:t>
            </w:r>
            <w:r>
              <w:rPr>
                <w:rFonts w:hint="eastAsia"/>
              </w:rPr>
              <w:t>（</w:t>
            </w:r>
            <w:r>
              <w:t>www.creditchina.gov.cn</w:t>
            </w:r>
            <w:r>
              <w:rPr>
                <w:rFonts w:hint="eastAsia"/>
              </w:rPr>
              <w:t>）</w:t>
            </w:r>
            <w:r>
              <w:t>严重失信名单，提供</w:t>
            </w:r>
            <w:r>
              <w:rPr>
                <w:rFonts w:hint="eastAsia"/>
              </w:rPr>
              <w:t>信用报告（下载路径：登录网站-右上角信用信息输入公司名称-点击搜索-下载信用信息报告）；</w:t>
            </w:r>
          </w:p>
        </w:tc>
        <w:tc>
          <w:tcPr>
            <w:tcW w:w="1298" w:type="dxa"/>
            <w:tcBorders>
              <w:top w:val="single" w:color="auto" w:sz="4" w:space="0"/>
              <w:left w:val="single" w:color="auto" w:sz="4" w:space="0"/>
              <w:bottom w:val="single" w:color="auto" w:sz="4" w:space="0"/>
              <w:right w:val="single" w:color="auto" w:sz="4" w:space="0"/>
            </w:tcBorders>
            <w:vAlign w:val="center"/>
          </w:tcPr>
          <w:p w14:paraId="1BB94894">
            <w:pPr>
              <w:pStyle w:val="17"/>
              <w:spacing w:before="0" w:beforeAutospacing="0" w:after="0" w:afterAutospacing="0" w:line="400" w:lineRule="exact"/>
              <w:ind w:firstLine="0" w:firstLineChars="0"/>
              <w:jc w:val="both"/>
              <w:rPr>
                <w:kern w:val="2"/>
                <w:szCs w:val="24"/>
              </w:rPr>
            </w:pPr>
          </w:p>
        </w:tc>
      </w:tr>
      <w:tr w14:paraId="4F31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121BDEFF">
            <w:pPr>
              <w:pStyle w:val="17"/>
              <w:spacing w:before="0" w:beforeAutospacing="0" w:after="0" w:afterAutospacing="0" w:line="400" w:lineRule="exact"/>
              <w:ind w:firstLine="0" w:firstLineChars="0"/>
              <w:jc w:val="center"/>
              <w:rPr>
                <w:rFonts w:cs="华文宋体"/>
                <w:sz w:val="21"/>
                <w:szCs w:val="21"/>
              </w:rPr>
            </w:pPr>
            <w:r>
              <w:rPr>
                <w:rFonts w:cs="华文宋体"/>
                <w:sz w:val="21"/>
                <w:szCs w:val="21"/>
              </w:rPr>
              <w:t>3</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center"/>
          </w:tcPr>
          <w:p w14:paraId="0FD796A2">
            <w:pPr>
              <w:spacing w:line="440" w:lineRule="exact"/>
              <w:ind w:firstLine="0" w:firstLineChars="0"/>
              <w:jc w:val="center"/>
              <w:rPr>
                <w:rFonts w:hint="eastAsia" w:ascii="Times New Roman" w:hAnsi="Times New Roman" w:eastAsia="华文宋体" w:cs="Times New Roman"/>
                <w:kern w:val="2"/>
                <w:sz w:val="24"/>
                <w:lang w:val="en-US" w:eastAsia="zh-CN" w:bidi="ar-SA"/>
              </w:rPr>
            </w:pPr>
            <w:r>
              <w:rPr>
                <w:rFonts w:hint="eastAsia"/>
              </w:rPr>
              <w:t>业务要求</w:t>
            </w:r>
          </w:p>
        </w:tc>
        <w:tc>
          <w:tcPr>
            <w:tcW w:w="6143" w:type="dxa"/>
            <w:tcBorders>
              <w:top w:val="single" w:color="auto" w:sz="4" w:space="0"/>
              <w:left w:val="single" w:color="auto" w:sz="4" w:space="0"/>
              <w:bottom w:val="single" w:color="auto" w:sz="4" w:space="0"/>
              <w:right w:val="single" w:color="auto" w:sz="4" w:space="0"/>
            </w:tcBorders>
            <w:shd w:val="clear" w:color="auto" w:fill="auto"/>
            <w:vAlign w:val="center"/>
          </w:tcPr>
          <w:p w14:paraId="35EB96B0">
            <w:pPr>
              <w:pStyle w:val="26"/>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Arial Rounded MT Bold" w:hAnsi="Arial Rounded MT Bold" w:eastAsia="宋体" w:cs="Times New Roman"/>
                <w:kern w:val="2"/>
                <w:sz w:val="21"/>
                <w:szCs w:val="22"/>
                <w:lang w:val="en-US" w:eastAsia="zh-CN" w:bidi="ar-SA"/>
              </w:rPr>
            </w:pPr>
            <w:r>
              <w:rPr>
                <w:rFonts w:hint="eastAsia" w:ascii="Times New Roman" w:hAnsi="Times New Roman" w:eastAsia="华文宋体" w:cs="Times New Roman"/>
                <w:kern w:val="0"/>
                <w:sz w:val="24"/>
                <w:szCs w:val="20"/>
                <w:lang w:val="en-US" w:eastAsia="zh-CN" w:bidi="ar-SA"/>
              </w:rPr>
              <w:t>投标人须具有信息系统二次开发能力，须提供自2023年1月1日至投标截止之日（以合同签订时间为准）已完工的至少1份“三维研发类产品配置管理系统有效业绩”；该有效业绩是指合同内容包含三维研发类产品配置管理系统的实施、二次开发、系统集成或运维服务，且能体现与三维研发设计平台（如三维CAD/PLM等）进行数据集成或二次开发内容的项目业绩。证明材料须提供合同关键页扫描件（含甲乙双方签章、签约日期、采购标的及服务内容）及发票、项目竣工验收单或甲方使用证明任选其一作为配套佐证材料；业绩主体须为投标人本身，材料须加盖投标人公章，否则不予认可。</w:t>
            </w:r>
          </w:p>
        </w:tc>
        <w:tc>
          <w:tcPr>
            <w:tcW w:w="1298" w:type="dxa"/>
            <w:tcBorders>
              <w:top w:val="single" w:color="auto" w:sz="4" w:space="0"/>
              <w:left w:val="single" w:color="auto" w:sz="4" w:space="0"/>
              <w:bottom w:val="single" w:color="auto" w:sz="4" w:space="0"/>
              <w:right w:val="single" w:color="auto" w:sz="4" w:space="0"/>
            </w:tcBorders>
            <w:vAlign w:val="center"/>
          </w:tcPr>
          <w:p w14:paraId="672DD488">
            <w:pPr>
              <w:spacing w:line="400" w:lineRule="exact"/>
              <w:ind w:firstLine="0" w:firstLineChars="0"/>
              <w:rPr>
                <w:szCs w:val="24"/>
              </w:rPr>
            </w:pPr>
          </w:p>
        </w:tc>
      </w:tr>
      <w:tr w14:paraId="7BDD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53A5C1EF">
            <w:pPr>
              <w:pStyle w:val="17"/>
              <w:spacing w:before="0" w:beforeAutospacing="0" w:after="0" w:afterAutospacing="0" w:line="400" w:lineRule="exact"/>
              <w:ind w:firstLine="0" w:firstLineChars="0"/>
              <w:jc w:val="center"/>
              <w:rPr>
                <w:rFonts w:cs="华文宋体"/>
                <w:sz w:val="21"/>
                <w:szCs w:val="21"/>
              </w:rPr>
            </w:pPr>
            <w:r>
              <w:rPr>
                <w:rFonts w:cs="华文宋体"/>
                <w:sz w:val="21"/>
                <w:szCs w:val="21"/>
              </w:rPr>
              <w:t>4</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center"/>
          </w:tcPr>
          <w:p w14:paraId="01CD8625">
            <w:pPr>
              <w:spacing w:line="440" w:lineRule="exact"/>
              <w:ind w:firstLine="0" w:firstLineChars="0"/>
              <w:jc w:val="center"/>
              <w:rPr>
                <w:rFonts w:hint="default" w:ascii="Times New Roman" w:hAnsi="Times New Roman" w:eastAsia="华文宋体" w:cs="Times New Roman"/>
                <w:kern w:val="2"/>
                <w:sz w:val="24"/>
                <w:lang w:val="en-US" w:eastAsia="zh-CN" w:bidi="ar-SA"/>
              </w:rPr>
            </w:pPr>
            <w:r>
              <w:rPr>
                <w:rFonts w:hint="eastAsia"/>
              </w:rPr>
              <w:t>财务要求</w:t>
            </w:r>
          </w:p>
        </w:tc>
        <w:tc>
          <w:tcPr>
            <w:tcW w:w="6143" w:type="dxa"/>
            <w:tcBorders>
              <w:top w:val="single" w:color="auto" w:sz="4" w:space="0"/>
              <w:left w:val="single" w:color="auto" w:sz="4" w:space="0"/>
              <w:bottom w:val="single" w:color="auto" w:sz="4" w:space="0"/>
              <w:right w:val="single" w:color="auto" w:sz="4" w:space="0"/>
            </w:tcBorders>
            <w:shd w:val="clear" w:color="auto" w:fill="auto"/>
            <w:vAlign w:val="center"/>
          </w:tcPr>
          <w:p w14:paraId="7D27B9CD">
            <w:pPr>
              <w:ind w:firstLine="0" w:firstLineChars="0"/>
              <w:rPr>
                <w:rFonts w:hint="default" w:ascii="Times New Roman" w:hAnsi="Times New Roman" w:eastAsia="华文宋体" w:cs="Times New Roman"/>
                <w:kern w:val="2"/>
                <w:sz w:val="24"/>
                <w:lang w:val="en-US" w:eastAsia="zh-CN" w:bidi="ar-SA"/>
              </w:rPr>
            </w:pPr>
            <w:r>
              <w:rPr>
                <w:rFonts w:hint="eastAsia"/>
              </w:rPr>
              <w:t>/。</w:t>
            </w:r>
          </w:p>
        </w:tc>
        <w:tc>
          <w:tcPr>
            <w:tcW w:w="1298" w:type="dxa"/>
            <w:tcBorders>
              <w:top w:val="single" w:color="auto" w:sz="4" w:space="0"/>
              <w:left w:val="single" w:color="auto" w:sz="4" w:space="0"/>
              <w:bottom w:val="single" w:color="auto" w:sz="4" w:space="0"/>
              <w:right w:val="single" w:color="auto" w:sz="4" w:space="0"/>
            </w:tcBorders>
            <w:vAlign w:val="center"/>
          </w:tcPr>
          <w:p w14:paraId="7678CDEC">
            <w:pPr>
              <w:spacing w:line="400" w:lineRule="exact"/>
              <w:ind w:firstLine="0" w:firstLineChars="0"/>
              <w:rPr>
                <w:szCs w:val="24"/>
              </w:rPr>
            </w:pPr>
          </w:p>
        </w:tc>
      </w:tr>
      <w:tr w14:paraId="0C05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1F878C5C">
            <w:pPr>
              <w:pStyle w:val="17"/>
              <w:spacing w:before="0" w:beforeAutospacing="0" w:after="0" w:afterAutospacing="0" w:line="400" w:lineRule="exact"/>
              <w:ind w:firstLine="0" w:firstLineChars="0"/>
              <w:jc w:val="center"/>
              <w:rPr>
                <w:rFonts w:hint="default" w:cs="华文宋体"/>
                <w:sz w:val="21"/>
                <w:szCs w:val="21"/>
                <w:lang w:val="en-US" w:eastAsia="zh-CN"/>
              </w:rPr>
            </w:pPr>
            <w:r>
              <w:rPr>
                <w:rFonts w:hint="eastAsia" w:cs="华文宋体"/>
                <w:sz w:val="21"/>
                <w:szCs w:val="21"/>
                <w:lang w:val="en-US" w:eastAsia="zh-CN"/>
              </w:rPr>
              <w:t>5</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center"/>
          </w:tcPr>
          <w:p w14:paraId="45764C6F">
            <w:pPr>
              <w:spacing w:line="440" w:lineRule="exact"/>
              <w:ind w:firstLine="0" w:firstLineChars="0"/>
              <w:jc w:val="center"/>
              <w:rPr>
                <w:rFonts w:hint="eastAsia" w:ascii="Times New Roman" w:hAnsi="Times New Roman" w:eastAsia="华文宋体" w:cs="Times New Roman"/>
                <w:kern w:val="2"/>
                <w:sz w:val="24"/>
                <w:lang w:val="en-US" w:eastAsia="zh-CN" w:bidi="ar-SA"/>
              </w:rPr>
            </w:pPr>
            <w:r>
              <w:rPr>
                <w:rFonts w:hint="eastAsia"/>
              </w:rPr>
              <w:t>人员要求</w:t>
            </w:r>
          </w:p>
        </w:tc>
        <w:tc>
          <w:tcPr>
            <w:tcW w:w="6143" w:type="dxa"/>
            <w:tcBorders>
              <w:top w:val="single" w:color="auto" w:sz="4" w:space="0"/>
              <w:left w:val="single" w:color="auto" w:sz="4" w:space="0"/>
              <w:bottom w:val="single" w:color="auto" w:sz="4" w:space="0"/>
              <w:right w:val="single" w:color="auto" w:sz="4" w:space="0"/>
            </w:tcBorders>
            <w:shd w:val="clear" w:color="auto" w:fill="auto"/>
            <w:vAlign w:val="center"/>
          </w:tcPr>
          <w:p w14:paraId="5EA8D55C">
            <w:pPr>
              <w:numPr>
                <w:ilvl w:val="255"/>
                <w:numId w:val="0"/>
              </w:numPr>
              <w:ind w:left="0" w:leftChars="0" w:firstLine="0" w:firstLineChars="0"/>
              <w:jc w:val="left"/>
              <w:rPr>
                <w:rFonts w:hint="eastAsia" w:ascii="Times New Roman" w:hAnsi="Times New Roman" w:eastAsia="华文宋体" w:cs="Times New Roman"/>
                <w:kern w:val="2"/>
                <w:sz w:val="24"/>
                <w:lang w:val="en-US" w:eastAsia="zh-CN" w:bidi="ar-SA"/>
              </w:rPr>
            </w:pPr>
            <w:r>
              <w:rPr>
                <w:rFonts w:hint="eastAsia"/>
              </w:rPr>
              <w:t>/。</w:t>
            </w:r>
          </w:p>
        </w:tc>
        <w:tc>
          <w:tcPr>
            <w:tcW w:w="1298" w:type="dxa"/>
            <w:tcBorders>
              <w:top w:val="single" w:color="auto" w:sz="4" w:space="0"/>
              <w:left w:val="single" w:color="auto" w:sz="4" w:space="0"/>
              <w:bottom w:val="single" w:color="auto" w:sz="4" w:space="0"/>
              <w:right w:val="single" w:color="auto" w:sz="4" w:space="0"/>
            </w:tcBorders>
            <w:vAlign w:val="center"/>
          </w:tcPr>
          <w:p w14:paraId="33FC9E5C">
            <w:pPr>
              <w:spacing w:line="400" w:lineRule="exact"/>
              <w:ind w:firstLine="0" w:firstLineChars="0"/>
              <w:rPr>
                <w:szCs w:val="24"/>
              </w:rPr>
            </w:pPr>
          </w:p>
        </w:tc>
      </w:tr>
      <w:tr w14:paraId="603B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5D96636E">
            <w:pPr>
              <w:pStyle w:val="17"/>
              <w:spacing w:before="0" w:beforeAutospacing="0" w:after="0" w:afterAutospacing="0" w:line="400" w:lineRule="exact"/>
              <w:ind w:firstLine="0" w:firstLineChars="0"/>
              <w:jc w:val="center"/>
              <w:rPr>
                <w:rFonts w:hint="default" w:cs="华文宋体"/>
                <w:sz w:val="21"/>
                <w:szCs w:val="21"/>
                <w:lang w:val="en-US" w:eastAsia="zh-CN"/>
              </w:rPr>
            </w:pPr>
            <w:r>
              <w:rPr>
                <w:rFonts w:hint="eastAsia" w:cs="华文宋体"/>
                <w:sz w:val="21"/>
                <w:szCs w:val="21"/>
                <w:lang w:val="en-US" w:eastAsia="zh-CN"/>
              </w:rPr>
              <w:t>6</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center"/>
          </w:tcPr>
          <w:p w14:paraId="2A81414E">
            <w:pPr>
              <w:spacing w:line="440" w:lineRule="exact"/>
              <w:ind w:firstLine="0" w:firstLineChars="0"/>
              <w:jc w:val="center"/>
              <w:rPr>
                <w:rFonts w:hint="eastAsia" w:ascii="Times New Roman" w:hAnsi="Times New Roman" w:eastAsia="华文宋体" w:cs="Times New Roman"/>
                <w:kern w:val="2"/>
                <w:sz w:val="24"/>
                <w:lang w:val="en-US" w:eastAsia="zh-CN" w:bidi="ar-SA"/>
              </w:rPr>
            </w:pPr>
            <w:r>
              <w:rPr>
                <w:rFonts w:hint="eastAsia"/>
              </w:rPr>
              <w:t>设备要求</w:t>
            </w:r>
          </w:p>
        </w:tc>
        <w:tc>
          <w:tcPr>
            <w:tcW w:w="6143" w:type="dxa"/>
            <w:tcBorders>
              <w:top w:val="single" w:color="auto" w:sz="4" w:space="0"/>
              <w:left w:val="single" w:color="auto" w:sz="4" w:space="0"/>
              <w:bottom w:val="single" w:color="auto" w:sz="4" w:space="0"/>
              <w:right w:val="single" w:color="auto" w:sz="4" w:space="0"/>
            </w:tcBorders>
            <w:shd w:val="clear" w:color="auto" w:fill="auto"/>
            <w:vAlign w:val="center"/>
          </w:tcPr>
          <w:p w14:paraId="2CE69708">
            <w:pPr>
              <w:numPr>
                <w:ilvl w:val="255"/>
                <w:numId w:val="0"/>
              </w:numPr>
              <w:ind w:left="0" w:leftChars="0" w:firstLine="0" w:firstLineChars="0"/>
              <w:rPr>
                <w:rFonts w:hint="eastAsia" w:ascii="Times New Roman" w:hAnsi="Times New Roman" w:eastAsia="华文宋体" w:cs="Times New Roman"/>
                <w:kern w:val="2"/>
                <w:sz w:val="24"/>
                <w:lang w:val="en-US" w:eastAsia="zh-CN" w:bidi="ar-SA"/>
              </w:rPr>
            </w:pPr>
            <w:r>
              <w:rPr>
                <w:rFonts w:hint="eastAsia"/>
              </w:rPr>
              <w:t>/。</w:t>
            </w:r>
          </w:p>
        </w:tc>
        <w:tc>
          <w:tcPr>
            <w:tcW w:w="1298" w:type="dxa"/>
            <w:tcBorders>
              <w:top w:val="single" w:color="auto" w:sz="4" w:space="0"/>
              <w:left w:val="single" w:color="auto" w:sz="4" w:space="0"/>
              <w:bottom w:val="single" w:color="auto" w:sz="4" w:space="0"/>
              <w:right w:val="single" w:color="auto" w:sz="4" w:space="0"/>
            </w:tcBorders>
            <w:vAlign w:val="center"/>
          </w:tcPr>
          <w:p w14:paraId="2812C80D">
            <w:pPr>
              <w:spacing w:line="400" w:lineRule="exact"/>
              <w:ind w:firstLine="0" w:firstLineChars="0"/>
              <w:rPr>
                <w:szCs w:val="24"/>
              </w:rPr>
            </w:pPr>
          </w:p>
        </w:tc>
      </w:tr>
      <w:tr w14:paraId="51B5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44" w:type="dxa"/>
            <w:tcBorders>
              <w:top w:val="single" w:color="auto" w:sz="4" w:space="0"/>
              <w:left w:val="single" w:color="auto" w:sz="4" w:space="0"/>
              <w:bottom w:val="single" w:color="auto" w:sz="4" w:space="0"/>
              <w:right w:val="single" w:color="auto" w:sz="4" w:space="0"/>
            </w:tcBorders>
            <w:vAlign w:val="center"/>
          </w:tcPr>
          <w:p w14:paraId="7473EC29">
            <w:pPr>
              <w:pStyle w:val="17"/>
              <w:spacing w:before="0" w:beforeAutospacing="0" w:after="0" w:afterAutospacing="0" w:line="400" w:lineRule="exact"/>
              <w:ind w:firstLine="0" w:firstLineChars="0"/>
              <w:jc w:val="center"/>
              <w:rPr>
                <w:rFonts w:hint="default" w:cs="华文宋体"/>
                <w:sz w:val="21"/>
                <w:szCs w:val="21"/>
                <w:lang w:val="en-US" w:eastAsia="zh-CN"/>
              </w:rPr>
            </w:pPr>
            <w:r>
              <w:rPr>
                <w:rFonts w:hint="eastAsia" w:cs="华文宋体"/>
                <w:sz w:val="21"/>
                <w:szCs w:val="21"/>
                <w:lang w:val="en-US" w:eastAsia="zh-CN"/>
              </w:rPr>
              <w:t>7</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center"/>
          </w:tcPr>
          <w:p w14:paraId="27765C48">
            <w:pPr>
              <w:spacing w:line="440" w:lineRule="exact"/>
              <w:ind w:firstLine="0" w:firstLineChars="0"/>
              <w:jc w:val="center"/>
              <w:rPr>
                <w:rFonts w:hint="eastAsia" w:ascii="Times New Roman" w:hAnsi="Times New Roman" w:eastAsia="华文宋体" w:cs="Times New Roman"/>
                <w:kern w:val="2"/>
                <w:sz w:val="24"/>
                <w:lang w:val="en-US" w:eastAsia="zh-CN" w:bidi="ar-SA"/>
              </w:rPr>
            </w:pPr>
            <w:r>
              <w:rPr>
                <w:spacing w:val="-7"/>
                <w:szCs w:val="21"/>
              </w:rPr>
              <w:t>其他要求</w:t>
            </w:r>
          </w:p>
        </w:tc>
        <w:tc>
          <w:tcPr>
            <w:tcW w:w="6143" w:type="dxa"/>
            <w:tcBorders>
              <w:top w:val="single" w:color="auto" w:sz="4" w:space="0"/>
              <w:left w:val="single" w:color="auto" w:sz="4" w:space="0"/>
              <w:bottom w:val="single" w:color="auto" w:sz="4" w:space="0"/>
              <w:right w:val="single" w:color="auto" w:sz="4" w:space="0"/>
            </w:tcBorders>
            <w:shd w:val="clear" w:color="auto" w:fill="auto"/>
            <w:vAlign w:val="center"/>
          </w:tcPr>
          <w:p w14:paraId="50C641AD">
            <w:pPr>
              <w:ind w:firstLine="0" w:firstLineChars="0"/>
            </w:pPr>
            <w:r>
              <w:t>提供以下内容的承诺函</w:t>
            </w:r>
            <w:r>
              <w:rPr>
                <w:rFonts w:hint="eastAsia"/>
              </w:rPr>
              <w:t>：</w:t>
            </w:r>
          </w:p>
          <w:p w14:paraId="64173B3B">
            <w:pPr>
              <w:ind w:firstLine="0" w:firstLineChars="0"/>
            </w:pPr>
            <w:r>
              <w:rPr>
                <w:rFonts w:hint="eastAsia"/>
              </w:rPr>
              <w:t>无不良违规记录承诺函：</w:t>
            </w:r>
            <w:r>
              <w:t>投标人在参与本次投标前三年内（2023年至今），不得出现下列任一情形（</w:t>
            </w:r>
            <w:r>
              <w:rPr>
                <w:rFonts w:hint="eastAsia"/>
              </w:rPr>
              <w:t>按照下列要求</w:t>
            </w:r>
            <w:r>
              <w:t>提供投标人无不良违规记录承诺</w:t>
            </w:r>
            <w:r>
              <w:rPr>
                <w:rFonts w:hint="eastAsia"/>
              </w:rPr>
              <w:t>）。</w:t>
            </w:r>
          </w:p>
          <w:p w14:paraId="599FE190">
            <w:pPr>
              <w:ind w:firstLine="0" w:firstLineChars="0"/>
            </w:pPr>
            <w:r>
              <w:t>（1）被依法暂停或者取消投标资格；</w:t>
            </w:r>
          </w:p>
          <w:p w14:paraId="0248907D">
            <w:pPr>
              <w:ind w:firstLine="0" w:firstLineChars="0"/>
            </w:pPr>
            <w:r>
              <w:t>（2）被责令停产停业、暂扣或者吊销许可证、暂扣或者吊销执照；</w:t>
            </w:r>
          </w:p>
          <w:p w14:paraId="5C33B2C8">
            <w:pPr>
              <w:ind w:firstLine="0" w:firstLineChars="0"/>
            </w:pPr>
            <w:r>
              <w:t>（3）进入清算程序，或被宣告破产，或其他丧失履约能力的情形；</w:t>
            </w:r>
          </w:p>
          <w:p w14:paraId="70D46C45">
            <w:pPr>
              <w:ind w:firstLine="0" w:firstLineChars="0"/>
            </w:pPr>
            <w:r>
              <w:t>（4）投标人或其法定代表人有行贿犯罪行为；</w:t>
            </w:r>
          </w:p>
          <w:p w14:paraId="53795D4B">
            <w:pPr>
              <w:spacing w:line="240" w:lineRule="auto"/>
              <w:ind w:firstLine="0" w:firstLineChars="0"/>
              <w:rPr>
                <w:rFonts w:hint="eastAsia" w:ascii="Times New Roman" w:hAnsi="Times New Roman" w:eastAsia="华文宋体" w:cs="Times New Roman"/>
                <w:kern w:val="2"/>
                <w:sz w:val="24"/>
                <w:lang w:val="en-US" w:eastAsia="zh-CN" w:bidi="ar-SA"/>
              </w:rPr>
            </w:pPr>
            <w:r>
              <w:t>（5）发生骗取中标、严重违约的情况及重大质量问题。</w:t>
            </w:r>
          </w:p>
        </w:tc>
        <w:tc>
          <w:tcPr>
            <w:tcW w:w="1298" w:type="dxa"/>
            <w:tcBorders>
              <w:top w:val="single" w:color="auto" w:sz="4" w:space="0"/>
              <w:left w:val="single" w:color="auto" w:sz="4" w:space="0"/>
              <w:bottom w:val="single" w:color="auto" w:sz="4" w:space="0"/>
              <w:right w:val="single" w:color="auto" w:sz="4" w:space="0"/>
            </w:tcBorders>
            <w:vAlign w:val="center"/>
          </w:tcPr>
          <w:p w14:paraId="20E6481E">
            <w:pPr>
              <w:spacing w:line="400" w:lineRule="exact"/>
              <w:ind w:firstLine="0" w:firstLineChars="0"/>
              <w:rPr>
                <w:szCs w:val="24"/>
              </w:rPr>
            </w:pPr>
          </w:p>
        </w:tc>
      </w:tr>
      <w:tr w14:paraId="79D7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 w:hRule="atLeast"/>
          <w:jc w:val="center"/>
        </w:trPr>
        <w:tc>
          <w:tcPr>
            <w:tcW w:w="8239" w:type="dxa"/>
            <w:gridSpan w:val="3"/>
            <w:tcBorders>
              <w:top w:val="single" w:color="auto" w:sz="4" w:space="0"/>
              <w:left w:val="single" w:color="auto" w:sz="4" w:space="0"/>
              <w:bottom w:val="single" w:color="auto" w:sz="4" w:space="0"/>
              <w:right w:val="single" w:color="auto" w:sz="4" w:space="0"/>
            </w:tcBorders>
            <w:vAlign w:val="center"/>
          </w:tcPr>
          <w:p w14:paraId="6DA26317">
            <w:pPr>
              <w:pStyle w:val="17"/>
              <w:spacing w:before="0" w:beforeAutospacing="0" w:after="0" w:afterAutospacing="0" w:line="400" w:lineRule="exact"/>
              <w:ind w:firstLine="0" w:firstLineChars="0"/>
              <w:jc w:val="both"/>
              <w:rPr>
                <w:rFonts w:cs="华文宋体"/>
                <w:b/>
                <w:bCs/>
                <w:color w:val="000000"/>
                <w:kern w:val="2"/>
                <w:szCs w:val="24"/>
              </w:rPr>
            </w:pPr>
            <w:r>
              <w:rPr>
                <w:rFonts w:hint="eastAsia" w:cs="华文宋体"/>
                <w:b/>
                <w:bCs/>
                <w:color w:val="000000"/>
                <w:kern w:val="2"/>
                <w:szCs w:val="24"/>
              </w:rPr>
              <w:t>评审说明：</w:t>
            </w:r>
          </w:p>
          <w:p w14:paraId="2609A694">
            <w:pPr>
              <w:spacing w:line="500" w:lineRule="exact"/>
              <w:ind w:firstLine="0"/>
            </w:pPr>
            <w:r>
              <w:rPr>
                <w:rFonts w:hint="eastAsia"/>
                <w:lang w:eastAsia="zh-CN"/>
              </w:rPr>
              <w:t>（</w:t>
            </w:r>
            <w:r>
              <w:rPr>
                <w:rFonts w:hint="eastAsia"/>
                <w:lang w:val="en-US" w:eastAsia="zh-CN"/>
              </w:rPr>
              <w:t>1）</w:t>
            </w:r>
            <w:r>
              <w:t>投标人资格要求中需要提供的资格证明材料，在投标文件中务必提供齐全，否则将可能导致不合格的投标；</w:t>
            </w:r>
          </w:p>
          <w:p w14:paraId="0DFD541F">
            <w:pPr>
              <w:spacing w:line="500" w:lineRule="exact"/>
              <w:ind w:firstLine="0"/>
              <w:rPr>
                <w:rFonts w:hint="eastAsia"/>
                <w:lang w:eastAsia="zh-CN"/>
              </w:rPr>
            </w:pPr>
            <w:r>
              <w:rPr>
                <w:rFonts w:hint="eastAsia"/>
                <w:lang w:eastAsia="zh-CN"/>
              </w:rPr>
              <w:t>（</w:t>
            </w:r>
            <w:r>
              <w:rPr>
                <w:rFonts w:hint="eastAsia"/>
                <w:lang w:val="en-US" w:eastAsia="zh-CN"/>
              </w:rPr>
              <w:t>2）</w:t>
            </w:r>
            <w:r>
              <w:t>本次招标的投标人资质审查方式采用资格后审（即投标人资格是否符合招标要求由评标委员</w:t>
            </w:r>
            <w:r>
              <w:rPr>
                <w:rFonts w:hint="eastAsia"/>
                <w:lang w:eastAsia="zh-CN"/>
              </w:rPr>
              <w:t>会在</w:t>
            </w:r>
            <w:r>
              <w:t>评标时确定），报名通过并成功购买到招标文件的投标人，不代表已经通过资格审查</w:t>
            </w:r>
            <w:r>
              <w:rPr>
                <w:rFonts w:hint="eastAsia"/>
                <w:lang w:eastAsia="zh-CN"/>
              </w:rPr>
              <w:t>；</w:t>
            </w:r>
          </w:p>
          <w:p w14:paraId="22F1EA0F">
            <w:pPr>
              <w:spacing w:line="500" w:lineRule="exact"/>
              <w:ind w:firstLine="0"/>
            </w:pPr>
            <w:r>
              <w:rPr>
                <w:rFonts w:hint="eastAsia"/>
                <w:lang w:eastAsia="zh-CN"/>
              </w:rPr>
              <w:t>（</w:t>
            </w:r>
            <w:r>
              <w:rPr>
                <w:rFonts w:hint="eastAsia"/>
                <w:lang w:val="en-US" w:eastAsia="zh-CN"/>
              </w:rPr>
              <w:t>3）</w:t>
            </w:r>
            <w:r>
              <w:t>有违反</w:t>
            </w:r>
            <w:r>
              <w:rPr>
                <w:rFonts w:hint="eastAsia"/>
                <w:lang w:eastAsia="zh-CN"/>
              </w:rPr>
              <w:t>法律法规</w:t>
            </w:r>
            <w:r>
              <w:t>行为，依法被取消竞标资格且期限未满的</w:t>
            </w:r>
            <w:r>
              <w:rPr>
                <w:rFonts w:hint="eastAsia"/>
                <w:lang w:val="en-US" w:eastAsia="zh-CN"/>
              </w:rPr>
              <w:t>不得参加此次投标</w:t>
            </w:r>
            <w:r>
              <w:t>；</w:t>
            </w:r>
          </w:p>
          <w:p w14:paraId="3815FE05">
            <w:pPr>
              <w:spacing w:line="500" w:lineRule="exact"/>
              <w:ind w:firstLine="0"/>
              <w:rPr>
                <w:highlight w:val="none"/>
              </w:rPr>
            </w:pPr>
            <w:r>
              <w:rPr>
                <w:rFonts w:hint="eastAsia"/>
                <w:lang w:eastAsia="zh-CN"/>
              </w:rPr>
              <w:t>（</w:t>
            </w:r>
            <w:r>
              <w:rPr>
                <w:rFonts w:hint="eastAsia"/>
                <w:lang w:val="en-US" w:eastAsia="zh-CN"/>
              </w:rPr>
              <w:t>4）</w:t>
            </w:r>
            <w:r>
              <w:t>在招标竞标活动中有违法违规等不良行为，被招标竞标管理部门公示限制竞标且限制期限</w:t>
            </w:r>
            <w:r>
              <w:rPr>
                <w:highlight w:val="none"/>
              </w:rPr>
              <w:t>未满的</w:t>
            </w:r>
            <w:r>
              <w:rPr>
                <w:rFonts w:hint="eastAsia"/>
                <w:highlight w:val="none"/>
                <w:lang w:val="en-US" w:eastAsia="zh-CN"/>
              </w:rPr>
              <w:t>不得参加此次投标</w:t>
            </w:r>
            <w:r>
              <w:rPr>
                <w:highlight w:val="none"/>
              </w:rPr>
              <w:t>；</w:t>
            </w:r>
          </w:p>
          <w:p w14:paraId="5D424F01">
            <w:pPr>
              <w:spacing w:line="500" w:lineRule="exact"/>
              <w:ind w:firstLine="0"/>
              <w:rPr>
                <w:rFonts w:cs="华文宋体"/>
                <w:color w:val="000000"/>
                <w:kern w:val="2"/>
                <w:sz w:val="21"/>
                <w:szCs w:val="21"/>
              </w:rPr>
            </w:pPr>
            <w:r>
              <w:rPr>
                <w:rFonts w:hint="eastAsia"/>
                <w:highlight w:val="none"/>
                <w:lang w:eastAsia="zh-CN"/>
              </w:rPr>
              <w:t>（</w:t>
            </w:r>
            <w:r>
              <w:rPr>
                <w:rFonts w:hint="eastAsia"/>
                <w:highlight w:val="none"/>
                <w:lang w:val="en-US" w:eastAsia="zh-CN"/>
              </w:rPr>
              <w:t>5）</w:t>
            </w:r>
            <w:r>
              <w:rPr>
                <w:rFonts w:hint="eastAsia"/>
                <w:highlight w:val="none"/>
              </w:rPr>
              <w:t>单位负责人为同一人或者存在控股、管理关系的不同单位，不得参加同一标段投标或者未划分标段的同一招标项目投标。</w:t>
            </w:r>
          </w:p>
        </w:tc>
        <w:tc>
          <w:tcPr>
            <w:tcW w:w="1298" w:type="dxa"/>
            <w:tcBorders>
              <w:top w:val="single" w:color="auto" w:sz="4" w:space="0"/>
              <w:left w:val="single" w:color="auto" w:sz="4" w:space="0"/>
              <w:bottom w:val="single" w:color="auto" w:sz="4" w:space="0"/>
              <w:right w:val="single" w:color="auto" w:sz="4" w:space="0"/>
            </w:tcBorders>
            <w:vAlign w:val="center"/>
          </w:tcPr>
          <w:p w14:paraId="04D84DA9">
            <w:pPr>
              <w:pStyle w:val="17"/>
              <w:spacing w:before="0" w:beforeAutospacing="0" w:after="0" w:afterAutospacing="0" w:line="400" w:lineRule="exact"/>
              <w:ind w:firstLine="0" w:firstLineChars="0"/>
              <w:jc w:val="both"/>
              <w:rPr>
                <w:rFonts w:cs="华文宋体"/>
                <w:color w:val="000000"/>
                <w:kern w:val="2"/>
                <w:szCs w:val="24"/>
              </w:rPr>
            </w:pPr>
          </w:p>
        </w:tc>
      </w:tr>
      <w:bookmarkEnd w:id="1741"/>
    </w:tbl>
    <w:p w14:paraId="4EDBA2E7">
      <w:pPr>
        <w:pStyle w:val="5"/>
        <w:pageBreakBefore/>
        <w:spacing w:line="400" w:lineRule="exact"/>
        <w:ind w:firstLine="0" w:firstLineChars="0"/>
        <w:jc w:val="center"/>
        <w:rPr>
          <w:szCs w:val="28"/>
        </w:rPr>
      </w:pPr>
      <w:bookmarkStart w:id="1742" w:name="_Toc23943"/>
      <w:bookmarkStart w:id="1743" w:name="_Toc13961"/>
      <w:bookmarkStart w:id="1744" w:name="_Toc818572646"/>
      <w:bookmarkStart w:id="1745" w:name="_Toc697262615"/>
      <w:bookmarkStart w:id="1746" w:name="_Toc4569"/>
      <w:bookmarkStart w:id="1747" w:name="_Toc21272"/>
      <w:bookmarkStart w:id="1748" w:name="_Toc4895"/>
      <w:bookmarkStart w:id="1749" w:name="_Toc9436"/>
      <w:bookmarkStart w:id="1750" w:name="_Toc37013690"/>
      <w:bookmarkStart w:id="1751" w:name="_Toc1825644895"/>
      <w:bookmarkStart w:id="1752" w:name="_Toc2093106906"/>
      <w:bookmarkStart w:id="1753" w:name="_Toc29783"/>
      <w:bookmarkStart w:id="1754" w:name="_Toc9113"/>
      <w:bookmarkStart w:id="1755" w:name="_Toc1556194582"/>
      <w:bookmarkStart w:id="1756" w:name="_Toc5487"/>
      <w:bookmarkStart w:id="1757" w:name="_Toc1674727107"/>
      <w:bookmarkStart w:id="1758" w:name="_Toc2122369373"/>
      <w:bookmarkStart w:id="1759" w:name="_Toc814297662"/>
      <w:bookmarkStart w:id="1760" w:name="_Toc2874"/>
      <w:r>
        <w:rPr>
          <w:rFonts w:hint="eastAsia"/>
          <w:szCs w:val="28"/>
        </w:rPr>
        <w:t>索引表2-综合评审内容</w:t>
      </w:r>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p>
    <w:p w14:paraId="2DC565F3">
      <w:pPr>
        <w:ind w:firstLine="480"/>
        <w:jc w:val="center"/>
        <w:rPr>
          <w:rStyle w:val="25"/>
          <w:b/>
          <w:bCs/>
          <w:sz w:val="24"/>
          <w:szCs w:val="20"/>
        </w:rPr>
      </w:pPr>
      <w:r>
        <w:rPr>
          <w:rFonts w:hint="eastAsia"/>
          <w:b/>
          <w:bCs/>
        </w:rPr>
        <w:t>（详见</w:t>
      </w:r>
      <w:r>
        <w:rPr>
          <w:rFonts w:hint="eastAsia"/>
          <w:b/>
          <w:bCs/>
          <w:color w:val="auto"/>
        </w:rPr>
        <w:t>第三章评标办法前附表中2.2.4（1）至（4）</w:t>
      </w:r>
      <w:r>
        <w:rPr>
          <w:rFonts w:hint="eastAsia"/>
          <w:b/>
          <w:bCs/>
        </w:rPr>
        <w:t>具体内容）</w:t>
      </w:r>
    </w:p>
    <w:p w14:paraId="594E9F4D">
      <w:pPr>
        <w:ind w:firstLine="480"/>
        <w:jc w:val="center"/>
        <w:rPr>
          <w:rStyle w:val="25"/>
          <w:b/>
          <w:bCs/>
          <w:sz w:val="24"/>
          <w:szCs w:val="20"/>
        </w:rPr>
      </w:pPr>
    </w:p>
    <w:tbl>
      <w:tblPr>
        <w:tblStyle w:val="20"/>
        <w:tblW w:w="8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9"/>
        <w:gridCol w:w="1515"/>
        <w:gridCol w:w="5247"/>
        <w:gridCol w:w="977"/>
      </w:tblGrid>
      <w:tr w14:paraId="0C88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170179E">
            <w:pPr>
              <w:keepNext w:val="0"/>
              <w:keepLines w:val="0"/>
              <w:suppressLineNumbers w:val="0"/>
              <w:spacing w:before="0" w:beforeAutospacing="0" w:after="0" w:afterAutospacing="0" w:line="440" w:lineRule="exact"/>
              <w:ind w:left="0" w:leftChars="0" w:right="0" w:rightChars="0" w:firstLine="0" w:firstLineChars="0"/>
              <w:jc w:val="both"/>
              <w:rPr>
                <w:rFonts w:hint="default" w:ascii="Times New Roman" w:hAnsi="Times New Roman" w:eastAsia="华文宋体" w:cs="Times New Roman"/>
                <w:b/>
                <w:bCs/>
                <w:spacing w:val="0"/>
                <w:kern w:val="2"/>
                <w:sz w:val="24"/>
                <w:szCs w:val="20"/>
                <w:lang w:val="en-US" w:eastAsia="zh-CN" w:bidi="ar-SA"/>
              </w:rPr>
            </w:pPr>
            <w:r>
              <w:rPr>
                <w:rFonts w:hint="eastAsia" w:ascii="Times New Roman" w:hAnsi="Times New Roman" w:cs="Times New Roman"/>
                <w:b/>
                <w:bCs/>
                <w:spacing w:val="0"/>
                <w:kern w:val="2"/>
                <w:sz w:val="24"/>
                <w:szCs w:val="20"/>
                <w:lang w:val="en-US" w:eastAsia="zh-CN" w:bidi="ar-SA"/>
              </w:rPr>
              <w:t>序号</w:t>
            </w:r>
          </w:p>
        </w:tc>
        <w:tc>
          <w:tcPr>
            <w:tcW w:w="151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1F765FD">
            <w:pPr>
              <w:keepNext w:val="0"/>
              <w:keepLines w:val="0"/>
              <w:suppressLineNumbers w:val="0"/>
              <w:spacing w:before="0" w:beforeAutospacing="0" w:after="0" w:afterAutospacing="0" w:line="440" w:lineRule="exact"/>
              <w:ind w:left="0" w:leftChars="0" w:right="0" w:rightChars="0" w:firstLine="0" w:firstLineChars="0"/>
              <w:jc w:val="center"/>
              <w:rPr>
                <w:rFonts w:hint="default" w:ascii="Times New Roman" w:hAnsi="Times New Roman" w:eastAsia="华文宋体" w:cs="Times New Roman"/>
                <w:b/>
                <w:kern w:val="2"/>
                <w:sz w:val="24"/>
                <w:szCs w:val="20"/>
                <w:lang w:val="en-US" w:eastAsia="zh-CN" w:bidi="ar-SA"/>
              </w:rPr>
            </w:pPr>
            <w:r>
              <w:rPr>
                <w:rFonts w:hint="default" w:ascii="Times New Roman" w:hAnsi="Times New Roman" w:eastAsia="华文宋体" w:cs="Times New Roman"/>
                <w:b/>
                <w:bCs/>
                <w:spacing w:val="0"/>
                <w:kern w:val="2"/>
                <w:sz w:val="24"/>
                <w:szCs w:val="20"/>
                <w:lang w:val="en-US" w:eastAsia="zh-CN" w:bidi="ar-SA"/>
              </w:rPr>
              <w:t>评分因素（偏差率）</w:t>
            </w:r>
          </w:p>
        </w:tc>
        <w:tc>
          <w:tcPr>
            <w:tcW w:w="5247"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04B1E9D">
            <w:pPr>
              <w:keepNext w:val="0"/>
              <w:keepLines w:val="0"/>
              <w:suppressLineNumbers w:val="0"/>
              <w:spacing w:before="0" w:beforeAutospacing="0" w:after="0" w:afterAutospacing="0" w:line="440" w:lineRule="exact"/>
              <w:ind w:left="0" w:leftChars="0" w:right="0" w:rightChars="0" w:firstLine="0" w:firstLineChars="0"/>
              <w:jc w:val="center"/>
              <w:rPr>
                <w:rFonts w:hint="default" w:ascii="Times New Roman" w:hAnsi="Times New Roman" w:eastAsia="华文宋体" w:cs="Times New Roman"/>
                <w:b/>
                <w:kern w:val="2"/>
                <w:sz w:val="24"/>
                <w:szCs w:val="20"/>
                <w:lang w:val="en-US" w:eastAsia="zh-CN" w:bidi="ar-SA"/>
              </w:rPr>
            </w:pPr>
            <w:r>
              <w:rPr>
                <w:rFonts w:hint="default" w:ascii="Times New Roman" w:hAnsi="Times New Roman" w:eastAsia="华文宋体" w:cs="Times New Roman"/>
                <w:b/>
                <w:bCs/>
                <w:spacing w:val="0"/>
                <w:kern w:val="2"/>
                <w:sz w:val="24"/>
                <w:szCs w:val="20"/>
                <w:lang w:val="en-US" w:eastAsia="zh-CN" w:bidi="ar-SA"/>
              </w:rPr>
              <w:t>评分标准</w:t>
            </w:r>
          </w:p>
        </w:tc>
        <w:tc>
          <w:tcPr>
            <w:tcW w:w="977"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1AD4EFD">
            <w:pPr>
              <w:keepNext w:val="0"/>
              <w:keepLines w:val="0"/>
              <w:suppressLineNumbers w:val="0"/>
              <w:spacing w:before="0" w:beforeAutospacing="0" w:after="0" w:afterAutospacing="0" w:line="440" w:lineRule="exact"/>
              <w:ind w:left="0" w:leftChars="0" w:right="0" w:rightChars="0" w:firstLine="0" w:firstLineChars="0"/>
              <w:jc w:val="center"/>
              <w:rPr>
                <w:rFonts w:hint="default" w:ascii="Times New Roman" w:hAnsi="Times New Roman" w:eastAsia="华文宋体" w:cs="Times New Roman"/>
                <w:b/>
                <w:bCs/>
                <w:spacing w:val="0"/>
                <w:kern w:val="2"/>
                <w:sz w:val="24"/>
                <w:szCs w:val="20"/>
                <w:lang w:val="en-US" w:eastAsia="zh-CN" w:bidi="ar-SA"/>
              </w:rPr>
            </w:pPr>
            <w:r>
              <w:rPr>
                <w:rFonts w:hint="eastAsia" w:ascii="Times New Roman" w:hAnsi="Times New Roman" w:cs="Times New Roman"/>
                <w:b/>
                <w:bCs/>
                <w:spacing w:val="0"/>
                <w:kern w:val="2"/>
                <w:sz w:val="24"/>
                <w:szCs w:val="20"/>
                <w:lang w:val="en-US" w:eastAsia="zh-CN" w:bidi="ar-SA"/>
              </w:rPr>
              <w:t>索引页码</w:t>
            </w:r>
          </w:p>
        </w:tc>
      </w:tr>
      <w:tr w14:paraId="0907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59"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43F32337">
            <w:pPr>
              <w:spacing w:line="360" w:lineRule="auto"/>
              <w:ind w:left="0" w:leftChars="0" w:firstLine="0" w:firstLineChars="0"/>
              <w:rPr>
                <w:rFonts w:hint="eastAsia" w:eastAsia="华文宋体"/>
                <w:lang w:val="en-US" w:eastAsia="zh-CN"/>
              </w:rPr>
            </w:pPr>
            <w:r>
              <w:rPr>
                <w:rFonts w:hint="eastAsia"/>
                <w:lang w:val="en-US" w:eastAsia="zh-CN"/>
              </w:rPr>
              <w:t>1</w:t>
            </w:r>
          </w:p>
        </w:tc>
        <w:tc>
          <w:tcPr>
            <w:tcW w:w="1515"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E74B9AE">
            <w:pPr>
              <w:spacing w:line="440" w:lineRule="exact"/>
              <w:ind w:firstLine="0" w:firstLineChars="0"/>
              <w:jc w:val="center"/>
              <w:rPr>
                <w:rFonts w:hint="default" w:ascii="Times New Roman" w:hAnsi="Times New Roman" w:eastAsia="华文宋体" w:cs="Times New Roman"/>
                <w:spacing w:val="-7"/>
                <w:kern w:val="2"/>
                <w:sz w:val="24"/>
                <w:szCs w:val="21"/>
                <w:highlight w:val="none"/>
                <w:lang w:val="en-US" w:eastAsia="zh-CN" w:bidi="ar-SA"/>
              </w:rPr>
            </w:pPr>
            <w:r>
              <w:rPr>
                <w:rFonts w:hint="eastAsia"/>
                <w:b/>
                <w:bCs/>
                <w:spacing w:val="-7"/>
                <w:szCs w:val="21"/>
                <w:highlight w:val="none"/>
              </w:rPr>
              <w:t>同类项目实施业绩（</w:t>
            </w:r>
            <w:r>
              <w:rPr>
                <w:rFonts w:hint="eastAsia"/>
                <w:b/>
                <w:bCs/>
                <w:spacing w:val="-7"/>
                <w:szCs w:val="21"/>
                <w:highlight w:val="none"/>
                <w:lang w:val="en-US" w:eastAsia="zh-CN"/>
              </w:rPr>
              <w:t>5</w:t>
            </w:r>
            <w:r>
              <w:rPr>
                <w:rFonts w:hint="eastAsia"/>
                <w:b/>
                <w:bCs/>
                <w:spacing w:val="-7"/>
                <w:szCs w:val="21"/>
                <w:highlight w:val="none"/>
              </w:rPr>
              <w:t>分）</w:t>
            </w:r>
          </w:p>
        </w:tc>
        <w:tc>
          <w:tcPr>
            <w:tcW w:w="524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016FE52B">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投标人自2023年1月1日至投标截止之日（以合同签订时间为准），每提供1项同资格要求且合同含税总金额不低于人民币50万元的已完工业绩，得2分，本项最高得5分，得分超过5分的按5分计。证明材料要求同资格业绩要求，业绩主体须为投标人本身，材料须加盖投标人公章，未提供或不足以证明满足要求的不予认可。</w:t>
            </w:r>
          </w:p>
          <w:p w14:paraId="36A89F31">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Arial Rounded MT Bold" w:hAnsi="Arial Rounded MT Bold" w:eastAsia="宋体" w:cs="Times New Roman"/>
                <w:kern w:val="2"/>
                <w:sz w:val="21"/>
                <w:szCs w:val="22"/>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用于资格审查的业绩，不得在本评分项重复计分。</w:t>
            </w:r>
          </w:p>
        </w:tc>
        <w:tc>
          <w:tcPr>
            <w:tcW w:w="97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5B4DA631">
            <w:pPr>
              <w:spacing w:line="440" w:lineRule="exact"/>
              <w:ind w:firstLine="0" w:firstLineChars="0"/>
              <w:jc w:val="left"/>
              <w:rPr>
                <w:rFonts w:hint="eastAsia" w:ascii="Times New Roman" w:hAnsi="Times New Roman" w:cs="Times New Roman"/>
                <w:color w:val="auto"/>
                <w:highlight w:val="none"/>
                <w:lang w:val="en-US" w:eastAsia="zh-CN"/>
              </w:rPr>
            </w:pPr>
          </w:p>
        </w:tc>
      </w:tr>
      <w:tr w14:paraId="606F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4" w:hRule="atLeast"/>
          <w:jc w:val="center"/>
        </w:trPr>
        <w:tc>
          <w:tcPr>
            <w:tcW w:w="759"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3072B4A">
            <w:pPr>
              <w:spacing w:line="360" w:lineRule="auto"/>
              <w:ind w:left="0" w:leftChars="0" w:firstLine="0" w:firstLineChars="0"/>
              <w:rPr>
                <w:rFonts w:hint="eastAsia" w:eastAsia="华文宋体"/>
                <w:lang w:val="en-US" w:eastAsia="zh-CN"/>
              </w:rPr>
            </w:pPr>
            <w:r>
              <w:rPr>
                <w:rFonts w:hint="eastAsia"/>
                <w:lang w:val="en-US" w:eastAsia="zh-CN"/>
              </w:rPr>
              <w:t>2</w:t>
            </w:r>
          </w:p>
        </w:tc>
        <w:tc>
          <w:tcPr>
            <w:tcW w:w="1515" w:type="dxa"/>
            <w:tcBorders>
              <w:top w:val="single" w:color="auto" w:sz="4" w:space="0"/>
              <w:left w:val="single" w:color="auto" w:sz="4" w:space="0"/>
              <w:right w:val="single" w:color="auto" w:sz="4" w:space="0"/>
            </w:tcBorders>
            <w:shd w:val="clear" w:color="auto" w:fill="auto"/>
            <w:tcMar>
              <w:left w:w="108" w:type="dxa"/>
              <w:right w:w="108" w:type="dxa"/>
            </w:tcMar>
            <w:vAlign w:val="center"/>
          </w:tcPr>
          <w:p w14:paraId="053B4E06">
            <w:pPr>
              <w:widowControl/>
              <w:spacing w:line="440" w:lineRule="exact"/>
              <w:ind w:firstLine="0" w:firstLineChars="0"/>
              <w:jc w:val="center"/>
              <w:rPr>
                <w:rFonts w:hint="eastAsia" w:ascii="宋体" w:hAnsi="宋体" w:eastAsia="宋体" w:cs="宋体"/>
                <w:b/>
                <w:bCs/>
                <w:kern w:val="2"/>
                <w:sz w:val="24"/>
                <w:szCs w:val="21"/>
                <w:highlight w:val="none"/>
                <w:lang w:val="en-US" w:eastAsia="zh-CN" w:bidi="ar-SA"/>
              </w:rPr>
            </w:pPr>
            <w:r>
              <w:rPr>
                <w:rFonts w:hint="eastAsia"/>
                <w:b/>
                <w:bCs/>
                <w:spacing w:val="-7"/>
                <w:szCs w:val="21"/>
                <w:highlight w:val="none"/>
              </w:rPr>
              <w:t>售后服务</w:t>
            </w:r>
            <w:r>
              <w:rPr>
                <w:rFonts w:hint="eastAsia"/>
                <w:b/>
                <w:bCs/>
                <w:spacing w:val="-7"/>
                <w:szCs w:val="21"/>
                <w:highlight w:val="none"/>
                <w:lang w:val="en-US" w:eastAsia="zh-CN"/>
              </w:rPr>
              <w:t>承诺</w:t>
            </w:r>
            <w:r>
              <w:rPr>
                <w:rFonts w:hint="eastAsia"/>
                <w:b/>
                <w:bCs/>
                <w:spacing w:val="-7"/>
                <w:szCs w:val="21"/>
                <w:highlight w:val="none"/>
              </w:rPr>
              <w:t>（4分）</w:t>
            </w:r>
          </w:p>
        </w:tc>
        <w:tc>
          <w:tcPr>
            <w:tcW w:w="524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0ACC68D8">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b/>
                <w:bCs/>
                <w:kern w:val="2"/>
                <w:sz w:val="24"/>
                <w:szCs w:val="20"/>
                <w:highlight w:val="none"/>
                <w:lang w:val="en-US" w:eastAsia="zh-CN" w:bidi="ar-SA"/>
              </w:rPr>
              <w:t>根据投标人提供的售后服务承诺进行评分，本项最高4分。</w:t>
            </w:r>
          </w:p>
          <w:p w14:paraId="274F635B">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（1）投标人须提供售后服务承诺函，按以下标准计分，（总分2分）：</w:t>
            </w:r>
          </w:p>
          <w:p w14:paraId="15DAE05F">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default"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①自项目通过终验之日起，在质保期内提供7×24小时不间断的技术支持服务；</w:t>
            </w:r>
          </w:p>
          <w:p w14:paraId="1B92DFD0">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②在质保期内，遇系统故障或紧急问题，承诺在接到采购人通知后2小时内抵达现场并开展处理工作；</w:t>
            </w:r>
          </w:p>
          <w:p w14:paraId="13D4CDC2">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default"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以上</w:t>
            </w:r>
            <w:r>
              <w:rPr>
                <w:rFonts w:hint="default" w:ascii="Times New Roman" w:hAnsi="Times New Roman" w:eastAsia="华文宋体" w:cs="Times New Roman"/>
                <w:kern w:val="2"/>
                <w:sz w:val="24"/>
                <w:szCs w:val="20"/>
                <w:highlight w:val="none"/>
                <w:lang w:val="en-US" w:eastAsia="zh-CN" w:bidi="ar-SA"/>
              </w:rPr>
              <w:t>每满足一项得1分，满分2分。不提供承诺函或承诺内容不完整，对应项不得分。</w:t>
            </w:r>
          </w:p>
          <w:p w14:paraId="456804BB">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（2）投标人提供《项目人员稳定性承诺函》，按以下标准计分，（总分2分）：</w:t>
            </w:r>
          </w:p>
          <w:p w14:paraId="32DC86FC">
            <w:pPr>
              <w:pStyle w:val="26"/>
              <w:keepNext w:val="0"/>
              <w:keepLines w:val="0"/>
              <w:pageBreakBefore w:val="0"/>
              <w:widowControl w:val="0"/>
              <w:kinsoku/>
              <w:overflowPunct/>
              <w:topLinePunct w:val="0"/>
              <w:autoSpaceDE/>
              <w:autoSpaceDN/>
              <w:bidi w:val="0"/>
              <w:snapToGrid w:val="0"/>
              <w:spacing w:line="360" w:lineRule="auto"/>
              <w:ind w:left="0" w:leftChars="0" w:firstLine="0" w:firstLineChars="0"/>
              <w:jc w:val="left"/>
              <w:textAlignment w:val="auto"/>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①</w:t>
            </w:r>
            <w:r>
              <w:rPr>
                <w:rFonts w:hint="default" w:ascii="Times New Roman" w:hAnsi="Times New Roman" w:eastAsia="华文宋体" w:cs="Times New Roman"/>
                <w:kern w:val="2"/>
                <w:sz w:val="24"/>
                <w:szCs w:val="20"/>
                <w:highlight w:val="none"/>
                <w:lang w:val="en-US" w:eastAsia="zh-CN" w:bidi="ar-SA"/>
              </w:rPr>
              <w:t>自合同签订之日起至项目终验合格之日止，未经采购人书面同意，不擅自更换项目经理及核心技术人员；</w:t>
            </w:r>
            <w:r>
              <w:rPr>
                <w:rFonts w:hint="default" w:ascii="Times New Roman" w:hAnsi="Times New Roman" w:eastAsia="华文宋体" w:cs="Times New Roman"/>
                <w:kern w:val="2"/>
                <w:sz w:val="24"/>
                <w:szCs w:val="20"/>
                <w:highlight w:val="none"/>
                <w:lang w:val="en-US" w:eastAsia="zh-CN" w:bidi="ar-SA"/>
              </w:rPr>
              <w:br w:type="textWrapping"/>
            </w:r>
            <w:r>
              <w:rPr>
                <w:rFonts w:hint="eastAsia" w:ascii="Times New Roman" w:hAnsi="Times New Roman" w:eastAsia="华文宋体" w:cs="Times New Roman"/>
                <w:kern w:val="2"/>
                <w:sz w:val="24"/>
                <w:szCs w:val="20"/>
                <w:highlight w:val="none"/>
                <w:lang w:val="en-US" w:eastAsia="zh-CN" w:bidi="ar-SA"/>
              </w:rPr>
              <w:t>②</w:t>
            </w:r>
            <w:r>
              <w:rPr>
                <w:rFonts w:hint="default" w:ascii="Times New Roman" w:hAnsi="Times New Roman" w:eastAsia="华文宋体" w:cs="Times New Roman"/>
                <w:kern w:val="2"/>
                <w:sz w:val="24"/>
                <w:szCs w:val="20"/>
                <w:highlight w:val="none"/>
                <w:lang w:val="en-US" w:eastAsia="zh-CN" w:bidi="ar-SA"/>
              </w:rPr>
              <w:t>如确需更换，须提前书面通知采购人，且更换人员的资质、经验不得低于原定人员，并经采购人书面同意后方可更换。</w:t>
            </w:r>
            <w:r>
              <w:rPr>
                <w:rFonts w:hint="default" w:ascii="Times New Roman" w:hAnsi="Times New Roman" w:eastAsia="华文宋体" w:cs="Times New Roman"/>
                <w:kern w:val="2"/>
                <w:sz w:val="24"/>
                <w:szCs w:val="20"/>
                <w:highlight w:val="none"/>
                <w:lang w:val="en-US" w:eastAsia="zh-CN" w:bidi="ar-SA"/>
              </w:rPr>
              <w:br w:type="textWrapping"/>
            </w:r>
            <w:r>
              <w:rPr>
                <w:rFonts w:hint="eastAsia" w:ascii="Times New Roman" w:hAnsi="Times New Roman" w:eastAsia="华文宋体" w:cs="Times New Roman"/>
                <w:kern w:val="2"/>
                <w:sz w:val="24"/>
                <w:szCs w:val="20"/>
                <w:highlight w:val="none"/>
                <w:lang w:val="en-US" w:eastAsia="zh-CN" w:bidi="ar-SA"/>
              </w:rPr>
              <w:t>以上</w:t>
            </w:r>
            <w:r>
              <w:rPr>
                <w:rFonts w:hint="default" w:ascii="Times New Roman" w:hAnsi="Times New Roman" w:eastAsia="华文宋体" w:cs="Times New Roman"/>
                <w:kern w:val="2"/>
                <w:sz w:val="24"/>
                <w:szCs w:val="20"/>
                <w:highlight w:val="none"/>
                <w:lang w:val="en-US" w:eastAsia="zh-CN" w:bidi="ar-SA"/>
              </w:rPr>
              <w:t>每满足一项得1分，满分2分。不提供或承诺内容不完整不得分。</w:t>
            </w:r>
          </w:p>
          <w:p w14:paraId="2ED8DE82">
            <w:pPr>
              <w:keepNext w:val="0"/>
              <w:keepLines w:val="0"/>
              <w:pageBreakBefore w:val="0"/>
              <w:widowControl w:val="0"/>
              <w:kinsoku/>
              <w:overflowPunct/>
              <w:topLinePunct w:val="0"/>
              <w:autoSpaceDE/>
              <w:autoSpaceDN/>
              <w:bidi w:val="0"/>
              <w:snapToGrid w:val="0"/>
              <w:spacing w:line="360" w:lineRule="auto"/>
              <w:ind w:firstLine="0" w:firstLineChars="0"/>
              <w:jc w:val="left"/>
              <w:textAlignment w:val="auto"/>
              <w:rPr>
                <w:rFonts w:hint="eastAsia" w:ascii="Times New Roman" w:hAnsi="Times New Roman" w:eastAsia="华文宋体" w:cs="Times New Roman"/>
                <w:kern w:val="2"/>
                <w:sz w:val="24"/>
                <w:highlight w:val="none"/>
                <w:lang w:val="en-US" w:eastAsia="zh-CN" w:bidi="ar-SA"/>
              </w:rPr>
            </w:pPr>
            <w:r>
              <w:rPr>
                <w:rFonts w:hint="eastAsia"/>
                <w:highlight w:val="none"/>
              </w:rPr>
              <w:t>【提供承诺函并加盖投标人单位公章】</w:t>
            </w:r>
          </w:p>
        </w:tc>
        <w:tc>
          <w:tcPr>
            <w:tcW w:w="97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C5B97DA">
            <w:pPr>
              <w:spacing w:line="440" w:lineRule="exact"/>
              <w:ind w:firstLine="0" w:firstLineChars="0"/>
              <w:jc w:val="left"/>
              <w:rPr>
                <w:rFonts w:hint="eastAsia" w:ascii="Times New Roman" w:hAnsi="Times New Roman" w:cs="Times New Roman"/>
                <w:color w:val="auto"/>
                <w:highlight w:val="none"/>
                <w:lang w:val="en-US" w:eastAsia="zh-CN"/>
              </w:rPr>
            </w:pPr>
          </w:p>
        </w:tc>
      </w:tr>
      <w:tr w14:paraId="53A3A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0" w:hRule="atLeast"/>
          <w:jc w:val="center"/>
        </w:trPr>
        <w:tc>
          <w:tcPr>
            <w:tcW w:w="759" w:type="dxa"/>
            <w:tcBorders>
              <w:top w:val="single" w:color="auto" w:sz="4" w:space="0"/>
              <w:left w:val="single" w:color="auto" w:sz="4" w:space="0"/>
              <w:right w:val="single" w:color="auto" w:sz="4" w:space="0"/>
            </w:tcBorders>
            <w:shd w:val="clear" w:color="auto" w:fill="auto"/>
            <w:tcMar>
              <w:left w:w="108" w:type="dxa"/>
              <w:right w:w="108" w:type="dxa"/>
            </w:tcMar>
            <w:vAlign w:val="center"/>
          </w:tcPr>
          <w:p w14:paraId="36E43F13">
            <w:pPr>
              <w:spacing w:line="360" w:lineRule="auto"/>
              <w:ind w:left="0" w:leftChars="0" w:firstLine="0" w:firstLineChars="0"/>
              <w:rPr>
                <w:rFonts w:hint="eastAsia" w:eastAsia="华文宋体"/>
                <w:lang w:val="en-US" w:eastAsia="zh-CN"/>
              </w:rPr>
            </w:pPr>
            <w:r>
              <w:rPr>
                <w:rFonts w:hint="eastAsia"/>
                <w:lang w:val="en-US" w:eastAsia="zh-CN"/>
              </w:rPr>
              <w:t>3</w:t>
            </w:r>
          </w:p>
        </w:tc>
        <w:tc>
          <w:tcPr>
            <w:tcW w:w="1515" w:type="dxa"/>
            <w:tcBorders>
              <w:left w:val="single" w:color="auto" w:sz="4" w:space="0"/>
              <w:right w:val="single" w:color="auto" w:sz="4" w:space="0"/>
            </w:tcBorders>
            <w:shd w:val="clear" w:color="auto" w:fill="auto"/>
            <w:tcMar>
              <w:left w:w="108" w:type="dxa"/>
              <w:right w:w="108" w:type="dxa"/>
            </w:tcMar>
            <w:vAlign w:val="center"/>
          </w:tcPr>
          <w:p w14:paraId="09169723">
            <w:pPr>
              <w:widowControl/>
              <w:spacing w:line="440" w:lineRule="exact"/>
              <w:ind w:firstLine="0" w:firstLineChars="0"/>
              <w:jc w:val="center"/>
              <w:rPr>
                <w:rFonts w:hint="default" w:ascii="Times New Roman" w:hAnsi="Times New Roman" w:eastAsia="华文宋体" w:cs="Times New Roman"/>
                <w:b/>
                <w:bCs/>
                <w:kern w:val="2"/>
                <w:sz w:val="24"/>
                <w:highlight w:val="none"/>
                <w:lang w:val="en-US" w:eastAsia="zh-CN" w:bidi="ar-SA"/>
              </w:rPr>
            </w:pPr>
            <w:r>
              <w:rPr>
                <w:rFonts w:hint="eastAsia"/>
                <w:b/>
                <w:bCs/>
                <w:highlight w:val="none"/>
              </w:rPr>
              <w:t>质保承诺（</w:t>
            </w:r>
            <w:r>
              <w:rPr>
                <w:rFonts w:hint="eastAsia"/>
                <w:b/>
                <w:bCs/>
                <w:highlight w:val="none"/>
                <w:lang w:val="en-US" w:eastAsia="zh-CN"/>
              </w:rPr>
              <w:t>1</w:t>
            </w:r>
            <w:r>
              <w:rPr>
                <w:rFonts w:hint="eastAsia"/>
                <w:b/>
                <w:bCs/>
                <w:highlight w:val="none"/>
              </w:rPr>
              <w:t>分）</w:t>
            </w:r>
          </w:p>
        </w:tc>
        <w:tc>
          <w:tcPr>
            <w:tcW w:w="524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25923C9A">
            <w:pPr>
              <w:ind w:firstLine="0" w:firstLineChars="0"/>
              <w:jc w:val="left"/>
              <w:rPr>
                <w:rFonts w:hint="eastAsia"/>
                <w:highlight w:val="none"/>
              </w:rPr>
            </w:pPr>
            <w:r>
              <w:rPr>
                <w:rFonts w:hint="eastAsia"/>
                <w:b/>
                <w:bCs/>
                <w:highlight w:val="none"/>
              </w:rPr>
              <w:t>投标人须提供质保期限承诺函并加盖投标人单位公章，按以下标准计分</w:t>
            </w:r>
            <w:r>
              <w:rPr>
                <w:rFonts w:hint="eastAsia"/>
                <w:highlight w:val="none"/>
              </w:rPr>
              <w:t>：</w:t>
            </w:r>
          </w:p>
          <w:p w14:paraId="20711BC4">
            <w:pPr>
              <w:ind w:firstLine="0" w:firstLineChars="0"/>
              <w:jc w:val="left"/>
              <w:rPr>
                <w:rFonts w:hint="eastAsia"/>
                <w:highlight w:val="none"/>
                <w:lang w:val="en-US" w:eastAsia="zh-CN"/>
              </w:rPr>
            </w:pPr>
            <w:r>
              <w:rPr>
                <w:rFonts w:hint="eastAsia"/>
                <w:highlight w:val="none"/>
              </w:rPr>
              <w:t>承诺提供1年免费质保服务（自项目通过终验之日起计算）</w:t>
            </w:r>
            <w:r>
              <w:rPr>
                <w:rFonts w:hint="eastAsia"/>
                <w:highlight w:val="none"/>
                <w:lang w:eastAsia="zh-CN"/>
              </w:rPr>
              <w:t>，</w:t>
            </w:r>
            <w:r>
              <w:rPr>
                <w:rFonts w:hint="eastAsia"/>
                <w:highlight w:val="none"/>
                <w:lang w:val="en-US" w:eastAsia="zh-CN"/>
              </w:rPr>
              <w:t>得0.5分；</w:t>
            </w:r>
            <w:r>
              <w:rPr>
                <w:rFonts w:hint="eastAsia"/>
                <w:highlight w:val="none"/>
              </w:rPr>
              <w:t>在1年基础上，每额外增加1年免费质保服务</w:t>
            </w:r>
            <w:r>
              <w:rPr>
                <w:rFonts w:hint="eastAsia"/>
                <w:highlight w:val="none"/>
                <w:lang w:eastAsia="zh-CN"/>
              </w:rPr>
              <w:t>，</w:t>
            </w:r>
            <w:r>
              <w:rPr>
                <w:rFonts w:hint="eastAsia"/>
                <w:highlight w:val="none"/>
                <w:lang w:val="en-US" w:eastAsia="zh-CN"/>
              </w:rPr>
              <w:t>加0.3分，本项最高得1分。</w:t>
            </w:r>
          </w:p>
          <w:p w14:paraId="2884DE3A">
            <w:pPr>
              <w:ind w:firstLine="0" w:firstLineChars="0"/>
              <w:jc w:val="left"/>
              <w:rPr>
                <w:rFonts w:hint="default" w:ascii="Times New Roman" w:hAnsi="Times New Roman" w:eastAsia="华文宋体" w:cs="Times New Roman"/>
                <w:kern w:val="2"/>
                <w:sz w:val="24"/>
                <w:highlight w:val="none"/>
                <w:lang w:val="en-US" w:eastAsia="zh-CN" w:bidi="ar-SA"/>
              </w:rPr>
            </w:pPr>
            <w:r>
              <w:rPr>
                <w:rFonts w:hint="eastAsia"/>
                <w:highlight w:val="none"/>
              </w:rPr>
              <w:t>【提供承诺函并加盖投标人单位公章】</w:t>
            </w:r>
          </w:p>
        </w:tc>
        <w:tc>
          <w:tcPr>
            <w:tcW w:w="97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2B1A64E4">
            <w:pPr>
              <w:spacing w:line="440" w:lineRule="exact"/>
              <w:ind w:firstLine="0" w:firstLineChars="0"/>
              <w:jc w:val="left"/>
              <w:rPr>
                <w:rFonts w:hint="default" w:ascii="Times New Roman" w:hAnsi="Times New Roman" w:cs="Times New Roman"/>
                <w:color w:val="auto"/>
                <w:highlight w:val="none"/>
                <w:lang w:val="en-US" w:eastAsia="zh-CN"/>
              </w:rPr>
            </w:pPr>
          </w:p>
        </w:tc>
      </w:tr>
      <w:tr w14:paraId="3E9D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4C1ABC9A">
            <w:pPr>
              <w:spacing w:line="360" w:lineRule="auto"/>
              <w:ind w:left="0" w:leftChars="0" w:firstLine="0" w:firstLineChars="0"/>
              <w:rPr>
                <w:rFonts w:hint="eastAsia" w:eastAsia="华文宋体"/>
                <w:lang w:val="en-US" w:eastAsia="zh-CN"/>
              </w:rPr>
            </w:pPr>
            <w:r>
              <w:rPr>
                <w:rFonts w:hint="eastAsia"/>
                <w:lang w:val="en-US" w:eastAsia="zh-CN"/>
              </w:rPr>
              <w:t>4</w:t>
            </w:r>
          </w:p>
        </w:tc>
        <w:tc>
          <w:tcPr>
            <w:tcW w:w="1515" w:type="dxa"/>
            <w:tcBorders>
              <w:top w:val="single" w:color="auto" w:sz="4" w:space="0"/>
              <w:left w:val="single" w:color="auto" w:sz="4" w:space="0"/>
              <w:right w:val="single" w:color="auto" w:sz="4" w:space="0"/>
            </w:tcBorders>
            <w:shd w:val="clear" w:color="auto" w:fill="auto"/>
            <w:tcMar>
              <w:left w:w="108" w:type="dxa"/>
              <w:right w:w="108" w:type="dxa"/>
            </w:tcMar>
            <w:vAlign w:val="center"/>
          </w:tcPr>
          <w:p w14:paraId="5193B865">
            <w:pPr>
              <w:spacing w:line="440" w:lineRule="exact"/>
              <w:ind w:firstLine="0" w:firstLineChars="0"/>
              <w:jc w:val="center"/>
              <w:rPr>
                <w:b/>
                <w:bCs/>
                <w:highlight w:val="none"/>
              </w:rPr>
            </w:pPr>
            <w:r>
              <w:rPr>
                <w:b/>
                <w:bCs/>
                <w:highlight w:val="none"/>
              </w:rPr>
              <w:t>技术响应</w:t>
            </w:r>
          </w:p>
          <w:p w14:paraId="02DFC2C9">
            <w:pPr>
              <w:spacing w:line="440" w:lineRule="exact"/>
              <w:ind w:firstLine="480" w:firstLineChars="200"/>
              <w:rPr>
                <w:rFonts w:hint="default" w:ascii="Times New Roman" w:hAnsi="Times New Roman" w:eastAsia="华文宋体" w:cs="Times New Roman"/>
                <w:b/>
                <w:bCs/>
                <w:kern w:val="2"/>
                <w:sz w:val="24"/>
                <w:highlight w:val="none"/>
                <w:lang w:val="en-US" w:eastAsia="zh-CN" w:bidi="ar-SA"/>
              </w:rPr>
            </w:pPr>
            <w:r>
              <w:rPr>
                <w:rFonts w:hint="eastAsia"/>
                <w:b/>
                <w:bCs/>
                <w:highlight w:val="none"/>
              </w:rPr>
              <w:t>1</w:t>
            </w:r>
            <w:r>
              <w:rPr>
                <w:b/>
                <w:bCs/>
                <w:highlight w:val="none"/>
              </w:rPr>
              <w:t>6分</w:t>
            </w:r>
          </w:p>
        </w:tc>
        <w:tc>
          <w:tcPr>
            <w:tcW w:w="524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2CC9876E">
            <w:pPr>
              <w:ind w:firstLine="0" w:firstLineChars="0"/>
              <w:jc w:val="left"/>
            </w:pPr>
            <w:r>
              <w:rPr>
                <w:rFonts w:hint="eastAsia"/>
              </w:rPr>
              <w:t>1. 系统核心功能匹配度（16分）</w:t>
            </w:r>
          </w:p>
          <w:p w14:paraId="29B14BBF">
            <w:pPr>
              <w:ind w:firstLine="0" w:firstLineChars="0"/>
              <w:jc w:val="left"/>
            </w:pPr>
            <w:r>
              <w:rPr>
                <w:rFonts w:hint="eastAsia"/>
              </w:rPr>
              <w:t>依据招标文件技术需求全部智能配置管理功能要求（市场快速报价配置、产品线管理、配置特征库、超配BOM、配置规则引擎、精确BOM生成、CBB知识库管理、CATIA 3DE MBD模型的管理和可视化能力、系统集成能力）进行评审：</w:t>
            </w:r>
          </w:p>
          <w:p w14:paraId="76F2366E">
            <w:pPr>
              <w:ind w:firstLine="0" w:firstLineChars="0"/>
              <w:jc w:val="left"/>
            </w:pPr>
            <w:r>
              <w:rPr>
                <w:rFonts w:hint="eastAsia"/>
              </w:rPr>
              <w:t>（1）</w:t>
            </w:r>
            <w:r>
              <w:rPr>
                <w:rFonts w:hint="eastAsia"/>
                <w:lang w:val="en-US" w:eastAsia="zh-CN"/>
              </w:rPr>
              <w:t>优秀（14-16分）：功能全覆盖：以上功能逐一响应，无缺漏。 细节完整：每项功能均有清晰的功能截图或界面原型佐证，功能描述逻辑清晰、流程完整（如配置规则引擎须说明规则配置界面、规则类型、执行逻辑及输出结果）。可落地性强：有明确的应用场景用例（如“市场人员选择车型→配置特征库筛选→规则校验→精确BOM输出”全链路），证明方案可支撑实际业务运作。有增值优化：在满足招标要求基础上，提出额外优化点（如性能提升、操作简化、智能推荐等），体现“优于”要求</w:t>
            </w:r>
            <w:r>
              <w:rPr>
                <w:rFonts w:hint="eastAsia"/>
              </w:rPr>
              <w:t>；</w:t>
            </w:r>
          </w:p>
          <w:p w14:paraId="5E55460F">
            <w:pPr>
              <w:ind w:firstLine="0" w:firstLineChars="0"/>
              <w:jc w:val="left"/>
            </w:pPr>
            <w:r>
              <w:rPr>
                <w:rFonts w:hint="eastAsia"/>
              </w:rPr>
              <w:t>（2）</w:t>
            </w:r>
            <w:r>
              <w:rPr>
                <w:rFonts w:hint="eastAsia"/>
                <w:lang w:val="en-US" w:eastAsia="zh-CN"/>
              </w:rPr>
              <w:t>良好（7-13分）：功能基本覆盖，但存在1-2项描述简略或未提供截图佐证。功能描述正确但偏列表式，缺少业务流程串联和操作细节说明。有功能说明但无截图佐证，或截图与功能描述匹配度不高。能说明功能“是什么”，但未充分说明“怎么用”及“用在哪”</w:t>
            </w:r>
            <w:r>
              <w:rPr>
                <w:rFonts w:hint="eastAsia"/>
              </w:rPr>
              <w:t>；</w:t>
            </w:r>
          </w:p>
          <w:p w14:paraId="331C201E">
            <w:pPr>
              <w:ind w:firstLine="0" w:firstLineChars="0"/>
              <w:jc w:val="left"/>
              <w:rPr>
                <w:rFonts w:hint="eastAsia"/>
                <w:lang w:val="en-US" w:eastAsia="zh-CN"/>
              </w:rPr>
            </w:pPr>
            <w:r>
              <w:rPr>
                <w:rFonts w:hint="eastAsia"/>
              </w:rPr>
              <w:t>（3）</w:t>
            </w:r>
            <w:r>
              <w:rPr>
                <w:rFonts w:hint="eastAsia"/>
                <w:lang w:val="en-US" w:eastAsia="zh-CN"/>
              </w:rPr>
              <w:t>一般（0-6分）：功能中缺项≥3项，或多项仅用一句话概括。功能描述笼统空泛，大量套用通用话术（如“支持BOM管理”、“具备配置功能”），无具体界面、流程或逻辑说明。未体现对本项目业务场景（如CATIA 3DE集成）的理解，方案不可落地或不满足基本业务需求。完全无截图或截图与系统功能无关。</w:t>
            </w:r>
          </w:p>
          <w:p w14:paraId="2906E738">
            <w:pPr>
              <w:ind w:firstLine="0" w:firstLineChars="0"/>
              <w:jc w:val="left"/>
              <w:rPr>
                <w:rFonts w:hint="eastAsia" w:ascii="Times New Roman" w:hAnsi="Times New Roman" w:eastAsia="华文宋体" w:cs="Times New Roman"/>
                <w:kern w:val="2"/>
                <w:sz w:val="24"/>
                <w:lang w:val="en-US" w:eastAsia="zh-CN" w:bidi="ar-SA"/>
              </w:rPr>
            </w:pPr>
            <w:r>
              <w:rPr>
                <w:rFonts w:hint="eastAsia"/>
                <w:b/>
                <w:bCs/>
                <w:lang w:val="en-US" w:eastAsia="zh-CN"/>
              </w:rPr>
              <w:t>佐证材料要求</w:t>
            </w:r>
            <w:r>
              <w:rPr>
                <w:rFonts w:hint="eastAsia"/>
                <w:lang w:val="en-US" w:eastAsia="zh-CN"/>
              </w:rPr>
              <w:t>：逐一响应附功能截图/原型佐证，链路用例完整；CATIA 3DE MBD管理与可视化方案清晰；系统集成方式明确；附带规则智能推荐等增值优化点。</w:t>
            </w:r>
          </w:p>
        </w:tc>
        <w:tc>
          <w:tcPr>
            <w:tcW w:w="97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55CD0AA1">
            <w:pPr>
              <w:spacing w:line="440" w:lineRule="exact"/>
              <w:ind w:firstLine="0" w:firstLineChars="0"/>
              <w:jc w:val="left"/>
              <w:rPr>
                <w:rFonts w:hint="eastAsia" w:ascii="Times New Roman" w:hAnsi="Times New Roman" w:cs="Times New Roman"/>
                <w:color w:val="auto"/>
                <w:highlight w:val="none"/>
                <w:lang w:val="en-US" w:eastAsia="zh-CN"/>
              </w:rPr>
            </w:pPr>
          </w:p>
        </w:tc>
      </w:tr>
      <w:tr w14:paraId="1F0B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9"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10C5AF90">
            <w:pPr>
              <w:spacing w:line="360" w:lineRule="auto"/>
              <w:ind w:left="0" w:leftChars="0" w:firstLine="0" w:firstLineChars="0"/>
              <w:rPr>
                <w:rFonts w:hint="eastAsia" w:eastAsia="华文宋体"/>
                <w:lang w:val="en-US" w:eastAsia="zh-CN"/>
              </w:rPr>
            </w:pPr>
            <w:r>
              <w:rPr>
                <w:rFonts w:hint="eastAsia"/>
                <w:lang w:val="en-US" w:eastAsia="zh-CN"/>
              </w:rPr>
              <w:t>5</w:t>
            </w:r>
          </w:p>
        </w:tc>
        <w:tc>
          <w:tcPr>
            <w:tcW w:w="1515" w:type="dxa"/>
            <w:tcBorders>
              <w:left w:val="single" w:color="auto" w:sz="4" w:space="0"/>
              <w:right w:val="single" w:color="auto" w:sz="4" w:space="0"/>
            </w:tcBorders>
            <w:shd w:val="clear" w:color="auto" w:fill="auto"/>
            <w:tcMar>
              <w:left w:w="108" w:type="dxa"/>
              <w:right w:w="108" w:type="dxa"/>
            </w:tcMar>
            <w:vAlign w:val="center"/>
          </w:tcPr>
          <w:p w14:paraId="32E626D3">
            <w:pPr>
              <w:ind w:firstLine="0" w:firstLineChars="0"/>
              <w:rPr>
                <w:b/>
                <w:bCs/>
                <w:highlight w:val="none"/>
              </w:rPr>
            </w:pPr>
          </w:p>
          <w:p w14:paraId="0EE91197">
            <w:pPr>
              <w:ind w:firstLine="0" w:firstLineChars="0"/>
              <w:rPr>
                <w:b/>
                <w:bCs/>
                <w:highlight w:val="none"/>
              </w:rPr>
            </w:pPr>
            <w:r>
              <w:rPr>
                <w:b/>
                <w:bCs/>
                <w:highlight w:val="none"/>
              </w:rPr>
              <w:t>关键方案匹配</w:t>
            </w:r>
          </w:p>
          <w:p w14:paraId="7E17A200">
            <w:pPr>
              <w:ind w:firstLine="480" w:firstLineChars="200"/>
              <w:rPr>
                <w:rFonts w:hint="eastAsia"/>
                <w:b/>
                <w:bCs/>
                <w:highlight w:val="none"/>
                <w:lang w:eastAsia="zh-CN"/>
              </w:rPr>
            </w:pPr>
            <w:r>
              <w:rPr>
                <w:rFonts w:hint="eastAsia"/>
                <w:b/>
                <w:bCs/>
                <w:highlight w:val="none"/>
                <w:lang w:eastAsia="zh-CN"/>
              </w:rPr>
              <w:t>评价</w:t>
            </w:r>
          </w:p>
          <w:p w14:paraId="69F59808">
            <w:pPr>
              <w:ind w:firstLine="480" w:firstLineChars="200"/>
              <w:rPr>
                <w:rFonts w:hint="default" w:ascii="Times New Roman" w:hAnsi="Times New Roman" w:eastAsia="华文宋体" w:cs="Times New Roman"/>
                <w:b/>
                <w:bCs/>
                <w:kern w:val="2"/>
                <w:sz w:val="24"/>
                <w:highlight w:val="none"/>
                <w:lang w:val="en-US" w:eastAsia="zh-CN" w:bidi="ar-SA"/>
              </w:rPr>
            </w:pPr>
            <w:r>
              <w:rPr>
                <w:rFonts w:hint="eastAsia"/>
                <w:b/>
                <w:bCs/>
                <w:highlight w:val="none"/>
                <w:lang w:val="en-US" w:eastAsia="zh-CN"/>
              </w:rPr>
              <w:t>7</w:t>
            </w:r>
            <w:r>
              <w:rPr>
                <w:b/>
                <w:bCs/>
                <w:highlight w:val="none"/>
              </w:rPr>
              <w:t>分</w:t>
            </w:r>
          </w:p>
        </w:tc>
        <w:tc>
          <w:tcPr>
            <w:tcW w:w="524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AF01ED0">
            <w:pPr>
              <w:ind w:firstLine="0" w:firstLineChars="0"/>
              <w:jc w:val="left"/>
            </w:pPr>
            <w:r>
              <w:rPr>
                <w:rFonts w:hint="eastAsia"/>
                <w:lang w:val="en-US" w:eastAsia="zh-CN"/>
              </w:rPr>
              <w:t>2</w:t>
            </w:r>
            <w:r>
              <w:rPr>
                <w:rFonts w:hint="eastAsia"/>
              </w:rPr>
              <w:t>. 智能化建设方案匹配度（</w:t>
            </w:r>
            <w:r>
              <w:rPr>
                <w:rFonts w:hint="eastAsia"/>
                <w:lang w:val="en-US" w:eastAsia="zh-CN"/>
              </w:rPr>
              <w:t>7</w:t>
            </w:r>
            <w:r>
              <w:rPr>
                <w:rFonts w:hint="eastAsia"/>
              </w:rPr>
              <w:t>分）</w:t>
            </w:r>
          </w:p>
          <w:p w14:paraId="72A39DC3">
            <w:pPr>
              <w:ind w:firstLine="0" w:firstLineChars="0"/>
              <w:jc w:val="left"/>
            </w:pPr>
            <w:r>
              <w:rPr>
                <w:rFonts w:hint="eastAsia"/>
              </w:rPr>
              <w:t>依据本项目智能化建设内容（智能配置引擎、知识图谱规则库、CATIA 3DE 3D设计联动、历史数据挖掘、供应链协同）评审：</w:t>
            </w:r>
          </w:p>
          <w:p w14:paraId="41BA336E">
            <w:pPr>
              <w:numPr>
                <w:ilvl w:val="0"/>
                <w:numId w:val="5"/>
              </w:numPr>
              <w:ind w:firstLine="0" w:firstLineChars="0"/>
              <w:jc w:val="left"/>
              <w:rPr>
                <w:rFonts w:hint="eastAsia"/>
                <w:lang w:eastAsia="zh-CN"/>
              </w:rPr>
            </w:pPr>
            <w:r>
              <w:rPr>
                <w:rFonts w:hint="eastAsia"/>
                <w:lang w:val="en-US" w:eastAsia="zh-CN"/>
              </w:rPr>
              <w:t>优秀（6-7分）：方案须对智能配置引擎、知识图谱规则库、CATIA 3DE 3D设计联动、历史数据挖掘、供应链协同等建设内容以独立章节逐一响应，无一缺漏；在功能描述基础上，须进一步阐明技术实现路径——包括智能校验的规则类型与触发机制、数据挖掘的具体算法与输出形式、模型联动的接口协议与同步策略、供应链协同的覆盖范围与数据传递标准等；同时，须承诺交付规则库文档、接口规范、数据模型设计说明书等阶段性成果物，体现方案的落地闭环能力</w:t>
            </w:r>
            <w:r>
              <w:rPr>
                <w:rFonts w:hint="eastAsia"/>
                <w:lang w:eastAsia="zh-CN"/>
              </w:rPr>
              <w:t>；</w:t>
            </w:r>
          </w:p>
          <w:p w14:paraId="04CD3085">
            <w:pPr>
              <w:numPr>
                <w:ilvl w:val="0"/>
                <w:numId w:val="5"/>
              </w:numPr>
              <w:ind w:firstLine="0" w:firstLineChars="0"/>
              <w:jc w:val="left"/>
            </w:pPr>
            <w:r>
              <w:rPr>
                <w:rFonts w:hint="eastAsia"/>
                <w:lang w:val="en-US" w:eastAsia="zh-CN"/>
              </w:rPr>
              <w:t>良好（3-5分）：但存在1-2项仅做表面描述（如一段话介绍概念），缺乏技术实现路径。有智能化设计的意识，但内容偏常规化。例如，提及“智能规则校验”但未说明校验规则的具体类型和来源；提及“数据洞察”但停留在报表统计层面，未涉及算法模型；提及“3D联动”但未说明接口协议和触发逻辑。方案多为功能列表式罗列，缺少业务场景驱动的设计思路；</w:t>
            </w:r>
          </w:p>
          <w:p w14:paraId="6F265034">
            <w:pPr>
              <w:numPr>
                <w:ilvl w:val="0"/>
                <w:numId w:val="5"/>
              </w:numPr>
              <w:ind w:left="0" w:leftChars="0" w:firstLine="0" w:firstLineChars="0"/>
              <w:jc w:val="left"/>
              <w:rPr>
                <w:rFonts w:hint="eastAsia"/>
                <w:lang w:val="en-US" w:eastAsia="zh-CN"/>
              </w:rPr>
            </w:pPr>
            <w:r>
              <w:rPr>
                <w:rFonts w:hint="eastAsia"/>
                <w:lang w:val="en-US" w:eastAsia="zh-CN"/>
              </w:rPr>
              <w:t>一般（0-2分）：五项内容中缺项≥2项，或多项内容仅用寥寥数语概括。方案内容泛泛而谈，大量套用通用智能化话术（如“利用AI技术”、“实现大数据分析”），无具体技术选型、无实现路径、无落地保障。</w:t>
            </w:r>
            <w:r>
              <w:rPr>
                <w:rFonts w:hint="eastAsia"/>
                <w:lang w:val="en-US" w:eastAsia="zh-CN"/>
              </w:rPr>
              <w:br w:type="textWrapping"/>
            </w:r>
            <w:r>
              <w:rPr>
                <w:rFonts w:hint="eastAsia"/>
                <w:lang w:val="en-US" w:eastAsia="zh-CN"/>
              </w:rPr>
              <w:t>仅重复招标文件中的需求原文，未体现投标方对智能化建设的理解和深化设计能力。</w:t>
            </w:r>
          </w:p>
          <w:p w14:paraId="21526A05">
            <w:pPr>
              <w:numPr>
                <w:ilvl w:val="0"/>
                <w:numId w:val="0"/>
              </w:numPr>
              <w:ind w:left="0" w:leftChars="0" w:firstLine="0" w:firstLineChars="0"/>
              <w:jc w:val="left"/>
              <w:rPr>
                <w:rFonts w:hint="eastAsia" w:ascii="Times New Roman" w:hAnsi="Times New Roman" w:eastAsia="华文宋体" w:cs="Times New Roman"/>
                <w:kern w:val="2"/>
                <w:sz w:val="24"/>
                <w:lang w:val="en-US" w:eastAsia="zh-CN" w:bidi="ar-SA"/>
              </w:rPr>
            </w:pPr>
            <w:r>
              <w:rPr>
                <w:rFonts w:hint="eastAsia"/>
                <w:b/>
                <w:bCs/>
                <w:lang w:val="en-US" w:eastAsia="zh-CN"/>
              </w:rPr>
              <w:t>佐证材料要求</w:t>
            </w:r>
            <w:r>
              <w:rPr>
                <w:rFonts w:hint="eastAsia"/>
                <w:lang w:val="en-US" w:eastAsia="zh-CN"/>
              </w:rPr>
              <w:t>：五项内容逐一响应，路径清晰，承诺交付规则库文档、接口规范及数据模型设计说明书。</w:t>
            </w:r>
          </w:p>
        </w:tc>
        <w:tc>
          <w:tcPr>
            <w:tcW w:w="97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1ED57FA3">
            <w:pPr>
              <w:spacing w:line="440" w:lineRule="exact"/>
              <w:ind w:firstLine="0" w:firstLineChars="0"/>
              <w:jc w:val="left"/>
              <w:rPr>
                <w:rFonts w:hint="eastAsia" w:ascii="Times New Roman" w:hAnsi="Times New Roman" w:cs="Times New Roman"/>
                <w:color w:val="auto"/>
                <w:highlight w:val="none"/>
                <w:lang w:val="en-US" w:eastAsia="zh-CN"/>
              </w:rPr>
            </w:pPr>
          </w:p>
        </w:tc>
      </w:tr>
      <w:tr w14:paraId="57F2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759"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50D9AF83">
            <w:pPr>
              <w:spacing w:line="360" w:lineRule="auto"/>
              <w:ind w:left="0" w:leftChars="0" w:firstLine="0" w:firstLineChars="0"/>
              <w:jc w:val="center"/>
              <w:rPr>
                <w:rFonts w:hint="eastAsia" w:eastAsia="华文宋体"/>
                <w:lang w:val="en-US" w:eastAsia="zh-CN"/>
              </w:rPr>
            </w:pPr>
            <w:r>
              <w:rPr>
                <w:rFonts w:hint="eastAsia"/>
                <w:lang w:val="en-US" w:eastAsia="zh-CN"/>
              </w:rPr>
              <w:t>6</w:t>
            </w:r>
          </w:p>
        </w:tc>
        <w:tc>
          <w:tcPr>
            <w:tcW w:w="1515" w:type="dxa"/>
            <w:tcBorders>
              <w:left w:val="single" w:color="auto" w:sz="4" w:space="0"/>
              <w:bottom w:val="single" w:color="auto" w:sz="4" w:space="0"/>
              <w:right w:val="single" w:color="auto" w:sz="4" w:space="0"/>
            </w:tcBorders>
            <w:shd w:val="clear" w:color="auto" w:fill="auto"/>
            <w:tcMar>
              <w:left w:w="108" w:type="dxa"/>
              <w:right w:w="108" w:type="dxa"/>
            </w:tcMar>
            <w:vAlign w:val="center"/>
          </w:tcPr>
          <w:p w14:paraId="708D79BD">
            <w:pPr>
              <w:ind w:firstLine="0" w:firstLineChars="0"/>
              <w:jc w:val="center"/>
              <w:rPr>
                <w:rFonts w:hint="eastAsia" w:eastAsia="华文宋体"/>
                <w:b/>
                <w:bCs/>
                <w:highlight w:val="none"/>
                <w:lang w:val="en-US" w:eastAsia="zh-CN"/>
              </w:rPr>
            </w:pPr>
            <w:r>
              <w:rPr>
                <w:rFonts w:hint="eastAsia"/>
                <w:b/>
                <w:bCs/>
                <w:highlight w:val="none"/>
              </w:rPr>
              <w:t>技术架构</w:t>
            </w:r>
            <w:r>
              <w:rPr>
                <w:rFonts w:hint="eastAsia"/>
                <w:b/>
                <w:bCs/>
                <w:highlight w:val="none"/>
                <w:lang w:val="en-US" w:eastAsia="zh-CN"/>
              </w:rPr>
              <w:t>能力</w:t>
            </w:r>
          </w:p>
          <w:p w14:paraId="4B3AB815">
            <w:pPr>
              <w:ind w:firstLine="480" w:firstLineChars="200"/>
              <w:rPr>
                <w:rFonts w:hint="default" w:ascii="Times New Roman" w:hAnsi="Times New Roman" w:eastAsia="华文宋体" w:cs="Times New Roman"/>
                <w:b/>
                <w:bCs/>
                <w:kern w:val="2"/>
                <w:sz w:val="24"/>
                <w:highlight w:val="none"/>
                <w:lang w:val="en-US" w:eastAsia="zh-CN" w:bidi="ar-SA"/>
              </w:rPr>
            </w:pPr>
            <w:r>
              <w:rPr>
                <w:rFonts w:hint="eastAsia"/>
                <w:b/>
                <w:bCs/>
                <w:highlight w:val="none"/>
                <w:lang w:val="en-US" w:eastAsia="zh-CN"/>
              </w:rPr>
              <w:t>4</w:t>
            </w:r>
            <w:r>
              <w:rPr>
                <w:rFonts w:hint="eastAsia"/>
                <w:b/>
                <w:bCs/>
                <w:highlight w:val="none"/>
              </w:rPr>
              <w:t>分</w:t>
            </w:r>
          </w:p>
        </w:tc>
        <w:tc>
          <w:tcPr>
            <w:tcW w:w="524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2B48E881">
            <w:pPr>
              <w:ind w:firstLine="0" w:firstLineChars="0"/>
              <w:jc w:val="left"/>
            </w:pPr>
            <w:r>
              <w:rPr>
                <w:rFonts w:hint="eastAsia"/>
                <w:lang w:val="en-US" w:eastAsia="zh-CN"/>
              </w:rPr>
              <w:t>3</w:t>
            </w:r>
            <w:r>
              <w:rPr>
                <w:rFonts w:hint="eastAsia"/>
              </w:rPr>
              <w:t>. 项目整体技术架构与部署方案（</w:t>
            </w:r>
            <w:r>
              <w:rPr>
                <w:rFonts w:hint="eastAsia"/>
                <w:lang w:val="en-US" w:eastAsia="zh-CN"/>
              </w:rPr>
              <w:t>4</w:t>
            </w:r>
            <w:r>
              <w:rPr>
                <w:rFonts w:hint="eastAsia"/>
              </w:rPr>
              <w:t>分）</w:t>
            </w:r>
          </w:p>
          <w:p w14:paraId="28C3F09E">
            <w:pPr>
              <w:ind w:firstLine="0" w:firstLineChars="0"/>
              <w:jc w:val="left"/>
            </w:pPr>
            <w:r>
              <w:rPr>
                <w:rFonts w:hint="eastAsia"/>
              </w:rPr>
              <w:t>依据招标文件平台架构能力核心配置要求（用户并发规模、虚拟机部署方案、私有云适配、稳定性、扩展性、数据安全、兼容现有协同开发系统、</w:t>
            </w:r>
            <w:r>
              <w:t>对</w:t>
            </w:r>
            <w:r>
              <w:rPr>
                <w:rFonts w:hint="eastAsia"/>
              </w:rPr>
              <w:t>CATIA 3DE</w:t>
            </w:r>
            <w:r>
              <w:t>三维数模及其 MBD 信息进行本地化大文件访问与轻量化浏览</w:t>
            </w:r>
            <w:r>
              <w:rPr>
                <w:rFonts w:hint="eastAsia"/>
              </w:rPr>
              <w:t>、ERP系统）以及平台架构能力要求（部署环境、容错及可靠性、可扩展性等）评审：</w:t>
            </w:r>
          </w:p>
          <w:p w14:paraId="08C6F6E6">
            <w:pPr>
              <w:ind w:firstLine="0" w:firstLineChars="0"/>
              <w:jc w:val="left"/>
              <w:rPr>
                <w:rFonts w:hint="eastAsia"/>
                <w:lang w:eastAsia="zh-CN"/>
              </w:rPr>
            </w:pPr>
            <w:r>
              <w:rPr>
                <w:rFonts w:hint="eastAsia"/>
              </w:rPr>
              <w:t>（1）</w:t>
            </w:r>
            <w:r>
              <w:rPr>
                <w:rFonts w:hint="eastAsia"/>
                <w:lang w:val="en-US" w:eastAsia="zh-CN"/>
              </w:rPr>
              <w:t>优秀（3-4分）：技术架构先进，说明选型依据；适配私有云部署，给出具体云平台版本及网络、存储规划；软硬件参数配置合理，提供虚拟机CPU/内存/存储规格清单及测算依据；兼容性说明完整，逐一说明与现有协同开发系统、ERP、CAD等的集成方式（接口/中间件/数据同步），并提供既往成功案例或可行性证明；性能优势量化；扩容方案详实，明确扩容触发条件与实现方式；同时针对CATIA 3DE三维数模及MBD信息，明确本地化大文件访问的缓存机制与轻量化浏览的技术实现路径</w:t>
            </w:r>
            <w:r>
              <w:rPr>
                <w:rFonts w:hint="eastAsia"/>
                <w:lang w:eastAsia="zh-CN"/>
              </w:rPr>
              <w:t>；</w:t>
            </w:r>
          </w:p>
          <w:p w14:paraId="2683A035">
            <w:pPr>
              <w:ind w:firstLine="0" w:firstLineChars="0"/>
              <w:jc w:val="left"/>
              <w:rPr>
                <w:rFonts w:hint="eastAsia"/>
                <w:lang w:eastAsia="zh-CN"/>
              </w:rPr>
            </w:pPr>
            <w:r>
              <w:rPr>
                <w:rFonts w:hint="eastAsia"/>
              </w:rPr>
              <w:t>（2）</w:t>
            </w:r>
            <w:r>
              <w:rPr>
                <w:rFonts w:hint="eastAsia"/>
                <w:lang w:val="en-US" w:eastAsia="zh-CN"/>
              </w:rPr>
              <w:t>良好（1-2分）：架构方案完整，包含部署环境描述与软硬件配置清单，兼容性基本满足要求，对各系统集成方式有说明但细节不够深入；有性能、安全、扩展性方面的考虑，但缺少量化指标、具体技术措施或扩容触发条件等实质性内容，CATIA 3DE大文件与轻量化方案有描述但较简略</w:t>
            </w:r>
            <w:r>
              <w:rPr>
                <w:rFonts w:hint="eastAsia"/>
                <w:lang w:eastAsia="zh-CN"/>
              </w:rPr>
              <w:t>；</w:t>
            </w:r>
          </w:p>
          <w:p w14:paraId="76ECF2FE">
            <w:pPr>
              <w:ind w:firstLine="0" w:firstLineChars="0"/>
              <w:jc w:val="left"/>
              <w:rPr>
                <w:rFonts w:hint="eastAsia"/>
                <w:lang w:val="en-US" w:eastAsia="zh-CN"/>
              </w:rPr>
            </w:pPr>
            <w:r>
              <w:rPr>
                <w:rFonts w:hint="eastAsia"/>
              </w:rPr>
              <w:t>（3）</w:t>
            </w:r>
            <w:r>
              <w:rPr>
                <w:rFonts w:hint="eastAsia"/>
                <w:lang w:val="en-US" w:eastAsia="zh-CN"/>
              </w:rPr>
              <w:t>一般（0-1分）：方案简单笼统，部署描述模糊，仅有通用性表述而无具体软硬件参数配置；未体现与现有业务系统（协同开发系统、ERP、CAD）的适配分析；性能、安全、扩展性等方面无实质性描述或严重缺项。</w:t>
            </w:r>
          </w:p>
          <w:p w14:paraId="3FB5D527">
            <w:pPr>
              <w:ind w:firstLine="0" w:firstLineChars="0"/>
              <w:jc w:val="left"/>
              <w:rPr>
                <w:rFonts w:hint="eastAsia" w:ascii="Times New Roman" w:hAnsi="Times New Roman" w:eastAsia="华文宋体" w:cs="Times New Roman"/>
                <w:kern w:val="2"/>
                <w:sz w:val="24"/>
                <w:lang w:val="en-US" w:eastAsia="zh-CN" w:bidi="ar-SA"/>
              </w:rPr>
            </w:pPr>
            <w:r>
              <w:rPr>
                <w:rFonts w:hint="eastAsia"/>
                <w:b/>
                <w:bCs/>
                <w:lang w:val="en-US" w:eastAsia="zh-CN"/>
              </w:rPr>
              <w:t>佐证材料要求</w:t>
            </w:r>
            <w:r>
              <w:rPr>
                <w:rFonts w:hint="eastAsia"/>
                <w:lang w:val="en-US" w:eastAsia="zh-CN"/>
              </w:rPr>
              <w:t>：提供完整的混合部署架构图、跨平台适配方案、容灾备份方案、断点续算技术实现说明、扩展预留接口设计方案，以及CATIA 3DE大文件本地化缓存机制与轻量化浏览技术实现路径，佐证材料齐全完备。</w:t>
            </w:r>
          </w:p>
        </w:tc>
        <w:tc>
          <w:tcPr>
            <w:tcW w:w="977"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37A8ED0D">
            <w:pPr>
              <w:spacing w:line="440" w:lineRule="exact"/>
              <w:ind w:firstLine="0" w:firstLineChars="0"/>
              <w:jc w:val="left"/>
              <w:rPr>
                <w:rFonts w:hint="eastAsia" w:ascii="Times New Roman" w:hAnsi="Times New Roman" w:cs="Times New Roman"/>
                <w:color w:val="auto"/>
                <w:highlight w:val="none"/>
                <w:lang w:val="en-US" w:eastAsia="zh-CN"/>
              </w:rPr>
            </w:pPr>
          </w:p>
        </w:tc>
      </w:tr>
      <w:tr w14:paraId="00DE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759" w:type="dxa"/>
            <w:vAlign w:val="center"/>
          </w:tcPr>
          <w:p w14:paraId="35CB6653">
            <w:pPr>
              <w:spacing w:line="360" w:lineRule="auto"/>
              <w:ind w:left="0" w:leftChars="0" w:firstLine="0" w:firstLineChars="0"/>
              <w:jc w:val="center"/>
              <w:rPr>
                <w:rFonts w:hint="default" w:eastAsia="华文宋体"/>
                <w:lang w:val="en-US" w:eastAsia="zh-CN"/>
              </w:rPr>
            </w:pPr>
            <w:r>
              <w:rPr>
                <w:rFonts w:hint="eastAsia"/>
                <w:lang w:val="en-US" w:eastAsia="zh-CN"/>
              </w:rPr>
              <w:t>7</w:t>
            </w:r>
          </w:p>
        </w:tc>
        <w:tc>
          <w:tcPr>
            <w:tcW w:w="1515" w:type="dxa"/>
            <w:shd w:val="clear" w:color="auto" w:fill="auto"/>
            <w:vAlign w:val="center"/>
          </w:tcPr>
          <w:p w14:paraId="2C047203">
            <w:pPr>
              <w:ind w:firstLine="0" w:firstLineChars="0"/>
              <w:jc w:val="center"/>
              <w:rPr>
                <w:rFonts w:hint="eastAsia" w:eastAsia="华文宋体"/>
                <w:b/>
                <w:bCs/>
                <w:highlight w:val="none"/>
                <w:lang w:eastAsia="zh-CN"/>
              </w:rPr>
            </w:pPr>
            <w:r>
              <w:rPr>
                <w:b/>
                <w:bCs/>
                <w:highlight w:val="none"/>
              </w:rPr>
              <w:t>集成</w:t>
            </w:r>
            <w:r>
              <w:rPr>
                <w:rFonts w:hint="eastAsia"/>
                <w:b/>
                <w:bCs/>
                <w:highlight w:val="none"/>
                <w:lang w:val="en-US" w:eastAsia="zh-CN"/>
              </w:rPr>
              <w:t>能力</w:t>
            </w:r>
          </w:p>
          <w:p w14:paraId="452D9928">
            <w:pPr>
              <w:ind w:firstLine="480" w:firstLineChars="200"/>
              <w:rPr>
                <w:rFonts w:hint="default" w:ascii="Times New Roman" w:hAnsi="Times New Roman" w:eastAsia="华文宋体" w:cs="Times New Roman"/>
                <w:b/>
                <w:bCs/>
                <w:kern w:val="2"/>
                <w:sz w:val="24"/>
                <w:highlight w:val="none"/>
                <w:lang w:val="en-US" w:eastAsia="zh-CN" w:bidi="ar-SA"/>
              </w:rPr>
            </w:pPr>
            <w:r>
              <w:rPr>
                <w:rFonts w:hint="eastAsia"/>
                <w:b/>
                <w:bCs/>
                <w:highlight w:val="none"/>
                <w:lang w:val="en-US" w:eastAsia="zh-CN"/>
              </w:rPr>
              <w:t>4</w:t>
            </w:r>
            <w:r>
              <w:rPr>
                <w:rFonts w:hint="eastAsia"/>
                <w:b/>
                <w:bCs/>
                <w:highlight w:val="none"/>
              </w:rPr>
              <w:t>分</w:t>
            </w:r>
          </w:p>
        </w:tc>
        <w:tc>
          <w:tcPr>
            <w:tcW w:w="5247" w:type="dxa"/>
            <w:shd w:val="clear" w:color="auto" w:fill="auto"/>
            <w:vAlign w:val="center"/>
          </w:tcPr>
          <w:p w14:paraId="75769A88">
            <w:pPr>
              <w:ind w:firstLine="0" w:firstLineChars="0"/>
              <w:jc w:val="left"/>
            </w:pPr>
            <w:r>
              <w:rPr>
                <w:rFonts w:hint="eastAsia"/>
                <w:lang w:val="en-US" w:eastAsia="zh-CN"/>
              </w:rPr>
              <w:t>4</w:t>
            </w:r>
            <w:r>
              <w:rPr>
                <w:rFonts w:hint="eastAsia"/>
              </w:rPr>
              <w:t>. 系统集成与二次开发能力（</w:t>
            </w:r>
            <w:r>
              <w:rPr>
                <w:rFonts w:hint="eastAsia"/>
                <w:lang w:val="en-US" w:eastAsia="zh-CN"/>
              </w:rPr>
              <w:t>4</w:t>
            </w:r>
            <w:r>
              <w:rPr>
                <w:rFonts w:hint="eastAsia"/>
              </w:rPr>
              <w:t>分）</w:t>
            </w:r>
          </w:p>
          <w:p w14:paraId="532BA36F">
            <w:pPr>
              <w:ind w:firstLine="0" w:firstLineChars="0"/>
              <w:jc w:val="left"/>
            </w:pPr>
            <w:r>
              <w:rPr>
                <w:rFonts w:hint="eastAsia"/>
              </w:rPr>
              <w:t>针对本项目二次开发、</w:t>
            </w:r>
            <w:r>
              <w:rPr>
                <w:rFonts w:hint="eastAsia"/>
                <w:lang w:val="en-US" w:eastAsia="zh-CN"/>
              </w:rPr>
              <w:t>各</w:t>
            </w:r>
            <w:r>
              <w:rPr>
                <w:rFonts w:hint="eastAsia"/>
              </w:rPr>
              <w:t>开发模块、协同开发管理系统</w:t>
            </w:r>
            <w:r>
              <w:rPr>
                <w:rFonts w:hint="eastAsia"/>
                <w:lang w:eastAsia="zh-CN"/>
              </w:rPr>
              <w:t>、</w:t>
            </w:r>
            <w:r>
              <w:rPr>
                <w:rFonts w:hint="eastAsia"/>
              </w:rPr>
              <w:t>ERP</w:t>
            </w:r>
            <w:r>
              <w:rPr>
                <w:rFonts w:hint="eastAsia"/>
                <w:lang w:val="en-US" w:eastAsia="zh-CN"/>
              </w:rPr>
              <w:t>等</w:t>
            </w:r>
            <w:r>
              <w:rPr>
                <w:rFonts w:hint="eastAsia"/>
              </w:rPr>
              <w:t>深度集成能力评审：</w:t>
            </w:r>
          </w:p>
          <w:p w14:paraId="5FF7F27B">
            <w:pPr>
              <w:ind w:firstLine="0" w:firstLineChars="0"/>
              <w:jc w:val="left"/>
              <w:rPr>
                <w:rFonts w:hint="eastAsia"/>
                <w:lang w:eastAsia="zh-CN"/>
              </w:rPr>
            </w:pPr>
            <w:r>
              <w:rPr>
                <w:rFonts w:hint="eastAsia"/>
              </w:rPr>
              <w:t>（1）优秀（3-4分）</w:t>
            </w:r>
            <w:r>
              <w:rPr>
                <w:rFonts w:hint="eastAsia"/>
                <w:lang w:val="en-US" w:eastAsia="zh-CN"/>
              </w:rPr>
              <w:t>:</w:t>
            </w:r>
            <w:r>
              <w:rPr>
                <w:rFonts w:hint="eastAsia"/>
              </w:rPr>
              <w:t>提供完整的二次开发方案，明确开发范围、技术选型（如开发语言、框架、ORM/API工具）、模块划分及功能说明，各开发模块逻辑清晰；多系统接口集成方案详实，逐一说明与协同开发管理系统、ERP、</w:t>
            </w:r>
            <w:r>
              <w:rPr>
                <w:rFonts w:hint="eastAsia"/>
                <w:lang w:val="en-US" w:eastAsia="zh-CN"/>
              </w:rPr>
              <w:t>CAPP</w:t>
            </w:r>
            <w:r>
              <w:rPr>
                <w:rFonts w:hint="eastAsia"/>
              </w:rPr>
              <w:t>的集成方式（API/中间件/消息队列/文件交换），明确接口协议、数据格式及调用频率，并附接口清单；数据互通逻辑清晰，提供数据流向图或E-R图说明各系统间数据映射、同步机制及冲突处理策略；兼容现有业务体系，说明与现有系统版本适配情况及历史数据迁移方案；承诺交付接口规范、二次开发手册等成果物</w:t>
            </w:r>
            <w:r>
              <w:rPr>
                <w:rFonts w:hint="eastAsia"/>
                <w:lang w:eastAsia="zh-CN"/>
              </w:rPr>
              <w:t>；</w:t>
            </w:r>
          </w:p>
          <w:p w14:paraId="5EAAAC61">
            <w:pPr>
              <w:ind w:firstLine="0" w:firstLineChars="0"/>
              <w:jc w:val="left"/>
            </w:pPr>
            <w:r>
              <w:rPr>
                <w:rFonts w:hint="eastAsia"/>
              </w:rPr>
              <w:t>（2）良好（</w:t>
            </w:r>
            <w:r>
              <w:rPr>
                <w:rFonts w:hint="eastAsia"/>
                <w:lang w:val="en-US" w:eastAsia="zh-CN"/>
              </w:rPr>
              <w:t>1</w:t>
            </w:r>
            <w:r>
              <w:rPr>
                <w:rFonts w:hint="eastAsia"/>
              </w:rPr>
              <w:t>-</w:t>
            </w:r>
            <w:r>
              <w:rPr>
                <w:rFonts w:hint="eastAsia"/>
                <w:lang w:val="en-US" w:eastAsia="zh-CN"/>
              </w:rPr>
              <w:t>2</w:t>
            </w:r>
            <w:r>
              <w:rPr>
                <w:rFonts w:hint="eastAsia"/>
              </w:rPr>
              <w:t>分）</w:t>
            </w:r>
            <w:r>
              <w:rPr>
                <w:rFonts w:hint="eastAsia"/>
                <w:lang w:eastAsia="zh-CN"/>
              </w:rPr>
              <w:t>：</w:t>
            </w:r>
            <w:r>
              <w:rPr>
                <w:rFonts w:hint="eastAsia"/>
              </w:rPr>
              <w:t>具备集成与二次开发方案，内容较完整，有开发模块划分和集成方式的基本描述；提及与协同开发管理系统、ERP、</w:t>
            </w:r>
            <w:r>
              <w:rPr>
                <w:rFonts w:hint="eastAsia"/>
                <w:lang w:val="en-US" w:eastAsia="zh-CN"/>
              </w:rPr>
              <w:t>CAPP</w:t>
            </w:r>
            <w:r>
              <w:rPr>
                <w:rFonts w:hint="eastAsia"/>
              </w:rPr>
              <w:t>的集成，但接口细节（如协议、格式）不充分；数据互通有说明但逻辑不够清晰，缺少数据流图等辅助说明；兼容性描述较笼统，整体方案可落地但深度不足</w:t>
            </w:r>
            <w:r>
              <w:rPr>
                <w:rFonts w:hint="eastAsia"/>
                <w:lang w:eastAsia="zh-CN"/>
              </w:rPr>
              <w:t>；</w:t>
            </w:r>
          </w:p>
          <w:p w14:paraId="29A3C0E6">
            <w:pPr>
              <w:ind w:firstLine="0" w:firstLineChars="0"/>
              <w:jc w:val="left"/>
              <w:rPr>
                <w:rFonts w:hint="eastAsia"/>
                <w:lang w:eastAsia="zh-CN"/>
              </w:rPr>
            </w:pPr>
            <w:r>
              <w:rPr>
                <w:rFonts w:hint="eastAsia"/>
              </w:rPr>
              <w:t>（3）一般（</w:t>
            </w:r>
            <w:r>
              <w:rPr>
                <w:rFonts w:hint="eastAsia"/>
                <w:lang w:val="en-US" w:eastAsia="zh-CN"/>
              </w:rPr>
              <w:t>0</w:t>
            </w:r>
            <w:r>
              <w:rPr>
                <w:rFonts w:hint="eastAsia"/>
              </w:rPr>
              <w:t>-</w:t>
            </w:r>
            <w:r>
              <w:rPr>
                <w:rFonts w:hint="eastAsia"/>
                <w:lang w:val="en-US" w:eastAsia="zh-CN"/>
              </w:rPr>
              <w:t>1</w:t>
            </w:r>
            <w:r>
              <w:rPr>
                <w:rFonts w:hint="eastAsia"/>
              </w:rPr>
              <w:t>分）</w:t>
            </w:r>
            <w:r>
              <w:rPr>
                <w:rFonts w:hint="eastAsia"/>
                <w:lang w:eastAsia="zh-CN"/>
              </w:rPr>
              <w:t>：</w:t>
            </w:r>
            <w:r>
              <w:rPr>
                <w:rFonts w:hint="eastAsia"/>
              </w:rPr>
              <w:t>仅简单描述有二次开发和系统集成能力，无具体开发模块划分、无接口协议与技术实现细节、无数据交互逻辑说明；对各系统集成仅泛泛提及，未体现对现有业务体系的兼容分析</w:t>
            </w:r>
            <w:r>
              <w:rPr>
                <w:rFonts w:hint="eastAsia"/>
                <w:lang w:eastAsia="zh-CN"/>
              </w:rPr>
              <w:t>。</w:t>
            </w:r>
          </w:p>
          <w:p w14:paraId="5654E762">
            <w:pPr>
              <w:ind w:firstLine="0" w:firstLineChars="0"/>
              <w:jc w:val="left"/>
              <w:rPr>
                <w:rFonts w:hint="eastAsia" w:ascii="Times New Roman" w:hAnsi="Times New Roman" w:eastAsia="华文宋体" w:cs="Times New Roman"/>
                <w:kern w:val="2"/>
                <w:sz w:val="24"/>
                <w:lang w:val="en-US" w:eastAsia="zh-CN" w:bidi="ar-SA"/>
              </w:rPr>
            </w:pPr>
            <w:r>
              <w:rPr>
                <w:rFonts w:hint="eastAsia"/>
                <w:b/>
                <w:bCs/>
                <w:lang w:val="en-US" w:eastAsia="zh-CN"/>
              </w:rPr>
              <w:t>佐证材料要求</w:t>
            </w:r>
            <w:r>
              <w:rPr>
                <w:rFonts w:hint="eastAsia"/>
                <w:lang w:val="en-US" w:eastAsia="zh-CN"/>
              </w:rPr>
              <w:t>：</w:t>
            </w:r>
            <w:r>
              <w:rPr>
                <w:rFonts w:hint="eastAsia"/>
              </w:rPr>
              <w:t>提供完整二次开发方案；详述多系统接口集成方式、协议与格式；数据互通逻辑清晰；兼容现有系统，迁移方案完备；交付接口规范与开发手册</w:t>
            </w:r>
            <w:r>
              <w:rPr>
                <w:rFonts w:hint="eastAsia"/>
                <w:lang w:eastAsia="zh-CN"/>
              </w:rPr>
              <w:t>。</w:t>
            </w:r>
          </w:p>
        </w:tc>
        <w:tc>
          <w:tcPr>
            <w:tcW w:w="977" w:type="dxa"/>
          </w:tcPr>
          <w:p w14:paraId="044476F0">
            <w:pPr>
              <w:spacing w:line="440" w:lineRule="exact"/>
              <w:ind w:firstLine="0" w:firstLineChars="0"/>
              <w:jc w:val="left"/>
              <w:rPr>
                <w:rFonts w:hint="eastAsia" w:ascii="Times New Roman" w:hAnsi="Times New Roman" w:cs="Times New Roman"/>
                <w:color w:val="auto"/>
                <w:highlight w:val="none"/>
                <w:lang w:val="en-US" w:eastAsia="zh-CN"/>
              </w:rPr>
            </w:pPr>
          </w:p>
        </w:tc>
      </w:tr>
      <w:tr w14:paraId="4B9A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759" w:type="dxa"/>
            <w:vAlign w:val="center"/>
          </w:tcPr>
          <w:p w14:paraId="337F8FB7">
            <w:pPr>
              <w:spacing w:line="360" w:lineRule="auto"/>
              <w:ind w:left="0" w:leftChars="0" w:firstLine="0" w:firstLineChars="0"/>
              <w:jc w:val="center"/>
              <w:rPr>
                <w:rFonts w:hint="default"/>
                <w:lang w:val="en-US" w:eastAsia="zh-CN"/>
              </w:rPr>
            </w:pPr>
            <w:r>
              <w:rPr>
                <w:rFonts w:hint="eastAsia"/>
                <w:lang w:val="en-US" w:eastAsia="zh-CN"/>
              </w:rPr>
              <w:t>8</w:t>
            </w:r>
          </w:p>
        </w:tc>
        <w:tc>
          <w:tcPr>
            <w:tcW w:w="1515" w:type="dxa"/>
            <w:shd w:val="clear" w:color="auto" w:fill="auto"/>
            <w:vAlign w:val="center"/>
          </w:tcPr>
          <w:p w14:paraId="65391024">
            <w:pPr>
              <w:ind w:firstLine="0" w:firstLineChars="0"/>
              <w:jc w:val="center"/>
              <w:rPr>
                <w:rFonts w:hint="eastAsia"/>
                <w:b/>
                <w:bCs/>
                <w:highlight w:val="none"/>
                <w:lang w:val="en-US" w:eastAsia="zh-CN"/>
              </w:rPr>
            </w:pPr>
          </w:p>
          <w:p w14:paraId="54924283">
            <w:pPr>
              <w:ind w:left="0" w:leftChars="0" w:firstLine="0" w:firstLineChars="0"/>
              <w:jc w:val="center"/>
              <w:rPr>
                <w:rFonts w:hint="eastAsia"/>
                <w:b/>
                <w:bCs/>
                <w:highlight w:val="none"/>
                <w:lang w:eastAsia="zh-CN"/>
              </w:rPr>
            </w:pPr>
            <w:r>
              <w:rPr>
                <w:rFonts w:ascii="华文宋体" w:hAnsi="华文宋体" w:eastAsia="华文宋体"/>
                <w:b/>
                <w:sz w:val="24"/>
                <w:szCs w:val="20"/>
                <w:highlight w:val="none"/>
              </w:rPr>
              <w:t>项目实施方案</w:t>
            </w:r>
            <w:r>
              <w:rPr>
                <w:rFonts w:hint="eastAsia"/>
                <w:b/>
                <w:bCs/>
                <w:highlight w:val="none"/>
                <w:lang w:eastAsia="zh-CN"/>
              </w:rPr>
              <w:t>评价</w:t>
            </w:r>
          </w:p>
          <w:p w14:paraId="76B0CEF0">
            <w:pPr>
              <w:ind w:firstLine="0" w:firstLineChars="0"/>
              <w:jc w:val="center"/>
              <w:rPr>
                <w:rFonts w:hint="default" w:ascii="Times New Roman" w:hAnsi="Times New Roman" w:eastAsia="华文宋体" w:cs="Times New Roman"/>
                <w:b/>
                <w:bCs/>
                <w:kern w:val="2"/>
                <w:sz w:val="24"/>
                <w:highlight w:val="none"/>
                <w:lang w:val="en-US" w:eastAsia="zh-CN" w:bidi="ar-SA"/>
              </w:rPr>
            </w:pPr>
            <w:r>
              <w:rPr>
                <w:rFonts w:hint="eastAsia"/>
                <w:b/>
                <w:bCs/>
                <w:highlight w:val="none"/>
                <w:lang w:val="en-US" w:eastAsia="zh-CN"/>
              </w:rPr>
              <w:t>5</w:t>
            </w:r>
            <w:r>
              <w:rPr>
                <w:rFonts w:hint="eastAsia"/>
                <w:b/>
                <w:bCs/>
                <w:highlight w:val="none"/>
              </w:rPr>
              <w:t>分</w:t>
            </w:r>
          </w:p>
        </w:tc>
        <w:tc>
          <w:tcPr>
            <w:tcW w:w="5247" w:type="dxa"/>
            <w:shd w:val="clear" w:color="auto" w:fill="auto"/>
            <w:vAlign w:val="center"/>
          </w:tcPr>
          <w:p w14:paraId="40B6F388">
            <w:pPr>
              <w:keepNext w:val="0"/>
              <w:keepLines w:val="0"/>
              <w:adjustRightInd w:val="0"/>
              <w:snapToGrid w:val="0"/>
              <w:spacing w:line="440" w:lineRule="exact"/>
              <w:ind w:left="0" w:leftChars="0" w:firstLine="0" w:firstLineChars="0"/>
              <w:jc w:val="left"/>
            </w:pPr>
            <w:r>
              <w:rPr>
                <w:rFonts w:hint="eastAsia"/>
                <w:lang w:val="en-US" w:eastAsia="zh-CN"/>
              </w:rPr>
              <w:t>5</w:t>
            </w:r>
            <w:r>
              <w:t>. 项目实施方案</w:t>
            </w:r>
            <w:r>
              <w:rPr>
                <w:rFonts w:hint="eastAsia"/>
                <w:lang w:val="en-US" w:eastAsia="zh-CN"/>
              </w:rPr>
              <w:t>完整性评价</w:t>
            </w:r>
            <w:r>
              <w:t>（</w:t>
            </w:r>
            <w:r>
              <w:rPr>
                <w:rFonts w:hint="eastAsia"/>
                <w:lang w:val="en-US" w:eastAsia="zh-CN"/>
              </w:rPr>
              <w:t>5</w:t>
            </w:r>
            <w:r>
              <w:t>分）</w:t>
            </w:r>
          </w:p>
          <w:p w14:paraId="598019C0">
            <w:pPr>
              <w:keepNext w:val="0"/>
              <w:keepLines w:val="0"/>
              <w:adjustRightInd w:val="0"/>
              <w:snapToGrid w:val="0"/>
              <w:spacing w:line="440" w:lineRule="exact"/>
              <w:jc w:val="left"/>
            </w:pPr>
            <w:r>
              <w:t>根据投标人提供的安装调试计划、实施流程、进度规划、突发应急预案、交付保障措施，以及基于现场调研形成的针对性分析与风险预判</w:t>
            </w:r>
            <w:r>
              <w:rPr>
                <w:rFonts w:hint="eastAsia"/>
                <w:lang w:val="en-US" w:eastAsia="zh-CN"/>
              </w:rPr>
              <w:t>实施</w:t>
            </w:r>
            <w:r>
              <w:t>方案综合评审：</w:t>
            </w:r>
          </w:p>
          <w:p w14:paraId="250AD8EC">
            <w:pPr>
              <w:keepNext w:val="0"/>
              <w:keepLines w:val="0"/>
              <w:adjustRightInd w:val="0"/>
              <w:snapToGrid w:val="0"/>
              <w:spacing w:line="440" w:lineRule="exact"/>
              <w:ind w:left="0" w:leftChars="0" w:firstLine="0" w:firstLineChars="0"/>
              <w:jc w:val="left"/>
              <w:rPr>
                <w:rFonts w:hint="eastAsia"/>
                <w:lang w:eastAsia="zh-CN"/>
              </w:rPr>
            </w:pPr>
            <w:r>
              <w:rPr>
                <w:rFonts w:hint="eastAsia"/>
              </w:rPr>
              <w:t>（1）优秀（4-5分）</w:t>
            </w:r>
            <w:r>
              <w:rPr>
                <w:rFonts w:hint="eastAsia"/>
                <w:lang w:eastAsia="zh-CN"/>
              </w:rPr>
              <w:t>：</w:t>
            </w:r>
            <w:r>
              <w:rPr>
                <w:rFonts w:hint="eastAsia"/>
              </w:rPr>
              <w:t>实施计划完整详实，含安装调试步骤、里程碑节点、进度安排及人员分工，流程规范清晰；应急预案完善，覆盖系统故障、数据丢失、网络中断、第三方接口异常等常见风险场景，且各场景均有明确的应急处理流程与责任到人的处置机制；交付保障措施可落地性强，含阶段性成果确认、验收标准及知识转移计划。同时，基于对项目现场环境及业务现状的深入</w:t>
            </w:r>
            <w:r>
              <w:rPr>
                <w:rFonts w:hint="eastAsia"/>
                <w:lang w:val="en-US" w:eastAsia="zh-CN"/>
              </w:rPr>
              <w:t>分析</w:t>
            </w:r>
            <w:r>
              <w:rPr>
                <w:rFonts w:hint="eastAsia"/>
              </w:rPr>
              <w:t>，在投标文件中提供内容详实的</w:t>
            </w:r>
            <w:r>
              <w:rPr>
                <w:rFonts w:hint="eastAsia"/>
                <w:lang w:val="en-US" w:eastAsia="zh-CN"/>
              </w:rPr>
              <w:t>需求</w:t>
            </w:r>
            <w:r>
              <w:rPr>
                <w:rFonts w:hint="eastAsia"/>
              </w:rPr>
              <w:t>分析报告，问题诊断精准，能深刻理解项目背景与实施挑战；所提初步解决方案或风险规避设想紧扣业务痛点，针对性强、具备高度可行性，并在实施计划中有对应体现（如针对现有系统停机窗口、数据迁移风险、新旧系统切换兼容性等提出具体解决措施）</w:t>
            </w:r>
            <w:r>
              <w:rPr>
                <w:rFonts w:hint="eastAsia"/>
                <w:lang w:eastAsia="zh-CN"/>
              </w:rPr>
              <w:t>；</w:t>
            </w:r>
          </w:p>
          <w:p w14:paraId="0E8060DA">
            <w:pPr>
              <w:keepNext w:val="0"/>
              <w:keepLines w:val="0"/>
              <w:adjustRightInd w:val="0"/>
              <w:snapToGrid w:val="0"/>
              <w:spacing w:line="440" w:lineRule="exact"/>
              <w:ind w:left="0" w:leftChars="0" w:firstLine="0" w:firstLineChars="0"/>
              <w:jc w:val="left"/>
            </w:pPr>
            <w:r>
              <w:rPr>
                <w:rFonts w:hint="eastAsia"/>
              </w:rPr>
              <w:t>（2）良好（2-3分）</w:t>
            </w:r>
            <w:r>
              <w:rPr>
                <w:rFonts w:hint="eastAsia"/>
                <w:lang w:eastAsia="zh-CN"/>
              </w:rPr>
              <w:t>：</w:t>
            </w:r>
            <w:r>
              <w:rPr>
                <w:rFonts w:hint="eastAsia"/>
              </w:rPr>
              <w:t>实施计划基本完整，流程规范但细节不够深入，有进度规划与人员安排；应急预案覆盖主要风险场景但处置措施较为笼统；交付保障方案基本齐全但常规化。</w:t>
            </w:r>
            <w:r>
              <w:rPr>
                <w:rFonts w:hint="eastAsia"/>
                <w:lang w:val="en-US" w:eastAsia="zh-CN"/>
              </w:rPr>
              <w:t>需求</w:t>
            </w:r>
            <w:r>
              <w:rPr>
                <w:rFonts w:hint="eastAsia"/>
              </w:rPr>
              <w:t>分析报告内容较为完整，问题诊断基本准确，能结合项目需求提出一定的分析与设想，但针对性或深度有所欠缺；所提建议与实施计划的关联性不够紧密</w:t>
            </w:r>
            <w:r>
              <w:rPr>
                <w:rFonts w:hint="eastAsia"/>
                <w:lang w:eastAsia="zh-CN"/>
              </w:rPr>
              <w:t>；</w:t>
            </w:r>
          </w:p>
          <w:p w14:paraId="300518BA">
            <w:pPr>
              <w:keepNext w:val="0"/>
              <w:keepLines w:val="0"/>
              <w:adjustRightInd w:val="0"/>
              <w:snapToGrid w:val="0"/>
              <w:spacing w:line="440" w:lineRule="exact"/>
              <w:ind w:left="0" w:leftChars="0" w:firstLine="0" w:firstLineChars="0"/>
              <w:jc w:val="left"/>
              <w:rPr>
                <w:rFonts w:hint="eastAsia"/>
              </w:rPr>
            </w:pPr>
            <w:r>
              <w:rPr>
                <w:rFonts w:hint="eastAsia"/>
              </w:rPr>
              <w:t>（3）一般（0-1分）</w:t>
            </w:r>
            <w:r>
              <w:rPr>
                <w:rFonts w:hint="eastAsia"/>
                <w:lang w:eastAsia="zh-CN"/>
              </w:rPr>
              <w:t>：</w:t>
            </w:r>
            <w:r>
              <w:rPr>
                <w:rFonts w:hint="eastAsia"/>
              </w:rPr>
              <w:t>实施计划内容简略，仅有大致时间安排，无细化流程、里程碑或管控措施；应急预案缺失或仅简单提及；交付保障方案无实质性内容。</w:t>
            </w:r>
            <w:r>
              <w:rPr>
                <w:rFonts w:hint="eastAsia"/>
                <w:lang w:val="en-US" w:eastAsia="zh-CN"/>
              </w:rPr>
              <w:t>需求</w:t>
            </w:r>
            <w:r>
              <w:rPr>
                <w:rFonts w:hint="eastAsia"/>
              </w:rPr>
              <w:t>分析报告内容简单，仅对项目现状进行泛泛描述，缺乏深入的问题诊断与分析，未体现对项目风险和实施难点的理解；或未提供调研分析报告。</w:t>
            </w:r>
          </w:p>
          <w:p w14:paraId="43CE17A4">
            <w:pPr>
              <w:keepNext w:val="0"/>
              <w:keepLines w:val="0"/>
              <w:adjustRightInd w:val="0"/>
              <w:snapToGrid w:val="0"/>
              <w:spacing w:line="440" w:lineRule="exact"/>
              <w:ind w:left="0" w:leftChars="0" w:firstLine="0" w:firstLineChars="0"/>
              <w:jc w:val="left"/>
              <w:rPr>
                <w:rFonts w:hint="eastAsia" w:ascii="Times New Roman" w:hAnsi="Times New Roman" w:eastAsia="华文宋体" w:cs="Times New Roman"/>
                <w:kern w:val="2"/>
                <w:sz w:val="24"/>
                <w:lang w:val="en-US" w:eastAsia="zh-CN" w:bidi="ar-SA"/>
              </w:rPr>
            </w:pPr>
            <w:r>
              <w:rPr>
                <w:rFonts w:hint="eastAsia"/>
                <w:b/>
                <w:bCs/>
                <w:lang w:val="en-US" w:eastAsia="zh-CN"/>
              </w:rPr>
              <w:t>佐证材料要求</w:t>
            </w:r>
            <w:r>
              <w:rPr>
                <w:rFonts w:hint="eastAsia"/>
                <w:lang w:val="en-US" w:eastAsia="zh-CN"/>
              </w:rPr>
              <w:t>：须提供项目进度甘特图、人员配置表及简历、风险管理矩阵、交付物清单。</w:t>
            </w:r>
          </w:p>
        </w:tc>
        <w:tc>
          <w:tcPr>
            <w:tcW w:w="977" w:type="dxa"/>
          </w:tcPr>
          <w:p w14:paraId="15269424">
            <w:pPr>
              <w:spacing w:line="440" w:lineRule="exact"/>
              <w:ind w:firstLine="0" w:firstLineChars="0"/>
              <w:jc w:val="left"/>
              <w:rPr>
                <w:rFonts w:hint="eastAsia" w:ascii="Times New Roman" w:hAnsi="Times New Roman" w:cs="Times New Roman"/>
                <w:color w:val="auto"/>
                <w:highlight w:val="none"/>
                <w:lang w:val="en-US" w:eastAsia="zh-CN"/>
              </w:rPr>
            </w:pPr>
          </w:p>
        </w:tc>
      </w:tr>
      <w:tr w14:paraId="61AE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759" w:type="dxa"/>
            <w:vAlign w:val="center"/>
          </w:tcPr>
          <w:p w14:paraId="362B7FAA">
            <w:pPr>
              <w:spacing w:line="360" w:lineRule="auto"/>
              <w:ind w:left="0" w:leftChars="0" w:firstLine="0" w:firstLineChars="0"/>
              <w:jc w:val="center"/>
              <w:rPr>
                <w:rFonts w:hint="default"/>
                <w:lang w:val="en-US" w:eastAsia="zh-CN"/>
              </w:rPr>
            </w:pPr>
            <w:r>
              <w:rPr>
                <w:rFonts w:hint="eastAsia"/>
                <w:lang w:val="en-US" w:eastAsia="zh-CN"/>
              </w:rPr>
              <w:t>9</w:t>
            </w:r>
          </w:p>
        </w:tc>
        <w:tc>
          <w:tcPr>
            <w:tcW w:w="1515" w:type="dxa"/>
            <w:shd w:val="clear" w:color="auto" w:fill="auto"/>
            <w:vAlign w:val="center"/>
          </w:tcPr>
          <w:p w14:paraId="64C0BA36">
            <w:pPr>
              <w:ind w:firstLine="0" w:firstLineChars="0"/>
              <w:jc w:val="center"/>
              <w:rPr>
                <w:rFonts w:hint="eastAsia" w:eastAsia="华文宋体"/>
                <w:b/>
                <w:bCs/>
                <w:highlight w:val="none"/>
                <w:lang w:eastAsia="zh-CN"/>
              </w:rPr>
            </w:pPr>
            <w:r>
              <w:rPr>
                <w:rFonts w:hint="eastAsia"/>
                <w:b/>
                <w:bCs/>
                <w:highlight w:val="none"/>
              </w:rPr>
              <w:t>培训</w:t>
            </w:r>
            <w:r>
              <w:rPr>
                <w:rFonts w:hint="eastAsia"/>
                <w:b/>
                <w:bCs/>
                <w:highlight w:val="none"/>
                <w:lang w:val="en-US" w:eastAsia="zh-CN"/>
              </w:rPr>
              <w:t>方案</w:t>
            </w:r>
          </w:p>
          <w:p w14:paraId="714E0239">
            <w:pPr>
              <w:ind w:firstLine="0" w:firstLineChars="0"/>
              <w:jc w:val="center"/>
              <w:rPr>
                <w:rFonts w:hint="default" w:ascii="Times New Roman" w:hAnsi="Times New Roman" w:eastAsia="华文宋体" w:cs="Times New Roman"/>
                <w:b/>
                <w:bCs/>
                <w:color w:val="FF0000"/>
                <w:kern w:val="2"/>
                <w:sz w:val="24"/>
                <w:highlight w:val="none"/>
                <w:lang w:val="en-US" w:eastAsia="zh-CN" w:bidi="ar-SA"/>
              </w:rPr>
            </w:pPr>
            <w:r>
              <w:rPr>
                <w:rFonts w:hint="eastAsia"/>
                <w:b/>
                <w:bCs/>
                <w:highlight w:val="none"/>
                <w:lang w:val="en-US" w:eastAsia="zh-CN"/>
              </w:rPr>
              <w:t>4</w:t>
            </w:r>
            <w:r>
              <w:rPr>
                <w:rFonts w:hint="eastAsia"/>
                <w:b/>
                <w:bCs/>
                <w:highlight w:val="none"/>
              </w:rPr>
              <w:t>分</w:t>
            </w:r>
          </w:p>
        </w:tc>
        <w:tc>
          <w:tcPr>
            <w:tcW w:w="5247" w:type="dxa"/>
            <w:shd w:val="clear" w:color="auto" w:fill="auto"/>
            <w:vAlign w:val="center"/>
          </w:tcPr>
          <w:p w14:paraId="668F6B7A">
            <w:pPr>
              <w:keepNext w:val="0"/>
              <w:keepLines w:val="0"/>
              <w:adjustRightInd w:val="0"/>
              <w:snapToGrid w:val="0"/>
              <w:spacing w:line="440" w:lineRule="exact"/>
              <w:ind w:left="0" w:leftChars="0" w:firstLine="0" w:firstLineChars="0"/>
              <w:jc w:val="left"/>
            </w:pPr>
            <w:r>
              <w:rPr>
                <w:rFonts w:hint="eastAsia"/>
                <w:lang w:val="en-US" w:eastAsia="zh-CN"/>
              </w:rPr>
              <w:t>6</w:t>
            </w:r>
            <w:r>
              <w:t>. 培训方案（</w:t>
            </w:r>
            <w:r>
              <w:rPr>
                <w:rFonts w:hint="eastAsia"/>
                <w:lang w:val="en-US" w:eastAsia="zh-CN"/>
              </w:rPr>
              <w:t>4</w:t>
            </w:r>
            <w:r>
              <w:t>分）</w:t>
            </w:r>
          </w:p>
          <w:p w14:paraId="7ADFB57C">
            <w:pPr>
              <w:keepNext w:val="0"/>
              <w:keepLines w:val="0"/>
              <w:adjustRightInd w:val="0"/>
              <w:snapToGrid w:val="0"/>
              <w:spacing w:line="440" w:lineRule="exact"/>
              <w:jc w:val="left"/>
            </w:pPr>
            <w:r>
              <w:t>根据系统应用培训方案、培训教材、考核机制、技术支持保障体系评审：</w:t>
            </w:r>
          </w:p>
          <w:p w14:paraId="23A5F498">
            <w:pPr>
              <w:keepNext w:val="0"/>
              <w:keepLines w:val="0"/>
              <w:adjustRightInd w:val="0"/>
              <w:snapToGrid w:val="0"/>
              <w:spacing w:line="440" w:lineRule="exact"/>
              <w:ind w:left="0" w:leftChars="0" w:firstLine="0" w:firstLineChars="0"/>
              <w:jc w:val="left"/>
              <w:rPr>
                <w:rFonts w:hint="eastAsia"/>
                <w:lang w:eastAsia="zh-CN"/>
              </w:rPr>
            </w:pPr>
            <w:r>
              <w:rPr>
                <w:rFonts w:hint="eastAsia"/>
              </w:rPr>
              <w:t>（1）</w:t>
            </w:r>
            <w:r>
              <w:rPr>
                <w:rFonts w:hint="eastAsia"/>
                <w:lang w:val="en-US" w:eastAsia="zh-CN"/>
              </w:rPr>
              <w:t>优秀（3-4分）：四类培训对象（普通用户、管理层、系统维护、开发人员）均有针对性课程与课时安排；培训计划详细，含具体课时安排表、培训教材清单（含课件+操作视频+实验案例）；开展深度培训有考试+实操结合的考核机制与效果评估方案</w:t>
            </w:r>
            <w:r>
              <w:rPr>
                <w:rFonts w:hint="eastAsia"/>
                <w:lang w:eastAsia="zh-CN"/>
              </w:rPr>
              <w:t>；</w:t>
            </w:r>
          </w:p>
          <w:p w14:paraId="275B6C20">
            <w:pPr>
              <w:keepNext w:val="0"/>
              <w:keepLines w:val="0"/>
              <w:adjustRightInd w:val="0"/>
              <w:snapToGrid w:val="0"/>
              <w:spacing w:line="440" w:lineRule="exact"/>
              <w:ind w:left="0" w:leftChars="0" w:firstLine="0" w:firstLineChars="0"/>
              <w:jc w:val="left"/>
            </w:pPr>
            <w:r>
              <w:rPr>
                <w:rFonts w:hint="eastAsia"/>
              </w:rPr>
              <w:t>（2）</w:t>
            </w:r>
            <w:r>
              <w:rPr>
                <w:rFonts w:hint="eastAsia"/>
                <w:lang w:val="en-US" w:eastAsia="zh-CN"/>
              </w:rPr>
              <w:t>良好（1-2分）：培训对象覆盖完整但内容简略；人员数量承诺达标；有基本考核机制但不够具体；</w:t>
            </w:r>
          </w:p>
          <w:p w14:paraId="0BF147D6">
            <w:pPr>
              <w:keepNext w:val="0"/>
              <w:keepLines w:val="0"/>
              <w:adjustRightInd w:val="0"/>
              <w:snapToGrid w:val="0"/>
              <w:spacing w:line="440" w:lineRule="exact"/>
              <w:ind w:left="0" w:leftChars="0" w:firstLine="0" w:firstLineChars="0"/>
              <w:jc w:val="left"/>
              <w:rPr>
                <w:rFonts w:hint="eastAsia"/>
                <w:lang w:val="en-US" w:eastAsia="zh-CN"/>
              </w:rPr>
            </w:pPr>
            <w:r>
              <w:rPr>
                <w:rFonts w:hint="eastAsia"/>
              </w:rPr>
              <w:t>（3）</w:t>
            </w:r>
            <w:r>
              <w:rPr>
                <w:rFonts w:hint="eastAsia"/>
                <w:lang w:val="en-US" w:eastAsia="zh-CN"/>
              </w:rPr>
              <w:t>一般（0-1分）：培训内容空泛或缺失；培训对象未分类；无考核机制。</w:t>
            </w:r>
          </w:p>
          <w:p w14:paraId="480D1123">
            <w:pPr>
              <w:keepNext w:val="0"/>
              <w:keepLines w:val="0"/>
              <w:adjustRightInd w:val="0"/>
              <w:snapToGrid w:val="0"/>
              <w:spacing w:line="440" w:lineRule="exact"/>
              <w:ind w:left="0" w:leftChars="0" w:firstLine="0" w:firstLineChars="0"/>
              <w:jc w:val="left"/>
              <w:rPr>
                <w:rFonts w:hint="eastAsia" w:ascii="Times New Roman" w:hAnsi="Times New Roman" w:eastAsia="华文宋体" w:cs="Times New Roman"/>
                <w:kern w:val="2"/>
                <w:sz w:val="24"/>
                <w:lang w:val="en-US" w:eastAsia="zh-CN" w:bidi="ar-SA"/>
              </w:rPr>
            </w:pPr>
            <w:r>
              <w:rPr>
                <w:rFonts w:hint="eastAsia"/>
                <w:b/>
                <w:bCs/>
                <w:lang w:val="en-US" w:eastAsia="zh-CN"/>
              </w:rPr>
              <w:t>佐证材料要求</w:t>
            </w:r>
            <w:r>
              <w:rPr>
                <w:rFonts w:hint="eastAsia"/>
                <w:lang w:val="en-US" w:eastAsia="zh-CN"/>
              </w:rPr>
              <w:t>：须提供分角色培训课程表（含课时）、教材清单、培训考核方案。</w:t>
            </w:r>
          </w:p>
        </w:tc>
        <w:tc>
          <w:tcPr>
            <w:tcW w:w="977" w:type="dxa"/>
          </w:tcPr>
          <w:p w14:paraId="5D77CE6A">
            <w:pPr>
              <w:spacing w:line="440" w:lineRule="exact"/>
              <w:ind w:firstLine="0" w:firstLineChars="0"/>
              <w:jc w:val="left"/>
              <w:rPr>
                <w:rFonts w:hint="eastAsia" w:ascii="Times New Roman" w:hAnsi="Times New Roman" w:cs="Times New Roman"/>
                <w:color w:val="auto"/>
                <w:highlight w:val="none"/>
                <w:lang w:val="en-US" w:eastAsia="zh-CN"/>
              </w:rPr>
            </w:pPr>
          </w:p>
        </w:tc>
      </w:tr>
    </w:tbl>
    <w:p w14:paraId="0535D9A9">
      <w:pPr>
        <w:ind w:firstLine="480"/>
        <w:sectPr>
          <w:footerReference r:id="rId6" w:type="default"/>
          <w:pgSz w:w="11905" w:h="16838"/>
          <w:pgMar w:top="1417" w:right="1417" w:bottom="1417" w:left="1417" w:header="850" w:footer="992" w:gutter="0"/>
          <w:cols w:space="0" w:num="1"/>
          <w:docGrid w:type="lines" w:linePitch="335" w:charSpace="0"/>
        </w:sectPr>
      </w:pPr>
    </w:p>
    <w:p w14:paraId="132303F7">
      <w:pPr>
        <w:pStyle w:val="4"/>
        <w:spacing w:before="335" w:after="335"/>
        <w:ind w:firstLine="723"/>
        <w:rPr>
          <w:rFonts w:hint="eastAsia" w:ascii="华文宋体" w:hAnsi="华文宋体"/>
          <w:bCs w:val="0"/>
          <w:sz w:val="36"/>
          <w:szCs w:val="36"/>
        </w:rPr>
      </w:pPr>
      <w:bookmarkStart w:id="1761" w:name="_Toc17177"/>
      <w:bookmarkStart w:id="1762" w:name="_Toc970218640"/>
      <w:bookmarkStart w:id="1763" w:name="_Toc2135006550"/>
      <w:bookmarkStart w:id="1764" w:name="_Toc17399"/>
      <w:bookmarkStart w:id="1765" w:name="_Toc20971"/>
      <w:bookmarkStart w:id="1766" w:name="_Toc21921"/>
      <w:bookmarkStart w:id="1767" w:name="_Toc958675341"/>
      <w:bookmarkStart w:id="1768" w:name="_Toc25698"/>
      <w:bookmarkStart w:id="1769" w:name="_Toc70326120"/>
      <w:bookmarkStart w:id="1770" w:name="_Toc29683"/>
      <w:bookmarkStart w:id="1771" w:name="_Toc14258"/>
      <w:bookmarkStart w:id="1772" w:name="_Toc367401929"/>
      <w:bookmarkStart w:id="1773" w:name="_Toc25075"/>
      <w:bookmarkStart w:id="1774" w:name="_Toc2465"/>
      <w:bookmarkStart w:id="1775" w:name="_Toc18973"/>
      <w:bookmarkStart w:id="1776" w:name="_Toc74508626"/>
      <w:bookmarkStart w:id="1777" w:name="_Toc16154"/>
      <w:bookmarkStart w:id="1778" w:name="_Toc918147635"/>
      <w:bookmarkStart w:id="1779" w:name="_Toc1466313847"/>
      <w:bookmarkStart w:id="1780" w:name="_Toc12896"/>
      <w:bookmarkStart w:id="1781" w:name="_Toc829127600"/>
      <w:bookmarkStart w:id="1782" w:name="_Toc759002861"/>
      <w:r>
        <w:rPr>
          <w:rFonts w:ascii="华文宋体" w:hAnsi="华文宋体"/>
          <w:bCs w:val="0"/>
          <w:sz w:val="36"/>
          <w:szCs w:val="36"/>
        </w:rPr>
        <w:t>二、</w:t>
      </w:r>
      <w:r>
        <w:rPr>
          <w:rFonts w:hint="eastAsia" w:ascii="华文宋体" w:hAnsi="华文宋体"/>
          <w:bCs w:val="0"/>
          <w:sz w:val="36"/>
          <w:szCs w:val="36"/>
        </w:rPr>
        <w:t>投标</w:t>
      </w:r>
      <w:r>
        <w:rPr>
          <w:rFonts w:ascii="华文宋体" w:hAnsi="华文宋体"/>
          <w:bCs w:val="0"/>
          <w:sz w:val="36"/>
          <w:szCs w:val="36"/>
        </w:rPr>
        <w:t>文件（格式）</w:t>
      </w:r>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p>
    <w:p w14:paraId="6185FA82">
      <w:pPr>
        <w:pStyle w:val="5"/>
        <w:spacing w:line="400" w:lineRule="exact"/>
        <w:ind w:firstLine="0" w:firstLineChars="0"/>
        <w:jc w:val="center"/>
        <w:rPr>
          <w:sz w:val="32"/>
          <w:szCs w:val="32"/>
        </w:rPr>
      </w:pPr>
      <w:bookmarkStart w:id="1783" w:name="_Toc10084"/>
      <w:bookmarkStart w:id="1784" w:name="_Toc15633"/>
      <w:bookmarkStart w:id="1785" w:name="_Toc908735578"/>
      <w:bookmarkStart w:id="1786" w:name="_Toc24022"/>
      <w:bookmarkStart w:id="1787" w:name="_Toc26541"/>
      <w:bookmarkStart w:id="1788" w:name="_Toc2034136393"/>
      <w:bookmarkStart w:id="1789" w:name="_Toc126013978"/>
      <w:bookmarkStart w:id="1790" w:name="_Toc20796"/>
      <w:bookmarkStart w:id="1791" w:name="_Toc3270"/>
      <w:bookmarkStart w:id="1792" w:name="_Toc15072"/>
      <w:bookmarkStart w:id="1793" w:name="_Toc9318"/>
      <w:bookmarkStart w:id="1794" w:name="_Toc1637297750"/>
      <w:bookmarkStart w:id="1795" w:name="_Toc621350809"/>
      <w:bookmarkStart w:id="1796" w:name="_Toc15551"/>
      <w:bookmarkStart w:id="1797" w:name="_Toc855092990"/>
      <w:bookmarkStart w:id="1798" w:name="_Toc508221647"/>
      <w:bookmarkStart w:id="1799" w:name="_Toc283510981"/>
      <w:bookmarkStart w:id="1800" w:name="_Toc1961977204"/>
      <w:bookmarkStart w:id="1801" w:name="_Toc750828127"/>
      <w:bookmarkStart w:id="1802" w:name="_Toc472494461"/>
      <w:bookmarkStart w:id="1803" w:name="_Toc472494714"/>
      <w:bookmarkStart w:id="1804" w:name="_Toc449451674"/>
      <w:r>
        <w:rPr>
          <w:rFonts w:hint="eastAsia"/>
          <w:sz w:val="32"/>
          <w:szCs w:val="32"/>
        </w:rPr>
        <w:t>1. 投 标 函</w:t>
      </w:r>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p>
    <w:p w14:paraId="6F4F6A81">
      <w:pPr>
        <w:pStyle w:val="9"/>
        <w:tabs>
          <w:tab w:val="left" w:pos="2291"/>
        </w:tabs>
        <w:kinsoku w:val="0"/>
        <w:overflowPunct w:val="0"/>
        <w:ind w:left="403" w:firstLine="0" w:firstLineChars="0"/>
        <w:rPr>
          <w:rFonts w:hint="eastAsia" w:ascii="华文宋体" w:hAnsi="华文宋体" w:cs="华文宋体"/>
          <w:szCs w:val="24"/>
        </w:rPr>
      </w:pPr>
      <w:r>
        <w:rPr>
          <w:rFonts w:hint="eastAsia" w:ascii="华文宋体" w:hAnsi="华文宋体" w:cs="华文宋体"/>
          <w:szCs w:val="24"/>
        </w:rPr>
        <w:t>致：</w:t>
      </w:r>
      <w:r>
        <w:rPr>
          <w:rFonts w:hint="eastAsia" w:ascii="华文宋体" w:hAnsi="华文宋体" w:cs="华文宋体"/>
          <w:szCs w:val="24"/>
          <w:u w:val="single"/>
        </w:rPr>
        <w:t xml:space="preserve">               </w:t>
      </w:r>
      <w:r>
        <w:rPr>
          <w:rFonts w:hint="eastAsia" w:ascii="华文宋体" w:hAnsi="华文宋体" w:cs="华文宋体"/>
          <w:szCs w:val="24"/>
        </w:rPr>
        <w:t>（</w:t>
      </w:r>
      <w:r>
        <w:rPr>
          <w:rFonts w:hint="eastAsia" w:ascii="华文宋体" w:hAnsi="华文宋体" w:cs="华文宋体"/>
          <w:spacing w:val="-3"/>
          <w:szCs w:val="24"/>
        </w:rPr>
        <w:t>招标人名称</w:t>
      </w:r>
      <w:r>
        <w:rPr>
          <w:rFonts w:hint="eastAsia" w:ascii="华文宋体" w:hAnsi="华文宋体" w:cs="华文宋体"/>
          <w:spacing w:val="-108"/>
          <w:szCs w:val="24"/>
        </w:rPr>
        <w:t>）</w:t>
      </w:r>
    </w:p>
    <w:p w14:paraId="01E73A0B">
      <w:pPr>
        <w:ind w:firstLine="480"/>
        <w:rPr>
          <w:rFonts w:hint="eastAsia" w:ascii="华文宋体" w:hAnsi="华文宋体" w:cs="华文宋体"/>
          <w:szCs w:val="24"/>
        </w:rPr>
      </w:pPr>
      <w:r>
        <w:rPr>
          <w:rFonts w:hint="eastAsia" w:ascii="华文宋体" w:hAnsi="华文宋体" w:cs="华文宋体"/>
          <w:szCs w:val="24"/>
        </w:rPr>
        <w:t>1.我方已仔细研究了</w:t>
      </w:r>
      <w:r>
        <w:rPr>
          <w:rFonts w:hint="eastAsia" w:ascii="华文宋体" w:hAnsi="华文宋体" w:cs="华文宋体"/>
          <w:szCs w:val="24"/>
          <w:u w:val="single"/>
        </w:rPr>
        <w:t xml:space="preserve">                  </w:t>
      </w:r>
      <w:r>
        <w:rPr>
          <w:rFonts w:hint="eastAsia" w:ascii="华文宋体" w:hAnsi="华文宋体" w:cs="华文宋体"/>
          <w:szCs w:val="24"/>
        </w:rPr>
        <w:t>（项目名称）项目招标文件的全部内容，遵守招标文件的规定同时作出如下承诺（详见下表），并按合同约定履行义务。</w:t>
      </w:r>
    </w:p>
    <w:tbl>
      <w:tblPr>
        <w:tblStyle w:val="21"/>
        <w:tblW w:w="4881" w:type="pct"/>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0"/>
        <w:gridCol w:w="5626"/>
      </w:tblGrid>
      <w:tr w14:paraId="1E04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pct"/>
            <w:vAlign w:val="center"/>
          </w:tcPr>
          <w:p w14:paraId="7AEA696E">
            <w:pPr>
              <w:spacing w:line="440" w:lineRule="exact"/>
              <w:ind w:firstLine="0" w:firstLineChars="0"/>
              <w:jc w:val="center"/>
              <w:rPr>
                <w:rFonts w:hint="eastAsia" w:ascii="华文宋体" w:hAnsi="华文宋体" w:cs="华文宋体"/>
                <w:szCs w:val="24"/>
                <w:u w:val="single"/>
              </w:rPr>
            </w:pPr>
            <w:r>
              <w:rPr>
                <w:rFonts w:hint="eastAsia" w:ascii="华文宋体" w:hAnsi="华文宋体" w:cs="华文宋体"/>
                <w:szCs w:val="24"/>
              </w:rPr>
              <w:t>项目（标段）名称及项目编号</w:t>
            </w:r>
          </w:p>
        </w:tc>
        <w:tc>
          <w:tcPr>
            <w:tcW w:w="3102" w:type="pct"/>
          </w:tcPr>
          <w:p w14:paraId="1DBDA151">
            <w:pPr>
              <w:spacing w:line="440" w:lineRule="exact"/>
              <w:ind w:firstLine="0" w:firstLineChars="0"/>
              <w:rPr>
                <w:rFonts w:hint="eastAsia" w:ascii="华文宋体" w:hAnsi="华文宋体" w:cs="华文宋体"/>
                <w:szCs w:val="24"/>
                <w:u w:val="single"/>
              </w:rPr>
            </w:pPr>
            <w:r>
              <w:rPr>
                <w:rFonts w:hint="eastAsia" w:ascii="华文宋体" w:hAnsi="华文宋体" w:cs="华文宋体"/>
                <w:szCs w:val="24"/>
                <w:u w:val="single"/>
              </w:rPr>
              <w:t xml:space="preserve">                      </w:t>
            </w:r>
            <w:r>
              <w:rPr>
                <w:rFonts w:hint="eastAsia" w:ascii="华文宋体" w:hAnsi="华文宋体" w:cs="华文宋体"/>
                <w:szCs w:val="24"/>
              </w:rPr>
              <w:t>（项目名称）</w:t>
            </w:r>
          </w:p>
          <w:p w14:paraId="4396655D">
            <w:pPr>
              <w:spacing w:line="440" w:lineRule="exact"/>
              <w:ind w:firstLine="0" w:firstLineChars="0"/>
              <w:rPr>
                <w:rFonts w:hint="eastAsia" w:ascii="华文宋体" w:hAnsi="华文宋体" w:cs="华文宋体"/>
                <w:szCs w:val="24"/>
              </w:rPr>
            </w:pPr>
            <w:r>
              <w:rPr>
                <w:rFonts w:hint="eastAsia" w:ascii="华文宋体" w:hAnsi="华文宋体" w:cs="华文宋体"/>
                <w:szCs w:val="24"/>
              </w:rPr>
              <w:t xml:space="preserve">（项目编号： </w:t>
            </w:r>
            <w:r>
              <w:rPr>
                <w:rFonts w:hint="eastAsia" w:ascii="华文宋体" w:hAnsi="华文宋体" w:cs="华文宋体"/>
                <w:szCs w:val="24"/>
                <w:u w:val="single"/>
              </w:rPr>
              <w:t xml:space="preserve">            </w:t>
            </w:r>
            <w:r>
              <w:rPr>
                <w:rFonts w:hint="eastAsia" w:ascii="华文宋体" w:hAnsi="华文宋体" w:cs="华文宋体"/>
                <w:szCs w:val="24"/>
              </w:rPr>
              <w:t>）</w:t>
            </w:r>
          </w:p>
        </w:tc>
      </w:tr>
      <w:tr w14:paraId="5EFA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pct"/>
            <w:vAlign w:val="center"/>
          </w:tcPr>
          <w:p w14:paraId="19AA1979">
            <w:pPr>
              <w:spacing w:line="440" w:lineRule="exact"/>
              <w:ind w:firstLine="0" w:firstLineChars="0"/>
              <w:jc w:val="center"/>
              <w:rPr>
                <w:rFonts w:hint="eastAsia" w:ascii="华文宋体" w:hAnsi="华文宋体" w:cs="华文宋体"/>
                <w:szCs w:val="24"/>
              </w:rPr>
            </w:pPr>
            <w:r>
              <w:rPr>
                <w:rFonts w:hint="eastAsia" w:ascii="华文宋体" w:hAnsi="华文宋体" w:cs="华文宋体"/>
                <w:szCs w:val="24"/>
              </w:rPr>
              <w:t>投标报价</w:t>
            </w:r>
          </w:p>
        </w:tc>
        <w:tc>
          <w:tcPr>
            <w:tcW w:w="3102" w:type="pct"/>
          </w:tcPr>
          <w:p w14:paraId="0B243F79">
            <w:pPr>
              <w:spacing w:line="440" w:lineRule="exact"/>
              <w:ind w:firstLine="0" w:firstLineChars="0"/>
              <w:rPr>
                <w:rFonts w:hint="eastAsia" w:ascii="华文宋体" w:hAnsi="华文宋体" w:cs="华文宋体"/>
                <w:szCs w:val="24"/>
              </w:rPr>
            </w:pPr>
            <w:r>
              <w:rPr>
                <w:rFonts w:hint="eastAsia" w:ascii="华文宋体" w:hAnsi="华文宋体" w:cs="华文宋体"/>
                <w:szCs w:val="24"/>
              </w:rPr>
              <w:t>小写：</w:t>
            </w:r>
            <w:r>
              <w:rPr>
                <w:rFonts w:hint="eastAsia" w:ascii="华文宋体" w:hAnsi="华文宋体" w:cs="华文宋体"/>
                <w:szCs w:val="24"/>
                <w:u w:val="single"/>
              </w:rPr>
              <w:t xml:space="preserve">                     （单位：元）</w:t>
            </w:r>
          </w:p>
          <w:p w14:paraId="5A85E0CE">
            <w:pPr>
              <w:spacing w:line="440" w:lineRule="exact"/>
              <w:ind w:firstLine="0" w:firstLineChars="0"/>
              <w:rPr>
                <w:rFonts w:hint="eastAsia" w:ascii="华文宋体" w:hAnsi="华文宋体" w:cs="华文宋体"/>
                <w:szCs w:val="24"/>
              </w:rPr>
            </w:pPr>
            <w:r>
              <w:rPr>
                <w:rFonts w:hint="eastAsia" w:ascii="华文宋体" w:hAnsi="华文宋体" w:cs="华文宋体"/>
                <w:szCs w:val="24"/>
              </w:rPr>
              <w:t>大写：</w:t>
            </w:r>
            <w:r>
              <w:rPr>
                <w:rFonts w:hint="eastAsia" w:ascii="华文宋体" w:hAnsi="华文宋体" w:cs="华文宋体"/>
                <w:szCs w:val="24"/>
                <w:u w:val="single"/>
              </w:rPr>
              <w:t xml:space="preserve">                      </w:t>
            </w:r>
          </w:p>
          <w:p w14:paraId="3FBBB25F">
            <w:pPr>
              <w:spacing w:line="440" w:lineRule="exact"/>
              <w:ind w:firstLine="0" w:firstLineChars="0"/>
              <w:rPr>
                <w:rFonts w:hint="eastAsia" w:ascii="华文宋体" w:hAnsi="华文宋体" w:cs="华文宋体"/>
                <w:szCs w:val="24"/>
              </w:rPr>
            </w:pPr>
            <w:r>
              <w:rPr>
                <w:rFonts w:hint="eastAsia" w:ascii="华文宋体" w:hAnsi="华文宋体" w:cs="华文宋体"/>
                <w:szCs w:val="24"/>
              </w:rPr>
              <w:t>其中增值税税率：</w:t>
            </w:r>
            <w:r>
              <w:rPr>
                <w:rFonts w:hint="eastAsia" w:ascii="华文宋体" w:hAnsi="华文宋体" w:cs="华文宋体"/>
                <w:szCs w:val="24"/>
                <w:u w:val="single"/>
              </w:rPr>
              <w:t xml:space="preserve">                      </w:t>
            </w:r>
          </w:p>
        </w:tc>
      </w:tr>
      <w:tr w14:paraId="0C4F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pct"/>
            <w:vAlign w:val="center"/>
          </w:tcPr>
          <w:p w14:paraId="18C0ABCD">
            <w:pPr>
              <w:spacing w:line="440" w:lineRule="exact"/>
              <w:ind w:firstLine="0" w:firstLineChars="0"/>
              <w:jc w:val="center"/>
              <w:rPr>
                <w:rFonts w:hint="eastAsia" w:ascii="华文宋体" w:hAnsi="华文宋体" w:cs="华文宋体"/>
                <w:szCs w:val="24"/>
              </w:rPr>
            </w:pPr>
            <w:r>
              <w:rPr>
                <w:rFonts w:hint="eastAsia" w:ascii="华文宋体" w:hAnsi="华文宋体" w:cs="华文宋体"/>
                <w:szCs w:val="24"/>
              </w:rPr>
              <w:t>投标保证金</w:t>
            </w:r>
          </w:p>
        </w:tc>
        <w:tc>
          <w:tcPr>
            <w:tcW w:w="3102" w:type="pct"/>
          </w:tcPr>
          <w:p w14:paraId="066A0A77">
            <w:pPr>
              <w:spacing w:line="440" w:lineRule="exact"/>
              <w:ind w:firstLine="0" w:firstLineChars="0"/>
              <w:rPr>
                <w:rFonts w:hint="eastAsia" w:ascii="华文宋体" w:hAnsi="华文宋体" w:cs="华文宋体"/>
                <w:szCs w:val="24"/>
              </w:rPr>
            </w:pPr>
            <w:r>
              <w:rPr>
                <w:rFonts w:hint="eastAsia" w:ascii="华文宋体" w:hAnsi="华文宋体" w:cs="华文宋体"/>
                <w:szCs w:val="24"/>
                <w:u w:val="single"/>
              </w:rPr>
              <w:t xml:space="preserve">金额（小写）：                      </w:t>
            </w:r>
          </w:p>
        </w:tc>
      </w:tr>
      <w:tr w14:paraId="6BDD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pct"/>
            <w:vAlign w:val="center"/>
          </w:tcPr>
          <w:p w14:paraId="400FF057">
            <w:pPr>
              <w:spacing w:line="440" w:lineRule="exact"/>
              <w:ind w:firstLine="0" w:firstLineChars="0"/>
              <w:jc w:val="center"/>
              <w:rPr>
                <w:rFonts w:hint="eastAsia" w:ascii="华文宋体" w:hAnsi="华文宋体" w:cs="华文宋体"/>
                <w:szCs w:val="24"/>
              </w:rPr>
            </w:pPr>
            <w:r>
              <w:rPr>
                <w:rFonts w:hint="eastAsia" w:ascii="华文宋体" w:hAnsi="华文宋体" w:cs="华文宋体"/>
                <w:szCs w:val="24"/>
                <w:lang w:val="en-US" w:eastAsia="zh-CN"/>
              </w:rPr>
              <w:t>交货</w:t>
            </w:r>
            <w:r>
              <w:rPr>
                <w:rFonts w:hint="eastAsia" w:ascii="华文宋体" w:hAnsi="华文宋体" w:cs="华文宋体"/>
                <w:szCs w:val="24"/>
              </w:rPr>
              <w:t>期</w:t>
            </w:r>
          </w:p>
        </w:tc>
        <w:tc>
          <w:tcPr>
            <w:tcW w:w="3102" w:type="pct"/>
          </w:tcPr>
          <w:p w14:paraId="7E3BB7C2">
            <w:pPr>
              <w:spacing w:line="440" w:lineRule="exact"/>
              <w:ind w:firstLine="0" w:firstLineChars="0"/>
              <w:rPr>
                <w:rFonts w:hint="eastAsia" w:ascii="华文宋体" w:hAnsi="华文宋体" w:cs="华文宋体"/>
                <w:szCs w:val="24"/>
              </w:rPr>
            </w:pPr>
            <w:r>
              <w:rPr>
                <w:rFonts w:hint="eastAsia" w:ascii="华文宋体" w:hAnsi="华文宋体" w:cs="华文宋体"/>
                <w:szCs w:val="24"/>
                <w:u w:val="single"/>
              </w:rPr>
              <w:t xml:space="preserve">                      </w:t>
            </w:r>
          </w:p>
        </w:tc>
      </w:tr>
      <w:tr w14:paraId="3D56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pct"/>
            <w:vAlign w:val="center"/>
          </w:tcPr>
          <w:p w14:paraId="6EB7AFA3">
            <w:pPr>
              <w:spacing w:line="440" w:lineRule="exact"/>
              <w:ind w:firstLine="0" w:firstLineChars="0"/>
              <w:jc w:val="center"/>
              <w:rPr>
                <w:rFonts w:hint="eastAsia" w:ascii="华文宋体" w:hAnsi="华文宋体" w:cs="华文宋体"/>
                <w:szCs w:val="24"/>
              </w:rPr>
            </w:pPr>
            <w:r>
              <w:rPr>
                <w:rFonts w:hint="eastAsia" w:ascii="华文宋体" w:hAnsi="华文宋体" w:cs="华文宋体"/>
                <w:szCs w:val="24"/>
              </w:rPr>
              <w:t>接受的付款方式</w:t>
            </w:r>
          </w:p>
        </w:tc>
        <w:tc>
          <w:tcPr>
            <w:tcW w:w="3102" w:type="pct"/>
          </w:tcPr>
          <w:p w14:paraId="738FEDD8">
            <w:pPr>
              <w:spacing w:line="440" w:lineRule="exact"/>
              <w:ind w:firstLine="0" w:firstLineChars="0"/>
              <w:rPr>
                <w:rFonts w:hint="eastAsia" w:ascii="华文宋体" w:hAnsi="华文宋体" w:cs="华文宋体"/>
                <w:szCs w:val="24"/>
                <w:u w:val="single"/>
              </w:rPr>
            </w:pPr>
          </w:p>
        </w:tc>
      </w:tr>
      <w:tr w14:paraId="1C73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pct"/>
            <w:vAlign w:val="center"/>
          </w:tcPr>
          <w:p w14:paraId="2BA5CD3A">
            <w:pPr>
              <w:spacing w:line="440" w:lineRule="exact"/>
              <w:ind w:firstLine="0" w:firstLineChars="0"/>
              <w:jc w:val="center"/>
              <w:rPr>
                <w:rFonts w:hint="eastAsia" w:ascii="华文宋体" w:hAnsi="华文宋体" w:cs="华文宋体"/>
                <w:szCs w:val="24"/>
              </w:rPr>
            </w:pPr>
            <w:r>
              <w:rPr>
                <w:rFonts w:hint="eastAsia" w:ascii="华文宋体" w:hAnsi="华文宋体" w:cs="华文宋体"/>
                <w:szCs w:val="24"/>
              </w:rPr>
              <w:t>投标有效期</w:t>
            </w:r>
          </w:p>
        </w:tc>
        <w:tc>
          <w:tcPr>
            <w:tcW w:w="3102" w:type="pct"/>
          </w:tcPr>
          <w:p w14:paraId="0E41459B">
            <w:pPr>
              <w:spacing w:line="440" w:lineRule="exact"/>
              <w:ind w:firstLine="0" w:firstLineChars="0"/>
              <w:rPr>
                <w:rFonts w:hint="eastAsia" w:ascii="华文宋体" w:hAnsi="华文宋体" w:cs="华文宋体"/>
                <w:szCs w:val="24"/>
              </w:rPr>
            </w:pPr>
            <w:r>
              <w:rPr>
                <w:rFonts w:hint="eastAsia" w:ascii="华文宋体" w:hAnsi="华文宋体" w:cs="华文宋体"/>
                <w:szCs w:val="24"/>
                <w:u w:val="single"/>
              </w:rPr>
              <w:t xml:space="preserve">              日历日</w:t>
            </w:r>
          </w:p>
        </w:tc>
      </w:tr>
      <w:tr w14:paraId="3395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pct"/>
            <w:vAlign w:val="center"/>
          </w:tcPr>
          <w:p w14:paraId="709A3914">
            <w:pPr>
              <w:spacing w:line="440" w:lineRule="exact"/>
              <w:ind w:firstLine="0" w:firstLineChars="0"/>
              <w:jc w:val="center"/>
              <w:rPr>
                <w:rFonts w:hint="eastAsia" w:ascii="华文宋体" w:hAnsi="华文宋体" w:cs="华文宋体"/>
                <w:szCs w:val="24"/>
              </w:rPr>
            </w:pPr>
            <w:r>
              <w:rPr>
                <w:rFonts w:hint="eastAsia" w:ascii="华文宋体" w:hAnsi="华文宋体" w:cs="华文宋体"/>
                <w:szCs w:val="24"/>
              </w:rPr>
              <w:t>备注</w:t>
            </w:r>
          </w:p>
        </w:tc>
        <w:tc>
          <w:tcPr>
            <w:tcW w:w="3102" w:type="pct"/>
          </w:tcPr>
          <w:p w14:paraId="45A94EAE">
            <w:pPr>
              <w:spacing w:line="440" w:lineRule="exact"/>
              <w:ind w:firstLine="0" w:firstLineChars="0"/>
              <w:rPr>
                <w:rFonts w:hint="eastAsia" w:ascii="华文宋体" w:hAnsi="华文宋体" w:cs="华文宋体"/>
                <w:szCs w:val="24"/>
                <w:u w:val="single"/>
              </w:rPr>
            </w:pPr>
          </w:p>
        </w:tc>
      </w:tr>
    </w:tbl>
    <w:p w14:paraId="34E63500">
      <w:pPr>
        <w:ind w:firstLine="480"/>
        <w:rPr>
          <w:rFonts w:hint="eastAsia" w:ascii="华文宋体" w:hAnsi="华文宋体" w:cs="华文宋体"/>
          <w:szCs w:val="24"/>
        </w:rPr>
      </w:pPr>
      <w:r>
        <w:rPr>
          <w:rFonts w:hint="eastAsia" w:ascii="华文宋体" w:hAnsi="华文宋体" w:cs="华文宋体"/>
          <w:szCs w:val="24"/>
        </w:rPr>
        <w:t>投标文件的上述组成部分如存在内容不一致的，以投标函为准。</w:t>
      </w:r>
    </w:p>
    <w:p w14:paraId="46771074">
      <w:pPr>
        <w:ind w:firstLine="480"/>
        <w:rPr>
          <w:rFonts w:hint="eastAsia" w:ascii="华文宋体" w:hAnsi="华文宋体" w:cs="华文宋体"/>
          <w:szCs w:val="24"/>
        </w:rPr>
      </w:pPr>
      <w:r>
        <w:rPr>
          <w:rFonts w:hint="eastAsia" w:ascii="华文宋体" w:hAnsi="华文宋体" w:cs="华文宋体"/>
          <w:szCs w:val="24"/>
        </w:rPr>
        <w:t>2.我方承诺除商务和技术偏差表列出的偏差外，我方响应招标文件的全部要求。</w:t>
      </w:r>
    </w:p>
    <w:p w14:paraId="38D00BCC">
      <w:pPr>
        <w:ind w:firstLine="480"/>
        <w:rPr>
          <w:rFonts w:hint="eastAsia" w:ascii="华文宋体" w:hAnsi="华文宋体" w:cs="华文宋体"/>
          <w:szCs w:val="24"/>
        </w:rPr>
      </w:pPr>
      <w:r>
        <w:rPr>
          <w:rFonts w:hint="eastAsia" w:ascii="华文宋体" w:hAnsi="华文宋体" w:cs="华文宋体"/>
          <w:szCs w:val="24"/>
        </w:rPr>
        <w:t>3.我方承诺在招标文件规定的投标有效期内不撤销投标文件。</w:t>
      </w:r>
    </w:p>
    <w:p w14:paraId="23589FCF">
      <w:pPr>
        <w:ind w:firstLine="480"/>
        <w:rPr>
          <w:rFonts w:hint="eastAsia" w:ascii="华文宋体" w:hAnsi="华文宋体" w:cs="华文宋体"/>
          <w:szCs w:val="24"/>
        </w:rPr>
      </w:pPr>
      <w:r>
        <w:rPr>
          <w:rFonts w:hint="eastAsia" w:ascii="华文宋体" w:hAnsi="华文宋体" w:cs="华文宋体"/>
          <w:szCs w:val="24"/>
        </w:rPr>
        <w:t>4.如我方中标，我方承诺：</w:t>
      </w:r>
    </w:p>
    <w:p w14:paraId="45A60ECC">
      <w:pPr>
        <w:ind w:firstLine="480"/>
        <w:rPr>
          <w:rFonts w:hint="eastAsia" w:ascii="华文宋体" w:hAnsi="华文宋体" w:cs="华文宋体"/>
          <w:szCs w:val="24"/>
        </w:rPr>
      </w:pPr>
      <w:r>
        <w:rPr>
          <w:rFonts w:hint="eastAsia" w:ascii="华文宋体" w:hAnsi="华文宋体" w:cs="华文宋体"/>
          <w:szCs w:val="24"/>
        </w:rPr>
        <w:t>（1）在收到中标通知书后，在中标通知书规定的期限内与你方签订合同；</w:t>
      </w:r>
    </w:p>
    <w:p w14:paraId="72821F4C">
      <w:pPr>
        <w:ind w:firstLine="480"/>
        <w:rPr>
          <w:rFonts w:hint="eastAsia" w:ascii="华文宋体" w:hAnsi="华文宋体" w:cs="华文宋体"/>
          <w:szCs w:val="24"/>
        </w:rPr>
      </w:pPr>
      <w:r>
        <w:rPr>
          <w:rFonts w:hint="eastAsia" w:ascii="华文宋体" w:hAnsi="华文宋体" w:cs="华文宋体"/>
          <w:szCs w:val="24"/>
        </w:rPr>
        <w:t>（2）在签订合同时不向你方提出附加条件；</w:t>
      </w:r>
    </w:p>
    <w:p w14:paraId="0AD4B3AC">
      <w:pPr>
        <w:ind w:firstLine="480"/>
        <w:rPr>
          <w:rFonts w:hint="eastAsia" w:ascii="华文宋体" w:hAnsi="华文宋体" w:cs="华文宋体"/>
          <w:szCs w:val="24"/>
        </w:rPr>
      </w:pPr>
      <w:r>
        <w:rPr>
          <w:rFonts w:hint="eastAsia" w:ascii="华文宋体" w:hAnsi="华文宋体" w:cs="华文宋体"/>
          <w:szCs w:val="24"/>
        </w:rPr>
        <w:t>（3）按照招标文件要求提交履约保证金；</w:t>
      </w:r>
    </w:p>
    <w:p w14:paraId="35036F65">
      <w:pPr>
        <w:ind w:firstLine="480"/>
        <w:rPr>
          <w:rFonts w:hint="eastAsia" w:ascii="华文宋体" w:hAnsi="华文宋体" w:cs="华文宋体"/>
          <w:szCs w:val="24"/>
        </w:rPr>
      </w:pPr>
      <w:r>
        <w:rPr>
          <w:rFonts w:hint="eastAsia" w:ascii="华文宋体" w:hAnsi="华文宋体" w:cs="华文宋体"/>
          <w:szCs w:val="24"/>
        </w:rPr>
        <w:t>（4）在合同约定的期限内完成合同规定的全部义务。</w:t>
      </w:r>
    </w:p>
    <w:p w14:paraId="5CB079A5">
      <w:pPr>
        <w:ind w:firstLine="480"/>
        <w:rPr>
          <w:rFonts w:hint="eastAsia" w:ascii="华文宋体" w:hAnsi="华文宋体" w:cs="华文宋体"/>
          <w:szCs w:val="24"/>
        </w:rPr>
      </w:pPr>
      <w:r>
        <w:rPr>
          <w:rFonts w:hint="eastAsia" w:ascii="华文宋体" w:hAnsi="华文宋体" w:cs="华文宋体"/>
          <w:szCs w:val="24"/>
        </w:rPr>
        <w:t>（5）将按招标文件要求向招标代理机构交纳招标代理服务费，同意招标代理机构从我方提交的电汇形式的投标保证金中直接收取应收部分，多退少补；投标保证保险或投标保证保函等形式的投标保证金，在收到招标代理服务费收取通知后5日内向其交纳招标代理服务费。</w:t>
      </w:r>
    </w:p>
    <w:p w14:paraId="20DD054B">
      <w:pPr>
        <w:ind w:firstLine="480"/>
        <w:rPr>
          <w:rFonts w:hint="eastAsia" w:ascii="华文宋体" w:hAnsi="华文宋体" w:cs="华文宋体"/>
          <w:szCs w:val="24"/>
        </w:rPr>
      </w:pPr>
      <w:r>
        <w:rPr>
          <w:rFonts w:hint="eastAsia" w:ascii="华文宋体" w:hAnsi="华文宋体" w:cs="华文宋体"/>
          <w:szCs w:val="24"/>
        </w:rPr>
        <w:t>5.我方在此声明，所递交的投标文件及有关资料内容完整、真实和准确，且不存在第二章“投标人须知”第1.4.3项规定的任何一种情形。</w:t>
      </w:r>
    </w:p>
    <w:p w14:paraId="0CF6604B">
      <w:pPr>
        <w:ind w:firstLine="480"/>
        <w:rPr>
          <w:rFonts w:hint="eastAsia" w:ascii="华文宋体" w:hAnsi="华文宋体" w:cs="华文宋体"/>
          <w:szCs w:val="24"/>
        </w:rPr>
      </w:pPr>
      <w:r>
        <w:rPr>
          <w:rFonts w:hint="eastAsia" w:ascii="华文宋体" w:hAnsi="华文宋体" w:cs="华文宋体"/>
          <w:szCs w:val="24"/>
        </w:rPr>
        <w:t>6.我方承诺响应《供应商廉洁承诺书》的内容。</w:t>
      </w:r>
    </w:p>
    <w:p w14:paraId="3225D7E7">
      <w:pPr>
        <w:ind w:firstLine="480"/>
        <w:rPr>
          <w:rFonts w:hint="eastAsia" w:ascii="华文宋体" w:hAnsi="华文宋体" w:cs="华文宋体"/>
          <w:szCs w:val="24"/>
        </w:rPr>
      </w:pPr>
      <w:r>
        <w:rPr>
          <w:rFonts w:hint="eastAsia" w:ascii="华文宋体" w:hAnsi="华文宋体" w:cs="华文宋体"/>
          <w:szCs w:val="24"/>
        </w:rPr>
        <w:t>7.                                           （其他补充说明）。</w:t>
      </w:r>
    </w:p>
    <w:p w14:paraId="690B6CE1">
      <w:pPr>
        <w:pStyle w:val="9"/>
        <w:kinsoku w:val="0"/>
        <w:overflowPunct w:val="0"/>
        <w:ind w:firstLine="480"/>
        <w:rPr>
          <w:rFonts w:hint="eastAsia" w:ascii="华文宋体" w:hAnsi="华文宋体" w:cs="华文宋体"/>
          <w:szCs w:val="24"/>
        </w:rPr>
      </w:pPr>
    </w:p>
    <w:p w14:paraId="4585FF1D">
      <w:pPr>
        <w:pStyle w:val="9"/>
        <w:kinsoku w:val="0"/>
        <w:overflowPunct w:val="0"/>
        <w:spacing w:before="8"/>
        <w:ind w:firstLine="480"/>
        <w:rPr>
          <w:rFonts w:hint="eastAsia" w:ascii="华文宋体" w:hAnsi="华文宋体" w:cs="华文宋体"/>
          <w:szCs w:val="24"/>
        </w:rPr>
      </w:pPr>
    </w:p>
    <w:p w14:paraId="5101F22F">
      <w:pPr>
        <w:pStyle w:val="9"/>
        <w:tabs>
          <w:tab w:val="left" w:pos="7541"/>
        </w:tabs>
        <w:kinsoku w:val="0"/>
        <w:overflowPunct w:val="0"/>
        <w:spacing w:before="78"/>
        <w:ind w:left="2921" w:firstLine="480"/>
        <w:rPr>
          <w:rFonts w:hint="eastAsia" w:ascii="华文宋体" w:hAnsi="华文宋体" w:cs="华文宋体"/>
          <w:spacing w:val="-3"/>
          <w:szCs w:val="24"/>
          <w:u w:val="single"/>
        </w:rPr>
      </w:pPr>
      <w:r>
        <w:rPr>
          <w:rFonts w:hint="eastAsia" w:ascii="华文宋体" w:hAnsi="华文宋体" w:cs="华文宋体"/>
          <w:szCs w:val="24"/>
        </w:rPr>
        <w:t>投标人（盖章）</w:t>
      </w:r>
      <w:r>
        <w:rPr>
          <w:rFonts w:hint="eastAsia" w:ascii="华文宋体" w:hAnsi="华文宋体" w:cs="华文宋体"/>
          <w:spacing w:val="-3"/>
          <w:szCs w:val="24"/>
        </w:rPr>
        <w:t>：</w:t>
      </w:r>
      <w:r>
        <w:rPr>
          <w:rFonts w:hint="eastAsia" w:ascii="华文宋体" w:hAnsi="华文宋体" w:cs="华文宋体"/>
          <w:spacing w:val="-3"/>
          <w:szCs w:val="24"/>
          <w:u w:val="single"/>
        </w:rPr>
        <w:t xml:space="preserve">                      </w:t>
      </w:r>
    </w:p>
    <w:p w14:paraId="3CCB3A31">
      <w:pPr>
        <w:pStyle w:val="9"/>
        <w:tabs>
          <w:tab w:val="left" w:pos="7541"/>
        </w:tabs>
        <w:kinsoku w:val="0"/>
        <w:overflowPunct w:val="0"/>
        <w:spacing w:before="78"/>
        <w:ind w:left="2921" w:firstLine="468"/>
        <w:rPr>
          <w:rFonts w:hint="eastAsia" w:ascii="华文宋体" w:hAnsi="华文宋体" w:cs="华文宋体"/>
          <w:spacing w:val="-3"/>
          <w:szCs w:val="24"/>
          <w:u w:val="single"/>
        </w:rPr>
      </w:pPr>
      <w:r>
        <w:rPr>
          <w:rFonts w:hint="eastAsia" w:ascii="华文宋体" w:hAnsi="华文宋体" w:cs="华文宋体"/>
          <w:spacing w:val="-3"/>
          <w:szCs w:val="24"/>
        </w:rPr>
        <w:t xml:space="preserve">法定代表人或委托代理人（签字/签章）：    </w:t>
      </w:r>
    </w:p>
    <w:p w14:paraId="25ADB312">
      <w:pPr>
        <w:pStyle w:val="9"/>
        <w:tabs>
          <w:tab w:val="left" w:pos="3552"/>
          <w:tab w:val="left" w:pos="8849"/>
        </w:tabs>
        <w:kinsoku w:val="0"/>
        <w:overflowPunct w:val="0"/>
        <w:spacing w:before="170"/>
        <w:ind w:left="2921" w:firstLine="480"/>
        <w:rPr>
          <w:rFonts w:hint="eastAsia" w:ascii="华文宋体" w:hAnsi="华文宋体" w:cs="华文宋体"/>
          <w:szCs w:val="24"/>
        </w:rPr>
      </w:pPr>
      <w:r>
        <w:rPr>
          <w:rFonts w:hint="eastAsia" w:ascii="华文宋体" w:hAnsi="华文宋体" w:cs="华文宋体"/>
          <w:szCs w:val="24"/>
        </w:rPr>
        <w:t>地址</w:t>
      </w:r>
      <w:r>
        <w:rPr>
          <w:rFonts w:hint="eastAsia" w:ascii="华文宋体" w:hAnsi="华文宋体" w:cs="华文宋体"/>
          <w:spacing w:val="-3"/>
          <w:szCs w:val="24"/>
        </w:rPr>
        <w:t xml:space="preserve">：                       </w:t>
      </w:r>
      <w:r>
        <w:rPr>
          <w:rFonts w:hint="eastAsia" w:ascii="华文宋体" w:hAnsi="华文宋体" w:cs="华文宋体"/>
          <w:szCs w:val="24"/>
          <w:u w:val="single"/>
        </w:rPr>
        <w:t xml:space="preserve"> </w:t>
      </w:r>
    </w:p>
    <w:p w14:paraId="18353301">
      <w:pPr>
        <w:pStyle w:val="9"/>
        <w:tabs>
          <w:tab w:val="left" w:pos="3552"/>
          <w:tab w:val="left" w:pos="8849"/>
        </w:tabs>
        <w:kinsoku w:val="0"/>
        <w:overflowPunct w:val="0"/>
        <w:spacing w:before="170"/>
        <w:ind w:left="2921" w:firstLine="480"/>
        <w:rPr>
          <w:rFonts w:hint="eastAsia" w:ascii="华文宋体" w:hAnsi="华文宋体" w:cs="华文宋体"/>
          <w:szCs w:val="24"/>
        </w:rPr>
      </w:pPr>
      <w:r>
        <w:rPr>
          <w:rFonts w:hint="eastAsia" w:ascii="华文宋体" w:hAnsi="华文宋体" w:cs="华文宋体"/>
          <w:szCs w:val="24"/>
        </w:rPr>
        <w:t>网址</w:t>
      </w:r>
      <w:r>
        <w:rPr>
          <w:rFonts w:hint="eastAsia" w:ascii="华文宋体" w:hAnsi="华文宋体" w:cs="华文宋体"/>
          <w:spacing w:val="-3"/>
          <w:szCs w:val="24"/>
        </w:rPr>
        <w:t>：</w:t>
      </w:r>
      <w:r>
        <w:rPr>
          <w:rFonts w:hint="eastAsia" w:ascii="华文宋体" w:hAnsi="华文宋体" w:cs="华文宋体"/>
          <w:szCs w:val="24"/>
          <w:u w:val="single"/>
        </w:rPr>
        <w:t xml:space="preserve"> </w:t>
      </w:r>
    </w:p>
    <w:p w14:paraId="49EBA044">
      <w:pPr>
        <w:pStyle w:val="9"/>
        <w:tabs>
          <w:tab w:val="left" w:pos="3552"/>
          <w:tab w:val="left" w:pos="8849"/>
        </w:tabs>
        <w:kinsoku w:val="0"/>
        <w:overflowPunct w:val="0"/>
        <w:spacing w:before="173"/>
        <w:ind w:left="2921" w:firstLine="468"/>
        <w:rPr>
          <w:rFonts w:hint="eastAsia" w:ascii="华文宋体" w:hAnsi="华文宋体" w:cs="华文宋体"/>
          <w:szCs w:val="24"/>
        </w:rPr>
      </w:pPr>
      <w:r>
        <w:rPr>
          <w:rFonts w:hint="eastAsia" w:ascii="华文宋体" w:hAnsi="华文宋体" w:cs="华文宋体"/>
          <w:spacing w:val="-3"/>
          <w:szCs w:val="24"/>
        </w:rPr>
        <w:t>委托代理人电话：</w:t>
      </w:r>
      <w:r>
        <w:rPr>
          <w:rFonts w:hint="eastAsia" w:ascii="华文宋体" w:hAnsi="华文宋体" w:cs="华文宋体"/>
          <w:szCs w:val="24"/>
          <w:u w:val="single"/>
        </w:rPr>
        <w:t xml:space="preserve"> </w:t>
      </w:r>
    </w:p>
    <w:p w14:paraId="1D42F618">
      <w:pPr>
        <w:pStyle w:val="9"/>
        <w:tabs>
          <w:tab w:val="left" w:pos="631"/>
          <w:tab w:val="left" w:pos="1471"/>
          <w:tab w:val="left" w:pos="2311"/>
        </w:tabs>
        <w:kinsoku w:val="0"/>
        <w:overflowPunct w:val="0"/>
        <w:spacing w:before="71"/>
        <w:ind w:right="697" w:firstLine="480"/>
        <w:jc w:val="right"/>
        <w:rPr>
          <w:rFonts w:hint="eastAsia" w:ascii="华文宋体" w:hAnsi="华文宋体" w:cs="华文宋体"/>
          <w:szCs w:val="24"/>
        </w:rPr>
        <w:sectPr>
          <w:pgSz w:w="11905" w:h="16838"/>
          <w:pgMar w:top="1417" w:right="1417" w:bottom="1417" w:left="1417" w:header="850" w:footer="992" w:gutter="0"/>
          <w:cols w:space="0" w:num="1"/>
          <w:docGrid w:type="lines" w:linePitch="335" w:charSpace="0"/>
        </w:sectPr>
      </w:pPr>
      <w:r>
        <w:rPr>
          <w:rFonts w:hint="eastAsia" w:ascii="华文宋体" w:hAnsi="华文宋体" w:cs="华文宋体"/>
          <w:szCs w:val="24"/>
          <w:u w:val="single"/>
        </w:rPr>
        <w:t xml:space="preserve">    </w:t>
      </w:r>
      <w:r>
        <w:rPr>
          <w:rFonts w:hint="eastAsia" w:ascii="华文宋体" w:hAnsi="华文宋体" w:cs="华文宋体"/>
          <w:szCs w:val="24"/>
        </w:rPr>
        <w:t>年</w:t>
      </w:r>
      <w:r>
        <w:rPr>
          <w:rFonts w:hint="eastAsia" w:ascii="华文宋体" w:hAnsi="华文宋体" w:cs="华文宋体"/>
          <w:szCs w:val="24"/>
          <w:u w:val="single"/>
        </w:rPr>
        <w:t xml:space="preserve">    </w:t>
      </w:r>
      <w:r>
        <w:rPr>
          <w:rFonts w:hint="eastAsia" w:ascii="华文宋体" w:hAnsi="华文宋体" w:cs="华文宋体"/>
          <w:szCs w:val="24"/>
        </w:rPr>
        <w:t>月</w:t>
      </w:r>
      <w:r>
        <w:rPr>
          <w:rFonts w:hint="eastAsia" w:ascii="华文宋体" w:hAnsi="华文宋体" w:cs="华文宋体"/>
          <w:szCs w:val="24"/>
          <w:u w:val="single"/>
        </w:rPr>
        <w:t xml:space="preserve">    </w:t>
      </w:r>
      <w:r>
        <w:rPr>
          <w:rFonts w:hint="eastAsia" w:ascii="华文宋体" w:hAnsi="华文宋体" w:cs="华文宋体"/>
          <w:szCs w:val="24"/>
        </w:rPr>
        <w:t>日</w:t>
      </w:r>
    </w:p>
    <w:p w14:paraId="723BD7C9">
      <w:pPr>
        <w:spacing w:line="240" w:lineRule="auto"/>
        <w:ind w:firstLine="420"/>
        <w:rPr>
          <w:rFonts w:cs="汉仪中等线KW"/>
          <w:sz w:val="21"/>
          <w:szCs w:val="21"/>
        </w:rPr>
      </w:pPr>
    </w:p>
    <w:p w14:paraId="11E7A566">
      <w:pPr>
        <w:pStyle w:val="9"/>
        <w:kinsoku w:val="0"/>
        <w:overflowPunct w:val="0"/>
        <w:spacing w:line="525" w:lineRule="exact"/>
        <w:ind w:right="297" w:firstLine="640"/>
        <w:jc w:val="center"/>
        <w:rPr>
          <w:rFonts w:eastAsia="黑体"/>
          <w:sz w:val="32"/>
        </w:rPr>
      </w:pPr>
      <w:r>
        <w:rPr>
          <w:rFonts w:eastAsia="黑体"/>
          <w:sz w:val="32"/>
        </w:rPr>
        <w:t>供应商廉洁承诺书</w:t>
      </w:r>
      <w:r>
        <w:rPr>
          <w:rFonts w:hint="eastAsia" w:eastAsia="黑体"/>
          <w:sz w:val="32"/>
        </w:rPr>
        <w:t>（投标文件中须保留）</w:t>
      </w:r>
    </w:p>
    <w:p w14:paraId="6658BED8">
      <w:pPr>
        <w:ind w:firstLine="480"/>
      </w:pPr>
      <w:r>
        <w:t>为维护公平竞争的市场秩序，我方自愿在参与贵方组织的商业往来活动中，加强有关人员廉洁从业管理，恪守商业道德，从源头预防和遏制违法、违规、违纪行为发生，特作以下承诺：</w:t>
      </w:r>
    </w:p>
    <w:p w14:paraId="3801FAFF">
      <w:pPr>
        <w:ind w:firstLine="480"/>
      </w:pPr>
      <w:r>
        <w:t>一、严格遵守国家有关法律法规，坚持诚实守信原则，恪守商业道德，规范商务人员廉洁从业行为。</w:t>
      </w:r>
    </w:p>
    <w:p w14:paraId="6711D3B8">
      <w:pPr>
        <w:ind w:firstLine="480"/>
      </w:pPr>
      <w:r>
        <w:t>二、不伙同他人串标、围标或非法排挤竞争对手，不在商业活动中提供虚假资料，损害贵方合法权益。</w:t>
      </w:r>
    </w:p>
    <w:p w14:paraId="6F37278E">
      <w:pPr>
        <w:ind w:firstLine="480"/>
      </w:pPr>
      <w:r>
        <w:t>三、不为贵方工作人员提供回扣、礼金、有价证券、贵重物品和报销个人费用。</w:t>
      </w:r>
    </w:p>
    <w:p w14:paraId="06C60F29">
      <w:pPr>
        <w:ind w:firstLine="480"/>
      </w:pPr>
      <w:r>
        <w:t>四、不为贵方工作人员安排有可能影响公平、公正交易的宴请、健身、娱乐等活动。</w:t>
      </w:r>
    </w:p>
    <w:p w14:paraId="6674CAC3">
      <w:pPr>
        <w:ind w:firstLine="480"/>
      </w:pPr>
      <w:r>
        <w:t>五、不为贵方工作人员投资入股、个人借款或买卖股票、债券等提供方便。</w:t>
      </w:r>
    </w:p>
    <w:p w14:paraId="1253A7A9">
      <w:pPr>
        <w:ind w:firstLine="480"/>
      </w:pPr>
      <w:r>
        <w:t>六、不为贵方工作人员购买或装修住房、婚丧嫁娶、配偶子女上学或工作安排以及出国出境、旅游等提供方便。</w:t>
      </w:r>
    </w:p>
    <w:p w14:paraId="4A16DE85">
      <w:pPr>
        <w:ind w:firstLine="480"/>
      </w:pPr>
      <w:r>
        <w:t>七、不违反规定为贵方工作人员在我方相关企业挂名兼职、合伙经营、介绍承揽业务等提供方便。</w:t>
      </w:r>
    </w:p>
    <w:p w14:paraId="3CC26D41">
      <w:pPr>
        <w:ind w:firstLine="480"/>
      </w:pPr>
      <w:r>
        <w:t>八、不利用非法手段向贵方工作人员打探有关涉及贵方的商业秘密、业务渠道等。</w:t>
      </w:r>
    </w:p>
    <w:p w14:paraId="4A64B670">
      <w:pPr>
        <w:ind w:firstLine="480"/>
      </w:pPr>
      <w:r>
        <w:t>九、贵方对涉嫌不廉洁的商业行为进行调查时，我方有配合提供证据、作证的义务。</w:t>
      </w:r>
    </w:p>
    <w:p w14:paraId="4535187D">
      <w:pPr>
        <w:ind w:firstLine="480"/>
      </w:pPr>
      <w:r>
        <w:t>十、未经贵方同意，我方不向任何新闻媒体、第三人述及有关贵方工作人员恪守商业道德方面的评价、信息。</w:t>
      </w:r>
    </w:p>
    <w:p w14:paraId="150F69DB">
      <w:pPr>
        <w:ind w:firstLine="480"/>
      </w:pPr>
      <w:r>
        <w:t>我方自愿接受社会及贵方监督，如有违反约定，承诺及时对相关工作人员进行处分处理，并限期整改；如导致贵方工作人员受到纪律处分、组织处理或构成违法犯罪的，愿意按照双方约定赔付违约金，并列入永久禁入黑名单；给贵方造成重大社会影响或重大经济损失的，同意解除、终止双方尚未履行完毕的业务合同，暂停结算合同未支付款项，赔偿贵方遭受的经济损失，并列入永久禁入黑名单。</w:t>
      </w:r>
    </w:p>
    <w:p w14:paraId="39C721F0">
      <w:pPr>
        <w:ind w:firstLine="480"/>
        <w:jc w:val="right"/>
      </w:pPr>
      <w:r>
        <w:rPr>
          <w:rFonts w:hint="eastAsia" w:ascii="华文宋体" w:hAnsi="华文宋体" w:cs="华文宋体"/>
          <w:szCs w:val="24"/>
        </w:rPr>
        <w:t>投标人（盖章）</w:t>
      </w:r>
      <w:r>
        <w:rPr>
          <w:rFonts w:hint="eastAsia" w:ascii="华文宋体" w:hAnsi="华文宋体" w:cs="华文宋体"/>
          <w:spacing w:val="-3"/>
          <w:szCs w:val="24"/>
        </w:rPr>
        <w:t>：</w:t>
      </w:r>
      <w:r>
        <w:rPr>
          <w:rFonts w:hint="eastAsia" w:ascii="华文宋体" w:hAnsi="华文宋体" w:cs="华文宋体"/>
          <w:spacing w:val="-3"/>
          <w:szCs w:val="24"/>
          <w:u w:val="single"/>
        </w:rPr>
        <w:t xml:space="preserve">                     </w:t>
      </w:r>
    </w:p>
    <w:p w14:paraId="30F49C2F">
      <w:pPr>
        <w:ind w:firstLine="480"/>
      </w:pPr>
      <w:r>
        <w:br w:type="page"/>
      </w:r>
    </w:p>
    <w:bookmarkEnd w:id="1797"/>
    <w:bookmarkEnd w:id="1798"/>
    <w:bookmarkEnd w:id="1799"/>
    <w:bookmarkEnd w:id="1800"/>
    <w:bookmarkEnd w:id="1801"/>
    <w:p w14:paraId="4264F2C3">
      <w:pPr>
        <w:pStyle w:val="5"/>
        <w:pageBreakBefore/>
        <w:spacing w:line="400" w:lineRule="exact"/>
        <w:ind w:firstLine="0" w:firstLineChars="0"/>
        <w:jc w:val="center"/>
        <w:rPr>
          <w:sz w:val="32"/>
          <w:szCs w:val="32"/>
        </w:rPr>
      </w:pPr>
      <w:bookmarkStart w:id="1805" w:name="_Toc28463"/>
      <w:bookmarkStart w:id="1806" w:name="_Toc11273"/>
      <w:bookmarkStart w:id="1807" w:name="_Toc1968680610"/>
      <w:bookmarkStart w:id="1808" w:name="_Toc1217156722"/>
      <w:bookmarkStart w:id="1809" w:name="_Toc16062"/>
      <w:bookmarkStart w:id="1810" w:name="_Toc1721151569"/>
      <w:bookmarkStart w:id="1811" w:name="_Toc21520"/>
      <w:bookmarkStart w:id="1812" w:name="_Toc217446286"/>
      <w:bookmarkStart w:id="1813" w:name="_Toc1205439630"/>
      <w:bookmarkStart w:id="1814" w:name="_Toc164984624"/>
      <w:bookmarkStart w:id="1815" w:name="_Toc30887"/>
      <w:bookmarkStart w:id="1816" w:name="_Toc714805006"/>
      <w:bookmarkStart w:id="1817" w:name="_Toc27677"/>
      <w:bookmarkStart w:id="1818" w:name="_Toc22735"/>
      <w:bookmarkStart w:id="1819" w:name="_Toc2012453573"/>
      <w:bookmarkStart w:id="1820" w:name="_Toc762440940"/>
      <w:bookmarkStart w:id="1821" w:name="_Toc18290"/>
      <w:bookmarkStart w:id="1822" w:name="_Toc12329"/>
      <w:bookmarkStart w:id="1823" w:name="_Toc7238"/>
      <w:r>
        <w:rPr>
          <w:rFonts w:hint="eastAsia"/>
          <w:sz w:val="32"/>
          <w:szCs w:val="32"/>
          <w:lang w:val="en-US" w:eastAsia="zh-CN"/>
        </w:rPr>
        <w:t>2</w:t>
      </w:r>
      <w:r>
        <w:rPr>
          <w:rFonts w:hint="eastAsia"/>
          <w:sz w:val="32"/>
          <w:szCs w:val="32"/>
        </w:rPr>
        <w:t>.投标人法定代表人授权委托书</w:t>
      </w:r>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p>
    <w:p w14:paraId="3B51DFA1">
      <w:pPr>
        <w:ind w:firstLine="480"/>
        <w:jc w:val="left"/>
        <w:textAlignment w:val="baseline"/>
        <w:rPr>
          <w:rFonts w:cs="汉仪中等线KW"/>
        </w:rPr>
      </w:pPr>
    </w:p>
    <w:p w14:paraId="39C00804">
      <w:pPr>
        <w:ind w:firstLine="480"/>
        <w:jc w:val="left"/>
        <w:textAlignment w:val="baseline"/>
        <w:rPr>
          <w:rFonts w:cs="汉仪中等线KW"/>
        </w:rPr>
      </w:pPr>
      <w:r>
        <w:rPr>
          <w:rFonts w:hint="eastAsia" w:cs="汉仪中等线KW"/>
        </w:rPr>
        <w:t>本人（姓名）</w:t>
      </w:r>
      <w:r>
        <w:rPr>
          <w:rFonts w:cs="汉仪中等线KW"/>
          <w:u w:val="single"/>
        </w:rPr>
        <w:t xml:space="preserve">     </w:t>
      </w:r>
      <w:r>
        <w:rPr>
          <w:rFonts w:cs="汉仪中等线KW"/>
        </w:rPr>
        <w:t>系（投标人名称）</w:t>
      </w:r>
      <w:r>
        <w:rPr>
          <w:rFonts w:cs="汉仪中等线KW"/>
          <w:u w:val="single"/>
        </w:rPr>
        <w:t xml:space="preserve">       </w:t>
      </w:r>
      <w:r>
        <w:rPr>
          <w:rFonts w:cs="汉仪中等线KW"/>
        </w:rPr>
        <w:t>的法定代表人，现委托（姓名）</w:t>
      </w:r>
      <w:r>
        <w:rPr>
          <w:rFonts w:cs="汉仪中等线KW"/>
          <w:u w:val="single"/>
        </w:rPr>
        <w:t xml:space="preserve">     </w:t>
      </w:r>
      <w:r>
        <w:rPr>
          <w:rFonts w:hint="eastAsia" w:cs="汉仪中等线KW"/>
          <w:u w:val="single"/>
        </w:rPr>
        <w:t xml:space="preserve">        </w:t>
      </w:r>
      <w:r>
        <w:rPr>
          <w:rFonts w:cs="汉仪中等线KW"/>
        </w:rPr>
        <w:t>为我方代理人。代理人根据授权，以我方名义签署、澄清、说明、补正、递交、撤回、修改（项目名称）《</w:t>
      </w:r>
      <w:r>
        <w:rPr>
          <w:rFonts w:cs="汉仪中等线KW"/>
          <w:u w:val="single"/>
        </w:rPr>
        <w:t xml:space="preserve">                           </w:t>
      </w:r>
      <w:r>
        <w:rPr>
          <w:rFonts w:cs="汉仪中等线KW"/>
        </w:rPr>
        <w:t>》</w:t>
      </w:r>
      <w:r>
        <w:rPr>
          <w:rFonts w:hint="eastAsia" w:cs="汉仪中等线KW"/>
        </w:rPr>
        <w:t>（项目编号：</w:t>
      </w:r>
      <w:r>
        <w:rPr>
          <w:rFonts w:hint="eastAsia" w:cs="汉仪中等线KW"/>
          <w:lang w:eastAsia="zh-CN"/>
        </w:rPr>
        <w:t>GHY-26</w:t>
      </w:r>
      <w:r>
        <w:rPr>
          <w:rFonts w:hint="eastAsia" w:cs="汉仪中等线KW"/>
          <w:lang w:val="en-US" w:eastAsia="zh-CN"/>
        </w:rPr>
        <w:t>430</w:t>
      </w:r>
      <w:r>
        <w:rPr>
          <w:rFonts w:hint="eastAsia" w:cs="汉仪中等线KW"/>
        </w:rPr>
        <w:t>）</w:t>
      </w:r>
      <w:r>
        <w:rPr>
          <w:rFonts w:cs="汉仪中等线KW"/>
        </w:rPr>
        <w:t>投标文件、签订合同和处理有关事宜，其法律后果由我方承担。</w:t>
      </w:r>
    </w:p>
    <w:p w14:paraId="7505B557">
      <w:pPr>
        <w:ind w:firstLine="480"/>
        <w:jc w:val="left"/>
        <w:textAlignment w:val="baseline"/>
        <w:rPr>
          <w:rFonts w:cs="汉仪中等线KW"/>
        </w:rPr>
      </w:pPr>
      <w:r>
        <w:rPr>
          <w:rFonts w:hint="eastAsia" w:cs="汉仪中等线KW"/>
        </w:rPr>
        <w:t>我公司对被授权人的签名负全部责任。</w:t>
      </w:r>
    </w:p>
    <w:p w14:paraId="2931BE7E">
      <w:pPr>
        <w:ind w:firstLine="480"/>
        <w:jc w:val="left"/>
        <w:textAlignment w:val="baseline"/>
        <w:rPr>
          <w:rFonts w:cs="汉仪中等线KW"/>
        </w:rPr>
      </w:pPr>
      <w:r>
        <w:rPr>
          <w:rFonts w:hint="eastAsia" w:cs="汉仪中等线KW"/>
        </w:rPr>
        <w:t>在撤消授权的书面通知以前，本授权书一直有效，代理人所签署的所有文件</w:t>
      </w:r>
      <w:r>
        <w:rPr>
          <w:rFonts w:cs="汉仪中等线KW"/>
        </w:rPr>
        <w:t>(在授权书有效期内签署的)，不因授权的撤消而失效。</w:t>
      </w:r>
    </w:p>
    <w:p w14:paraId="12FF0E64">
      <w:pPr>
        <w:ind w:firstLine="480"/>
        <w:jc w:val="left"/>
        <w:textAlignment w:val="baseline"/>
        <w:rPr>
          <w:rFonts w:cs="汉仪中等线KW"/>
        </w:rPr>
      </w:pPr>
      <w:r>
        <w:rPr>
          <w:rFonts w:hint="eastAsia" w:cs="汉仪中等线KW"/>
        </w:rPr>
        <w:t>代理人无转委托权。</w:t>
      </w:r>
    </w:p>
    <w:p w14:paraId="5D6949C8">
      <w:pPr>
        <w:ind w:firstLine="480"/>
        <w:jc w:val="left"/>
        <w:textAlignment w:val="baseline"/>
        <w:rPr>
          <w:rFonts w:cs="汉仪中等线KW"/>
        </w:rPr>
      </w:pPr>
    </w:p>
    <w:p w14:paraId="6933FE8A">
      <w:pPr>
        <w:ind w:firstLine="480"/>
        <w:jc w:val="left"/>
        <w:textAlignment w:val="baseline"/>
        <w:rPr>
          <w:rFonts w:cs="汉仪中等线KW"/>
        </w:rPr>
      </w:pPr>
      <w:r>
        <w:rPr>
          <w:rFonts w:hint="eastAsia" w:cs="汉仪中等线KW"/>
        </w:rPr>
        <w:t>投标人</w:t>
      </w:r>
      <w:r>
        <w:rPr>
          <w:rFonts w:cs="汉仪中等线KW"/>
        </w:rPr>
        <w:t>（盖章）</w:t>
      </w:r>
      <w:r>
        <w:rPr>
          <w:rFonts w:hint="eastAsia" w:cs="汉仪中等线KW"/>
        </w:rPr>
        <w:t>：</w:t>
      </w:r>
    </w:p>
    <w:p w14:paraId="1DDA2FEC">
      <w:pPr>
        <w:ind w:firstLine="480"/>
        <w:jc w:val="left"/>
        <w:textAlignment w:val="baseline"/>
        <w:rPr>
          <w:rFonts w:cs="汉仪中等线KW"/>
        </w:rPr>
      </w:pPr>
    </w:p>
    <w:p w14:paraId="43131E52">
      <w:pPr>
        <w:ind w:firstLine="480"/>
        <w:jc w:val="left"/>
        <w:textAlignment w:val="baseline"/>
        <w:rPr>
          <w:rFonts w:cs="汉仪中等线KW"/>
        </w:rPr>
      </w:pPr>
      <w:r>
        <w:rPr>
          <w:rFonts w:hint="eastAsia" w:ascii="Times New Roman" w:hAnsi="Times New Roman" w:cs="汉仪中等线KW"/>
        </w:rPr>
        <w:t>法定代表人</w:t>
      </w:r>
      <w:r>
        <w:rPr>
          <w:rFonts w:cs="汉仪中等线KW"/>
        </w:rPr>
        <w:t>（签字</w:t>
      </w:r>
      <w:r>
        <w:rPr>
          <w:rFonts w:hint="eastAsia" w:cs="汉仪中等线KW"/>
        </w:rPr>
        <w:t>/</w:t>
      </w:r>
      <w:r>
        <w:rPr>
          <w:rFonts w:cs="汉仪中等线KW"/>
        </w:rPr>
        <w:t>签章）</w:t>
      </w:r>
      <w:r>
        <w:rPr>
          <w:rFonts w:hint="eastAsia" w:cs="汉仪中等线KW"/>
        </w:rPr>
        <w:t>：</w:t>
      </w:r>
    </w:p>
    <w:p w14:paraId="4E7DB220">
      <w:pPr>
        <w:ind w:firstLine="480"/>
        <w:jc w:val="left"/>
        <w:textAlignment w:val="baseline"/>
        <w:rPr>
          <w:rFonts w:cs="汉仪中等线KW"/>
        </w:rPr>
      </w:pPr>
      <w:r>
        <w:rPr>
          <w:rFonts w:cs="汉仪中等线KW"/>
        </w:rPr>
        <w:t>身份证号码：</w:t>
      </w:r>
    </w:p>
    <w:p w14:paraId="31A48969">
      <w:pPr>
        <w:ind w:firstLine="480"/>
        <w:jc w:val="left"/>
        <w:textAlignment w:val="baseline"/>
        <w:rPr>
          <w:rFonts w:cs="汉仪中等线KW"/>
        </w:rPr>
      </w:pPr>
    </w:p>
    <w:p w14:paraId="1FFC4924">
      <w:pPr>
        <w:ind w:firstLine="480"/>
        <w:jc w:val="left"/>
        <w:textAlignment w:val="baseline"/>
        <w:rPr>
          <w:rFonts w:cs="汉仪中等线KW"/>
        </w:rPr>
      </w:pPr>
      <w:r>
        <w:rPr>
          <w:rFonts w:hint="eastAsia" w:cs="汉仪中等线KW"/>
        </w:rPr>
        <w:t>委托代理人</w:t>
      </w:r>
      <w:r>
        <w:rPr>
          <w:rFonts w:cs="汉仪中等线KW"/>
        </w:rPr>
        <w:t>（签字</w:t>
      </w:r>
      <w:r>
        <w:rPr>
          <w:rFonts w:hint="eastAsia" w:cs="汉仪中等线KW"/>
        </w:rPr>
        <w:t>/</w:t>
      </w:r>
      <w:r>
        <w:rPr>
          <w:rFonts w:cs="汉仪中等线KW"/>
        </w:rPr>
        <w:t>签章）</w:t>
      </w:r>
      <w:r>
        <w:rPr>
          <w:rFonts w:hint="eastAsia" w:cs="汉仪中等线KW"/>
        </w:rPr>
        <w:t>：</w:t>
      </w:r>
    </w:p>
    <w:p w14:paraId="731767DC">
      <w:pPr>
        <w:ind w:firstLine="480"/>
        <w:jc w:val="left"/>
        <w:textAlignment w:val="baseline"/>
        <w:rPr>
          <w:rFonts w:cs="汉仪中等线KW"/>
        </w:rPr>
      </w:pPr>
      <w:r>
        <w:rPr>
          <w:rFonts w:cs="汉仪中等线KW"/>
        </w:rPr>
        <w:t>身份证号码：</w:t>
      </w:r>
    </w:p>
    <w:p w14:paraId="12E62F28">
      <w:pPr>
        <w:ind w:firstLine="480"/>
        <w:jc w:val="left"/>
        <w:textAlignment w:val="baseline"/>
        <w:rPr>
          <w:rFonts w:cs="汉仪中等线KW"/>
        </w:rPr>
      </w:pPr>
      <w:r>
        <w:rPr>
          <w:rFonts w:cs="汉仪中等线KW"/>
        </w:rPr>
        <w:t>联系方式（手机）：</w:t>
      </w:r>
    </w:p>
    <w:p w14:paraId="51454883">
      <w:pPr>
        <w:ind w:left="480" w:firstLine="480"/>
        <w:rPr>
          <w:lang w:val="zh-CN"/>
        </w:rPr>
      </w:pPr>
    </w:p>
    <w:p w14:paraId="1F533FC1">
      <w:pPr>
        <w:ind w:left="480" w:firstLine="480"/>
      </w:pPr>
      <w:r>
        <w:rPr>
          <w:rFonts w:hint="eastAsia" w:cs="汉仪中等线KW"/>
          <w:bCs/>
          <w:szCs w:val="22"/>
        </w:rPr>
        <w:t>附：法定代表人及委托代理人身份证正反面复印件。</w:t>
      </w:r>
    </w:p>
    <w:p w14:paraId="3C526CF9">
      <w:r>
        <w:br w:type="page"/>
      </w:r>
    </w:p>
    <w:p w14:paraId="4867FFE6">
      <w:pPr>
        <w:keepNext/>
        <w:keepLines/>
        <w:widowControl w:val="0"/>
        <w:wordWrap w:val="0"/>
        <w:adjustRightInd/>
        <w:snapToGrid/>
        <w:spacing w:before="400" w:after="200" w:line="500" w:lineRule="exact"/>
        <w:ind w:firstLine="561" w:firstLineChars="200"/>
        <w:jc w:val="center"/>
        <w:textAlignment w:val="baseline"/>
        <w:outlineLvl w:val="2"/>
        <w:rPr>
          <w:rFonts w:ascii="Times New Roman" w:hAnsi="Times New Roman" w:eastAsia="华文宋体" w:cs="Times New Roman"/>
          <w:b/>
          <w:kern w:val="2"/>
          <w:sz w:val="28"/>
          <w:lang w:val="en-US" w:eastAsia="zh-CN" w:bidi="ar-SA"/>
        </w:rPr>
      </w:pPr>
      <w:bookmarkStart w:id="1824" w:name="_Toc19510"/>
      <w:bookmarkStart w:id="1825" w:name="_Toc26117"/>
      <w:bookmarkStart w:id="1826" w:name="_Toc12631"/>
      <w:bookmarkStart w:id="1827" w:name="_Toc11"/>
      <w:bookmarkStart w:id="1828" w:name="_Toc6298"/>
      <w:bookmarkStart w:id="1829" w:name="_Toc5259"/>
      <w:bookmarkStart w:id="1830" w:name="_Toc22659"/>
      <w:bookmarkStart w:id="1831" w:name="_Toc30176"/>
      <w:bookmarkStart w:id="1832" w:name="_Toc4504"/>
      <w:bookmarkStart w:id="1833" w:name="_Toc32076"/>
      <w:bookmarkStart w:id="1834" w:name="_Toc3025"/>
      <w:bookmarkStart w:id="1835" w:name="_Toc22389"/>
      <w:bookmarkStart w:id="1836" w:name="_Toc6326"/>
      <w:bookmarkStart w:id="1837" w:name="_Toc2416"/>
      <w:r>
        <w:rPr>
          <w:rFonts w:hint="eastAsia" w:ascii="Times New Roman" w:hAnsi="Times New Roman" w:eastAsia="华文宋体" w:cs="Times New Roman"/>
          <w:b/>
          <w:kern w:val="2"/>
          <w:sz w:val="28"/>
          <w:lang w:val="en-US" w:eastAsia="zh-CN" w:bidi="ar-SA"/>
        </w:rPr>
        <w:t>3.投标保证金承诺函及凭证</w:t>
      </w:r>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p>
    <w:p w14:paraId="5CAFC1D6">
      <w:pPr>
        <w:widowControl w:val="0"/>
        <w:tabs>
          <w:tab w:val="left" w:pos="2291"/>
        </w:tabs>
        <w:kinsoku w:val="0"/>
        <w:wordWrap w:val="0"/>
        <w:overflowPunct w:val="0"/>
        <w:adjustRightInd w:val="0"/>
        <w:snapToGrid w:val="0"/>
        <w:spacing w:after="120" w:line="500" w:lineRule="exact"/>
        <w:ind w:left="403" w:firstLine="0" w:firstLineChars="0"/>
        <w:jc w:val="both"/>
        <w:rPr>
          <w:rFonts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致：（</w:t>
      </w:r>
      <w:r>
        <w:rPr>
          <w:rFonts w:hint="eastAsia" w:ascii="华文宋体" w:hAnsi="华文宋体" w:eastAsia="华文宋体" w:cs="华文宋体"/>
          <w:spacing w:val="-3"/>
          <w:kern w:val="2"/>
          <w:sz w:val="24"/>
          <w:szCs w:val="24"/>
          <w:lang w:val="en-US" w:eastAsia="zh-CN" w:bidi="ar-SA"/>
        </w:rPr>
        <w:t>招标人名称</w:t>
      </w:r>
      <w:r>
        <w:rPr>
          <w:rFonts w:hint="eastAsia" w:ascii="华文宋体" w:hAnsi="华文宋体" w:eastAsia="华文宋体" w:cs="华文宋体"/>
          <w:spacing w:val="-108"/>
          <w:kern w:val="2"/>
          <w:sz w:val="24"/>
          <w:szCs w:val="24"/>
          <w:lang w:val="en-US" w:eastAsia="zh-CN" w:bidi="ar-SA"/>
        </w:rPr>
        <w:t>）</w:t>
      </w:r>
    </w:p>
    <w:p w14:paraId="576F38F6">
      <w:pPr>
        <w:wordWrap w:val="0"/>
        <w:spacing w:line="500" w:lineRule="exact"/>
        <w:ind w:firstLine="480"/>
        <w:rPr>
          <w:rFonts w:ascii="Times New Roman" w:hAnsi="Times New Roman" w:eastAsia="华文宋体"/>
          <w:spacing w:val="0"/>
          <w:sz w:val="24"/>
          <w:szCs w:val="20"/>
        </w:rPr>
      </w:pPr>
      <w:r>
        <w:rPr>
          <w:rFonts w:hint="eastAsia" w:ascii="Times New Roman" w:hAnsi="Times New Roman" w:eastAsia="华文宋体"/>
          <w:spacing w:val="0"/>
          <w:sz w:val="24"/>
          <w:szCs w:val="20"/>
        </w:rPr>
        <w:t>我方(投标人)参加你方招标的(招标项目名称)的投标，我方愿向你方提供如下保证：</w:t>
      </w:r>
    </w:p>
    <w:p w14:paraId="6F5DA629">
      <w:pPr>
        <w:wordWrap w:val="0"/>
        <w:spacing w:line="500" w:lineRule="exact"/>
        <w:ind w:firstLine="480"/>
        <w:rPr>
          <w:rFonts w:ascii="Times New Roman" w:hAnsi="Times New Roman" w:eastAsia="华文宋体"/>
          <w:spacing w:val="0"/>
          <w:sz w:val="24"/>
          <w:szCs w:val="20"/>
        </w:rPr>
      </w:pPr>
      <w:r>
        <w:rPr>
          <w:rFonts w:hint="eastAsia" w:ascii="Times New Roman" w:hAnsi="Times New Roman" w:eastAsia="华文宋体"/>
          <w:spacing w:val="0"/>
          <w:sz w:val="24"/>
          <w:szCs w:val="20"/>
        </w:rPr>
        <w:t>1.投标保证金的金额为人民币(大写)元整。</w:t>
      </w:r>
    </w:p>
    <w:p w14:paraId="06F4A1A7">
      <w:pPr>
        <w:wordWrap w:val="0"/>
        <w:spacing w:line="500" w:lineRule="exact"/>
        <w:ind w:firstLine="480"/>
        <w:rPr>
          <w:rFonts w:ascii="Times New Roman" w:hAnsi="Times New Roman" w:eastAsia="华文宋体"/>
          <w:spacing w:val="0"/>
          <w:sz w:val="24"/>
          <w:szCs w:val="20"/>
        </w:rPr>
      </w:pPr>
      <w:r>
        <w:rPr>
          <w:rFonts w:hint="eastAsia" w:ascii="Times New Roman" w:hAnsi="Times New Roman" w:eastAsia="华文宋体"/>
          <w:spacing w:val="0"/>
          <w:sz w:val="24"/>
          <w:szCs w:val="20"/>
        </w:rPr>
        <w:t>2.</w:t>
      </w:r>
      <w:r>
        <w:rPr>
          <w:rFonts w:hint="eastAsia"/>
          <w:spacing w:val="0"/>
          <w:sz w:val="24"/>
          <w:szCs w:val="20"/>
          <w:lang w:eastAsia="zh-CN"/>
        </w:rPr>
        <w:t>本次</w:t>
      </w:r>
      <w:r>
        <w:rPr>
          <w:rFonts w:hint="eastAsia" w:ascii="Times New Roman" w:hAnsi="Times New Roman" w:eastAsia="华文宋体"/>
          <w:spacing w:val="0"/>
          <w:sz w:val="24"/>
          <w:szCs w:val="20"/>
        </w:rPr>
        <w:t>投标保证金有效期自投标截止之日起至投标有效期或延长后的投标有效期满后为止。</w:t>
      </w:r>
    </w:p>
    <w:p w14:paraId="119477DC">
      <w:pPr>
        <w:wordWrap w:val="0"/>
        <w:spacing w:line="500" w:lineRule="exact"/>
        <w:ind w:firstLine="480"/>
        <w:rPr>
          <w:rFonts w:ascii="Times New Roman" w:hAnsi="Times New Roman" w:eastAsia="华文宋体"/>
          <w:spacing w:val="0"/>
          <w:sz w:val="24"/>
          <w:szCs w:val="20"/>
        </w:rPr>
      </w:pPr>
      <w:r>
        <w:rPr>
          <w:rFonts w:hint="eastAsia" w:ascii="Times New Roman" w:hAnsi="Times New Roman" w:eastAsia="华文宋体"/>
          <w:spacing w:val="0"/>
          <w:sz w:val="24"/>
          <w:szCs w:val="20"/>
        </w:rPr>
        <w:t>3.如果我方中标，我方同意贵司从我方电汇投标保证金中直接扣除招标代理服务费(多退少补)。</w:t>
      </w:r>
    </w:p>
    <w:p w14:paraId="621724DA">
      <w:pPr>
        <w:wordWrap w:val="0"/>
        <w:spacing w:line="500" w:lineRule="exact"/>
        <w:ind w:firstLine="480"/>
        <w:rPr>
          <w:rFonts w:ascii="Times New Roman" w:hAnsi="Times New Roman" w:eastAsia="华文宋体"/>
          <w:spacing w:val="0"/>
          <w:sz w:val="24"/>
          <w:szCs w:val="20"/>
        </w:rPr>
      </w:pPr>
      <w:r>
        <w:rPr>
          <w:rFonts w:hint="eastAsia" w:ascii="Times New Roman" w:hAnsi="Times New Roman" w:eastAsia="华文宋体"/>
          <w:spacing w:val="0"/>
          <w:sz w:val="24"/>
          <w:szCs w:val="20"/>
        </w:rPr>
        <w:t>4.本投标有效期内，若我方发生下列违反招标文件要求的事实，你方可不予退还我方投标保证金，如我方给招标人造成的损失超过投标保证金金额的，我方承诺对超过部分给予赔偿：</w:t>
      </w:r>
    </w:p>
    <w:p w14:paraId="2EB449A4">
      <w:pPr>
        <w:wordWrap w:val="0"/>
        <w:spacing w:line="500" w:lineRule="exact"/>
        <w:ind w:firstLine="480"/>
        <w:rPr>
          <w:rFonts w:ascii="Times New Roman" w:hAnsi="Times New Roman" w:eastAsia="华文宋体"/>
          <w:spacing w:val="0"/>
          <w:sz w:val="24"/>
          <w:szCs w:val="20"/>
        </w:rPr>
      </w:pPr>
      <w:r>
        <w:rPr>
          <w:rFonts w:hint="eastAsia" w:ascii="Times New Roman" w:hAnsi="Times New Roman" w:eastAsia="华文宋体"/>
          <w:spacing w:val="0"/>
          <w:sz w:val="24"/>
          <w:szCs w:val="20"/>
        </w:rPr>
        <w:t>4.1在招标文件规定的投标有效期内撤销投标文件；</w:t>
      </w:r>
    </w:p>
    <w:p w14:paraId="531CC0F6">
      <w:pPr>
        <w:wordWrap w:val="0"/>
        <w:adjustRightInd/>
        <w:snapToGrid/>
        <w:spacing w:after="200" w:line="500" w:lineRule="exact"/>
        <w:ind w:firstLine="480"/>
        <w:rPr>
          <w:rFonts w:ascii="宋体" w:hAnsi="宋体" w:eastAsia="华文宋体"/>
          <w:spacing w:val="0"/>
          <w:kern w:val="0"/>
          <w:sz w:val="24"/>
          <w:szCs w:val="24"/>
          <w:lang w:bidi="en-US"/>
        </w:rPr>
      </w:pPr>
      <w:r>
        <w:rPr>
          <w:rFonts w:hint="eastAsia" w:ascii="Times New Roman" w:hAnsi="Times New Roman" w:eastAsia="华文宋体"/>
          <w:spacing w:val="0"/>
          <w:sz w:val="24"/>
          <w:szCs w:val="20"/>
        </w:rPr>
        <w:t>4.2中标人在收到中标通知书后，无正当理由不与招标人订立合同，或者在签订合同时向招标人提出附加条件，或者不按照招标文件要求提交履约保证函；</w:t>
      </w:r>
    </w:p>
    <w:p w14:paraId="24B168D1">
      <w:pPr>
        <w:wordWrap w:val="0"/>
        <w:autoSpaceDE w:val="0"/>
        <w:autoSpaceDN w:val="0"/>
        <w:spacing w:after="120" w:line="480" w:lineRule="exact"/>
        <w:ind w:firstLine="1260" w:firstLineChars="525"/>
        <w:rPr>
          <w:rFonts w:ascii="Times New Roman" w:hAnsi="Times New Roman" w:eastAsia="华文宋体"/>
          <w:spacing w:val="0"/>
          <w:kern w:val="0"/>
          <w:sz w:val="24"/>
          <w:szCs w:val="20"/>
        </w:rPr>
      </w:pPr>
    </w:p>
    <w:p w14:paraId="0FA13D1C">
      <w:pPr>
        <w:wordWrap w:val="0"/>
        <w:autoSpaceDE w:val="0"/>
        <w:autoSpaceDN w:val="0"/>
        <w:spacing w:after="120" w:line="480" w:lineRule="exact"/>
        <w:ind w:firstLine="1260" w:firstLineChars="525"/>
        <w:rPr>
          <w:rFonts w:ascii="Times New Roman" w:hAnsi="Times New Roman" w:eastAsia="华文宋体"/>
          <w:spacing w:val="0"/>
          <w:kern w:val="0"/>
          <w:sz w:val="24"/>
          <w:szCs w:val="20"/>
        </w:rPr>
      </w:pPr>
    </w:p>
    <w:p w14:paraId="6F90B42C">
      <w:pPr>
        <w:widowControl w:val="0"/>
        <w:tabs>
          <w:tab w:val="left" w:pos="7541"/>
        </w:tabs>
        <w:kinsoku w:val="0"/>
        <w:wordWrap w:val="0"/>
        <w:overflowPunct w:val="0"/>
        <w:adjustRightInd w:val="0"/>
        <w:snapToGrid w:val="0"/>
        <w:spacing w:before="78" w:after="120" w:line="500" w:lineRule="exact"/>
        <w:ind w:left="2921" w:firstLine="480" w:firstLineChars="200"/>
        <w:jc w:val="both"/>
        <w:rPr>
          <w:rFonts w:ascii="华文宋体" w:hAnsi="华文宋体" w:eastAsia="华文宋体" w:cs="华文宋体"/>
          <w:spacing w:val="-3"/>
          <w:kern w:val="2"/>
          <w:sz w:val="24"/>
          <w:szCs w:val="24"/>
          <w:u w:val="single"/>
          <w:lang w:val="en-US" w:eastAsia="zh-CN" w:bidi="ar-SA"/>
        </w:rPr>
      </w:pPr>
      <w:r>
        <w:rPr>
          <w:rFonts w:hint="eastAsia" w:ascii="华文宋体" w:hAnsi="华文宋体" w:eastAsia="华文宋体" w:cs="华文宋体"/>
          <w:kern w:val="2"/>
          <w:sz w:val="24"/>
          <w:szCs w:val="24"/>
          <w:lang w:val="en-US" w:eastAsia="zh-CN" w:bidi="ar-SA"/>
        </w:rPr>
        <w:t>投标人（盖章）</w:t>
      </w:r>
      <w:r>
        <w:rPr>
          <w:rFonts w:hint="eastAsia" w:ascii="华文宋体" w:hAnsi="华文宋体" w:eastAsia="华文宋体" w:cs="华文宋体"/>
          <w:spacing w:val="-3"/>
          <w:kern w:val="2"/>
          <w:sz w:val="24"/>
          <w:szCs w:val="24"/>
          <w:lang w:val="en-US" w:eastAsia="zh-CN" w:bidi="ar-SA"/>
        </w:rPr>
        <w:t>：</w:t>
      </w:r>
    </w:p>
    <w:p w14:paraId="5FA9C5A7">
      <w:pPr>
        <w:widowControl w:val="0"/>
        <w:tabs>
          <w:tab w:val="left" w:pos="7541"/>
        </w:tabs>
        <w:kinsoku w:val="0"/>
        <w:wordWrap w:val="0"/>
        <w:overflowPunct w:val="0"/>
        <w:adjustRightInd w:val="0"/>
        <w:snapToGrid w:val="0"/>
        <w:spacing w:before="78" w:after="120" w:line="500" w:lineRule="exact"/>
        <w:ind w:left="2921" w:firstLine="468" w:firstLineChars="200"/>
        <w:jc w:val="both"/>
        <w:rPr>
          <w:rFonts w:ascii="华文宋体" w:hAnsi="华文宋体" w:eastAsia="华文宋体" w:cs="华文宋体"/>
          <w:spacing w:val="-3"/>
          <w:kern w:val="2"/>
          <w:sz w:val="24"/>
          <w:szCs w:val="24"/>
          <w:u w:val="single"/>
          <w:lang w:val="en-US" w:eastAsia="zh-CN" w:bidi="ar-SA"/>
        </w:rPr>
      </w:pPr>
      <w:r>
        <w:rPr>
          <w:rFonts w:hint="eastAsia" w:ascii="华文宋体" w:hAnsi="华文宋体" w:eastAsia="华文宋体" w:cs="华文宋体"/>
          <w:spacing w:val="-3"/>
          <w:kern w:val="2"/>
          <w:sz w:val="24"/>
          <w:szCs w:val="24"/>
          <w:lang w:val="en-US" w:eastAsia="zh-CN" w:bidi="ar-SA"/>
        </w:rPr>
        <w:t>法定代表人或委托代理人（签字/签章）：</w:t>
      </w:r>
    </w:p>
    <w:p w14:paraId="75318106">
      <w:pPr>
        <w:wordWrap w:val="0"/>
        <w:autoSpaceDE w:val="0"/>
        <w:autoSpaceDN w:val="0"/>
        <w:spacing w:after="120" w:line="480" w:lineRule="exact"/>
        <w:ind w:firstLine="0" w:firstLineChars="0"/>
        <w:jc w:val="left"/>
        <w:rPr>
          <w:rFonts w:ascii="Times New Roman" w:hAnsi="Times New Roman" w:eastAsia="华文宋体"/>
          <w:spacing w:val="0"/>
          <w:kern w:val="0"/>
          <w:sz w:val="24"/>
          <w:szCs w:val="20"/>
        </w:rPr>
      </w:pPr>
    </w:p>
    <w:p w14:paraId="0C8D71B6">
      <w:pPr>
        <w:wordWrap w:val="0"/>
        <w:autoSpaceDE w:val="0"/>
        <w:autoSpaceDN w:val="0"/>
        <w:spacing w:after="120" w:line="480" w:lineRule="exact"/>
        <w:ind w:firstLine="0" w:firstLineChars="0"/>
        <w:jc w:val="left"/>
        <w:rPr>
          <w:rFonts w:ascii="Times New Roman" w:hAnsi="Times New Roman" w:eastAsia="华文宋体"/>
          <w:spacing w:val="0"/>
          <w:kern w:val="0"/>
          <w:sz w:val="24"/>
          <w:szCs w:val="20"/>
        </w:rPr>
      </w:pPr>
    </w:p>
    <w:p w14:paraId="684754DD">
      <w:pPr>
        <w:wordWrap w:val="0"/>
        <w:autoSpaceDE w:val="0"/>
        <w:autoSpaceDN w:val="0"/>
        <w:spacing w:after="120" w:line="480" w:lineRule="exact"/>
        <w:ind w:firstLine="1260" w:firstLineChars="525"/>
        <w:jc w:val="right"/>
        <w:rPr>
          <w:rFonts w:ascii="Times New Roman" w:hAnsi="Times New Roman" w:eastAsia="华文宋体"/>
          <w:spacing w:val="0"/>
          <w:kern w:val="0"/>
          <w:sz w:val="24"/>
          <w:szCs w:val="20"/>
        </w:rPr>
      </w:pPr>
      <w:r>
        <w:rPr>
          <w:rFonts w:ascii="Times New Roman" w:hAnsi="Times New Roman" w:eastAsia="华文宋体"/>
          <w:spacing w:val="0"/>
          <w:kern w:val="0"/>
          <w:sz w:val="24"/>
          <w:szCs w:val="20"/>
        </w:rPr>
        <w:t>日期：年月日</w:t>
      </w:r>
    </w:p>
    <w:p w14:paraId="0B4A2167">
      <w:pPr>
        <w:pStyle w:val="11"/>
        <w:wordWrap/>
        <w:spacing w:before="156"/>
        <w:rPr>
          <w:spacing w:val="0"/>
          <w:szCs w:val="20"/>
        </w:rPr>
      </w:pPr>
    </w:p>
    <w:p w14:paraId="4CB4C5C3">
      <w:pPr>
        <w:wordWrap w:val="0"/>
        <w:spacing w:line="500" w:lineRule="exact"/>
        <w:ind w:left="400" w:firstLine="480"/>
        <w:rPr>
          <w:rFonts w:ascii="Times New Roman" w:hAnsi="Times New Roman" w:eastAsia="华文宋体"/>
          <w:spacing w:val="0"/>
          <w:sz w:val="24"/>
          <w:szCs w:val="20"/>
        </w:rPr>
      </w:pPr>
    </w:p>
    <w:p w14:paraId="694D1130">
      <w:pPr>
        <w:wordWrap w:val="0"/>
        <w:autoSpaceDE w:val="0"/>
        <w:autoSpaceDN w:val="0"/>
        <w:spacing w:after="120" w:line="360" w:lineRule="auto"/>
        <w:ind w:firstLine="480"/>
        <w:rPr>
          <w:rFonts w:ascii="Times New Roman" w:hAnsi="Times New Roman" w:eastAsia="华文宋体"/>
          <w:spacing w:val="0"/>
          <w:kern w:val="0"/>
          <w:sz w:val="24"/>
          <w:szCs w:val="20"/>
        </w:rPr>
      </w:pPr>
      <w:r>
        <w:rPr>
          <w:rFonts w:ascii="Times New Roman" w:hAnsi="Times New Roman" w:eastAsia="华文宋体"/>
          <w:spacing w:val="0"/>
          <w:kern w:val="0"/>
          <w:sz w:val="24"/>
          <w:szCs w:val="20"/>
        </w:rPr>
        <w:t>附：电汇</w:t>
      </w:r>
      <w:r>
        <w:rPr>
          <w:rFonts w:hint="eastAsia"/>
          <w:spacing w:val="0"/>
          <w:kern w:val="0"/>
          <w:sz w:val="24"/>
          <w:szCs w:val="20"/>
          <w:lang w:eastAsia="zh-CN"/>
        </w:rPr>
        <w:t>，</w:t>
      </w:r>
      <w:r>
        <w:rPr>
          <w:rFonts w:hint="eastAsia"/>
          <w:spacing w:val="0"/>
          <w:kern w:val="0"/>
          <w:sz w:val="24"/>
          <w:szCs w:val="20"/>
          <w:lang w:val="en-US" w:eastAsia="zh-CN"/>
        </w:rPr>
        <w:t>保函</w:t>
      </w:r>
      <w:r>
        <w:rPr>
          <w:rFonts w:ascii="Times New Roman" w:hAnsi="Times New Roman" w:eastAsia="华文宋体"/>
          <w:spacing w:val="0"/>
          <w:kern w:val="0"/>
          <w:sz w:val="24"/>
          <w:szCs w:val="20"/>
        </w:rPr>
        <w:t>或汇票凭证复印件</w:t>
      </w:r>
    </w:p>
    <w:tbl>
      <w:tblPr>
        <w:tblStyle w:val="20"/>
        <w:tblW w:w="8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0"/>
      </w:tblGrid>
      <w:tr w14:paraId="18D8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3" w:hRule="atLeast"/>
          <w:jc w:val="center"/>
        </w:trPr>
        <w:tc>
          <w:tcPr>
            <w:tcW w:w="8750" w:type="dxa"/>
            <w:vAlign w:val="center"/>
          </w:tcPr>
          <w:p w14:paraId="479634B5">
            <w:pPr>
              <w:keepNext w:val="0"/>
              <w:keepLines w:val="0"/>
              <w:suppressLineNumbers w:val="0"/>
              <w:wordWrap w:val="0"/>
              <w:autoSpaceDE w:val="0"/>
              <w:autoSpaceDN w:val="0"/>
              <w:spacing w:before="0" w:beforeAutospacing="0" w:after="120" w:afterAutospacing="0" w:line="360" w:lineRule="auto"/>
              <w:ind w:left="0" w:right="0" w:firstLine="480"/>
              <w:jc w:val="center"/>
              <w:rPr>
                <w:rFonts w:hint="default" w:ascii="Times New Roman" w:hAnsi="Times New Roman" w:eastAsia="华文宋体"/>
                <w:spacing w:val="0"/>
                <w:kern w:val="0"/>
                <w:sz w:val="24"/>
                <w:szCs w:val="20"/>
              </w:rPr>
            </w:pPr>
          </w:p>
        </w:tc>
      </w:tr>
    </w:tbl>
    <w:p w14:paraId="0B280C10">
      <w:pPr>
        <w:wordWrap w:val="0"/>
        <w:spacing w:line="500" w:lineRule="exact"/>
        <w:ind w:left="480" w:firstLine="480"/>
        <w:rPr>
          <w:rFonts w:ascii="Times New Roman" w:hAnsi="Times New Roman" w:eastAsia="华文宋体"/>
          <w:spacing w:val="0"/>
          <w:sz w:val="24"/>
          <w:szCs w:val="20"/>
        </w:rPr>
      </w:pPr>
    </w:p>
    <w:bookmarkEnd w:id="1823"/>
    <w:p w14:paraId="49BFEEC3">
      <w:pPr>
        <w:keepNext/>
        <w:keepLines/>
        <w:pageBreakBefore/>
        <w:widowControl w:val="0"/>
        <w:numPr>
          <w:ilvl w:val="0"/>
          <w:numId w:val="8"/>
        </w:numPr>
        <w:wordWrap w:val="0"/>
        <w:adjustRightInd w:val="0"/>
        <w:snapToGrid w:val="0"/>
        <w:spacing w:before="400" w:after="400" w:line="400" w:lineRule="exact"/>
        <w:ind w:firstLine="0" w:firstLineChars="0"/>
        <w:jc w:val="center"/>
        <w:textAlignment w:val="baseline"/>
        <w:outlineLvl w:val="2"/>
        <w:rPr>
          <w:rFonts w:ascii="Times New Roman" w:hAnsi="Times New Roman" w:eastAsia="华文宋体" w:cs="Times New Roman"/>
          <w:b/>
          <w:kern w:val="2"/>
          <w:sz w:val="32"/>
          <w:szCs w:val="32"/>
          <w:lang w:val="en-US" w:eastAsia="zh-CN" w:bidi="ar-SA"/>
        </w:rPr>
      </w:pPr>
      <w:bookmarkStart w:id="1838" w:name="_Toc1771"/>
      <w:bookmarkStart w:id="1839" w:name="_Toc28027"/>
      <w:bookmarkStart w:id="1840" w:name="_Toc8077"/>
      <w:bookmarkStart w:id="1841" w:name="_Toc11309"/>
      <w:bookmarkStart w:id="1842" w:name="_Toc18062"/>
      <w:bookmarkStart w:id="1843" w:name="_Toc32469"/>
      <w:bookmarkStart w:id="1844" w:name="_Toc29416"/>
      <w:bookmarkStart w:id="1845" w:name="_Toc27015"/>
      <w:bookmarkStart w:id="1846" w:name="_Toc30291"/>
      <w:bookmarkStart w:id="1847" w:name="_Toc5363"/>
      <w:bookmarkStart w:id="1848" w:name="_Toc15206"/>
      <w:bookmarkStart w:id="1849" w:name="_Toc25934"/>
      <w:bookmarkStart w:id="1850" w:name="_Toc10031"/>
      <w:bookmarkStart w:id="1851" w:name="_Toc19181"/>
      <w:bookmarkStart w:id="1852" w:name="_Toc9276"/>
      <w:r>
        <w:rPr>
          <w:rFonts w:hint="eastAsia" w:ascii="Times New Roman" w:hAnsi="Times New Roman" w:eastAsia="华文宋体" w:cs="Times New Roman"/>
          <w:b/>
          <w:kern w:val="2"/>
          <w:sz w:val="32"/>
          <w:szCs w:val="32"/>
          <w:lang w:val="en-US" w:eastAsia="zh-CN" w:bidi="ar-SA"/>
        </w:rPr>
        <w:t>投标报价书</w:t>
      </w:r>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p>
    <w:p w14:paraId="0A2D1B9A">
      <w:pPr>
        <w:wordWrap w:val="0"/>
        <w:spacing w:line="500" w:lineRule="exact"/>
        <w:ind w:firstLine="480"/>
        <w:rPr>
          <w:rFonts w:ascii="Times New Roman" w:hAnsi="Times New Roman" w:eastAsia="华文宋体"/>
          <w:spacing w:val="0"/>
          <w:sz w:val="24"/>
          <w:szCs w:val="20"/>
        </w:rPr>
      </w:pPr>
      <w:r>
        <w:rPr>
          <w:rFonts w:ascii="Times New Roman" w:hAnsi="Times New Roman" w:eastAsia="华文宋体"/>
          <w:spacing w:val="0"/>
          <w:sz w:val="24"/>
          <w:szCs w:val="20"/>
        </w:rPr>
        <w:t>开标报价一览表</w:t>
      </w:r>
    </w:p>
    <w:tbl>
      <w:tblPr>
        <w:tblStyle w:val="20"/>
        <w:tblpPr w:leftFromText="180" w:rightFromText="180" w:vertAnchor="text" w:horzAnchor="page" w:tblpX="1590" w:tblpY="496"/>
        <w:tblOverlap w:val="never"/>
        <w:tblW w:w="90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5"/>
        <w:gridCol w:w="7082"/>
      </w:tblGrid>
      <w:tr w14:paraId="0A7F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trPr>
        <w:tc>
          <w:tcPr>
            <w:tcW w:w="1975" w:type="dxa"/>
            <w:vAlign w:val="center"/>
          </w:tcPr>
          <w:p w14:paraId="11E8297A">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lang w:val="en-US" w:eastAsia="zh-CN" w:bidi="ar-SA"/>
              </w:rPr>
            </w:pPr>
            <w:r>
              <w:rPr>
                <w:rFonts w:hint="default" w:ascii="Times New Roman" w:hAnsi="Times New Roman" w:eastAsia="华文宋体" w:cs="Times New Roman"/>
                <w:kern w:val="2"/>
                <w:sz w:val="24"/>
                <w:szCs w:val="20"/>
                <w:lang w:val="en-US" w:eastAsia="zh-CN" w:bidi="ar-SA"/>
              </w:rPr>
              <w:t>项目名称</w:t>
            </w:r>
          </w:p>
          <w:p w14:paraId="7DC38515">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lang w:val="en-US" w:eastAsia="zh-CN" w:bidi="ar-SA"/>
              </w:rPr>
            </w:pPr>
            <w:r>
              <w:rPr>
                <w:rFonts w:hint="eastAsia" w:cs="Times New Roman"/>
                <w:kern w:val="2"/>
                <w:sz w:val="24"/>
                <w:szCs w:val="20"/>
                <w:lang w:val="en-US" w:eastAsia="zh-CN" w:bidi="ar-SA"/>
              </w:rPr>
              <w:t>标段名称</w:t>
            </w:r>
          </w:p>
        </w:tc>
        <w:tc>
          <w:tcPr>
            <w:tcW w:w="7082" w:type="dxa"/>
            <w:vAlign w:val="center"/>
          </w:tcPr>
          <w:p w14:paraId="2D3F5C46">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lang w:val="en-US" w:eastAsia="zh-CN" w:bidi="ar-SA"/>
              </w:rPr>
            </w:pPr>
          </w:p>
        </w:tc>
      </w:tr>
      <w:tr w14:paraId="72DE7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1975" w:type="dxa"/>
            <w:vAlign w:val="center"/>
          </w:tcPr>
          <w:p w14:paraId="02A3E65B">
            <w:pPr>
              <w:keepNext w:val="0"/>
              <w:keepLines w:val="0"/>
              <w:widowControl w:val="0"/>
              <w:suppressLineNumbers w:val="0"/>
              <w:wordWrap w:val="0"/>
              <w:adjustRightInd w:val="0"/>
              <w:snapToGrid w:val="0"/>
              <w:spacing w:before="0" w:beforeAutospacing="0" w:after="120" w:afterAutospacing="0" w:line="500" w:lineRule="exact"/>
              <w:ind w:left="0" w:right="0" w:firstLine="0" w:firstLineChars="0"/>
              <w:jc w:val="center"/>
              <w:rPr>
                <w:rFonts w:hint="default" w:ascii="Times New Roman" w:hAnsi="Times New Roman" w:eastAsia="华文宋体" w:cs="Times New Roman"/>
                <w:kern w:val="2"/>
                <w:sz w:val="24"/>
                <w:szCs w:val="20"/>
                <w:lang w:val="en-US" w:eastAsia="zh-CN" w:bidi="ar-SA"/>
              </w:rPr>
            </w:pPr>
            <w:r>
              <w:rPr>
                <w:rFonts w:hint="default" w:ascii="Times New Roman" w:hAnsi="Times New Roman" w:eastAsia="华文宋体" w:cs="Times New Roman"/>
                <w:kern w:val="2"/>
                <w:sz w:val="24"/>
                <w:szCs w:val="20"/>
                <w:lang w:val="en-US" w:eastAsia="zh-CN" w:bidi="ar-SA"/>
              </w:rPr>
              <w:t>投标单位名称</w:t>
            </w:r>
          </w:p>
        </w:tc>
        <w:tc>
          <w:tcPr>
            <w:tcW w:w="7082" w:type="dxa"/>
            <w:vAlign w:val="center"/>
          </w:tcPr>
          <w:p w14:paraId="44A7B94D">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lang w:val="en-US" w:eastAsia="zh-CN" w:bidi="ar-SA"/>
              </w:rPr>
            </w:pPr>
          </w:p>
        </w:tc>
      </w:tr>
      <w:tr w14:paraId="3D8B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2" w:hRule="atLeast"/>
        </w:trPr>
        <w:tc>
          <w:tcPr>
            <w:tcW w:w="1975" w:type="dxa"/>
            <w:vAlign w:val="center"/>
          </w:tcPr>
          <w:p w14:paraId="50E4774B">
            <w:pPr>
              <w:keepNext w:val="0"/>
              <w:keepLines w:val="0"/>
              <w:widowControl w:val="0"/>
              <w:suppressLineNumbers w:val="0"/>
              <w:wordWrap w:val="0"/>
              <w:adjustRightInd w:val="0"/>
              <w:snapToGrid w:val="0"/>
              <w:spacing w:before="0" w:beforeAutospacing="0" w:after="120" w:afterAutospacing="0" w:line="500" w:lineRule="exact"/>
              <w:ind w:left="0" w:right="0" w:firstLine="0" w:firstLineChars="0"/>
              <w:jc w:val="both"/>
              <w:rPr>
                <w:rFonts w:hint="eastAsia" w:cs="Times New Roman"/>
                <w:kern w:val="2"/>
                <w:sz w:val="24"/>
                <w:szCs w:val="20"/>
                <w:lang w:val="en-US" w:eastAsia="zh-CN" w:bidi="ar-SA"/>
              </w:rPr>
            </w:pPr>
            <w:r>
              <w:rPr>
                <w:rFonts w:hint="default" w:ascii="Times New Roman" w:hAnsi="Times New Roman" w:eastAsia="华文宋体" w:cs="Times New Roman"/>
                <w:kern w:val="2"/>
                <w:sz w:val="24"/>
                <w:szCs w:val="20"/>
                <w:lang w:val="en-US" w:eastAsia="zh-CN" w:bidi="ar-SA"/>
              </w:rPr>
              <w:t>投标</w:t>
            </w:r>
            <w:r>
              <w:rPr>
                <w:rFonts w:hint="eastAsia" w:cs="Times New Roman"/>
                <w:kern w:val="2"/>
                <w:sz w:val="24"/>
                <w:szCs w:val="20"/>
                <w:lang w:val="en-US" w:eastAsia="zh-CN" w:bidi="ar-SA"/>
              </w:rPr>
              <w:t>总价</w:t>
            </w:r>
          </w:p>
          <w:p w14:paraId="323559D6">
            <w:pPr>
              <w:keepNext w:val="0"/>
              <w:keepLines w:val="0"/>
              <w:widowControl w:val="0"/>
              <w:suppressLineNumbers w:val="0"/>
              <w:wordWrap w:val="0"/>
              <w:adjustRightInd w:val="0"/>
              <w:snapToGrid w:val="0"/>
              <w:spacing w:before="0" w:beforeAutospacing="0" w:after="120" w:afterAutospacing="0" w:line="500" w:lineRule="exact"/>
              <w:ind w:left="0" w:right="0" w:firstLine="0" w:firstLineChars="0"/>
              <w:jc w:val="both"/>
              <w:rPr>
                <w:rFonts w:hint="default" w:ascii="Times New Roman" w:hAnsi="Times New Roman" w:eastAsia="华文宋体" w:cs="Times New Roman"/>
                <w:kern w:val="2"/>
                <w:sz w:val="24"/>
                <w:szCs w:val="20"/>
                <w:lang w:val="en-US" w:eastAsia="zh-CN" w:bidi="ar-SA"/>
              </w:rPr>
            </w:pPr>
            <w:r>
              <w:rPr>
                <w:rFonts w:hint="default" w:ascii="Times New Roman" w:hAnsi="Times New Roman" w:eastAsia="华文宋体" w:cs="Times New Roman"/>
                <w:kern w:val="2"/>
                <w:sz w:val="24"/>
                <w:szCs w:val="20"/>
                <w:lang w:val="en-US" w:eastAsia="zh-CN" w:bidi="ar-SA"/>
              </w:rPr>
              <w:t>（含税，元）</w:t>
            </w:r>
          </w:p>
        </w:tc>
        <w:tc>
          <w:tcPr>
            <w:tcW w:w="7082" w:type="dxa"/>
            <w:vAlign w:val="center"/>
          </w:tcPr>
          <w:p w14:paraId="419E0352">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lang w:val="en-US" w:eastAsia="zh-CN" w:bidi="ar-SA"/>
              </w:rPr>
            </w:pPr>
          </w:p>
        </w:tc>
      </w:tr>
      <w:tr w14:paraId="7665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7" w:hRule="atLeast"/>
        </w:trPr>
        <w:tc>
          <w:tcPr>
            <w:tcW w:w="1975" w:type="dxa"/>
            <w:vAlign w:val="center"/>
          </w:tcPr>
          <w:p w14:paraId="1148220C">
            <w:pPr>
              <w:keepNext w:val="0"/>
              <w:keepLines w:val="0"/>
              <w:widowControl w:val="0"/>
              <w:suppressLineNumbers w:val="0"/>
              <w:wordWrap w:val="0"/>
              <w:adjustRightInd w:val="0"/>
              <w:snapToGrid w:val="0"/>
              <w:spacing w:before="0" w:beforeAutospacing="0" w:after="120" w:afterAutospacing="0" w:line="500" w:lineRule="exact"/>
              <w:ind w:left="0" w:right="0" w:firstLine="0" w:firstLineChars="0"/>
              <w:jc w:val="center"/>
              <w:rPr>
                <w:rFonts w:hint="default" w:ascii="Times New Roman" w:hAnsi="Times New Roman" w:eastAsia="华文宋体" w:cs="Times New Roman"/>
                <w:kern w:val="2"/>
                <w:sz w:val="24"/>
                <w:szCs w:val="20"/>
                <w:highlight w:val="none"/>
                <w:lang w:val="en-US" w:eastAsia="zh-CN" w:bidi="ar-SA"/>
              </w:rPr>
            </w:pPr>
            <w:r>
              <w:rPr>
                <w:rFonts w:hint="default" w:ascii="Times New Roman" w:hAnsi="Times New Roman" w:eastAsia="华文宋体" w:cs="Times New Roman"/>
                <w:kern w:val="2"/>
                <w:sz w:val="24"/>
                <w:szCs w:val="20"/>
                <w:highlight w:val="none"/>
                <w:lang w:val="en-US" w:eastAsia="zh-CN" w:bidi="ar-SA"/>
              </w:rPr>
              <w:t>投标人</w:t>
            </w:r>
          </w:p>
          <w:p w14:paraId="4E2BEDBD">
            <w:pPr>
              <w:keepNext w:val="0"/>
              <w:keepLines w:val="0"/>
              <w:widowControl w:val="0"/>
              <w:suppressLineNumbers w:val="0"/>
              <w:wordWrap w:val="0"/>
              <w:adjustRightInd w:val="0"/>
              <w:snapToGrid w:val="0"/>
              <w:spacing w:before="0" w:beforeAutospacing="0" w:after="120" w:afterAutospacing="0" w:line="500" w:lineRule="exact"/>
              <w:ind w:left="0" w:right="0" w:firstLine="0" w:firstLineChars="0"/>
              <w:jc w:val="center"/>
              <w:rPr>
                <w:rFonts w:hint="default" w:ascii="Times New Roman" w:hAnsi="Times New Roman" w:eastAsia="华文宋体" w:cs="Times New Roman"/>
                <w:kern w:val="2"/>
                <w:sz w:val="24"/>
                <w:szCs w:val="20"/>
                <w:highlight w:val="none"/>
                <w:lang w:val="en-US" w:eastAsia="zh-CN" w:bidi="ar-SA"/>
              </w:rPr>
            </w:pPr>
            <w:r>
              <w:rPr>
                <w:rFonts w:hint="default" w:ascii="Times New Roman" w:hAnsi="Times New Roman" w:eastAsia="华文宋体" w:cs="Times New Roman"/>
                <w:kern w:val="2"/>
                <w:sz w:val="24"/>
                <w:szCs w:val="20"/>
                <w:highlight w:val="none"/>
                <w:lang w:val="en-US" w:eastAsia="zh-CN" w:bidi="ar-SA"/>
              </w:rPr>
              <w:t>承诺</w:t>
            </w:r>
            <w:r>
              <w:rPr>
                <w:rFonts w:hint="eastAsia" w:ascii="Times New Roman" w:hAnsi="Times New Roman" w:cs="Times New Roman"/>
                <w:kern w:val="2"/>
                <w:sz w:val="24"/>
                <w:szCs w:val="20"/>
                <w:highlight w:val="none"/>
                <w:lang w:val="en-US" w:eastAsia="zh-CN" w:bidi="ar-SA"/>
              </w:rPr>
              <w:t>交货</w:t>
            </w:r>
            <w:r>
              <w:rPr>
                <w:rFonts w:hint="default" w:ascii="Times New Roman" w:hAnsi="Times New Roman" w:eastAsia="华文宋体" w:cs="Times New Roman"/>
                <w:kern w:val="2"/>
                <w:sz w:val="24"/>
                <w:szCs w:val="20"/>
                <w:highlight w:val="none"/>
                <w:lang w:val="en-US" w:eastAsia="zh-CN" w:bidi="ar-SA"/>
              </w:rPr>
              <w:t>期</w:t>
            </w:r>
          </w:p>
        </w:tc>
        <w:tc>
          <w:tcPr>
            <w:tcW w:w="7082" w:type="dxa"/>
            <w:vAlign w:val="center"/>
          </w:tcPr>
          <w:p w14:paraId="27C5D88C">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highlight w:val="none"/>
                <w:lang w:val="en-US" w:eastAsia="zh-CN" w:bidi="ar-SA"/>
              </w:rPr>
            </w:pPr>
          </w:p>
        </w:tc>
      </w:tr>
      <w:tr w14:paraId="6DFA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8" w:hRule="atLeast"/>
        </w:trPr>
        <w:tc>
          <w:tcPr>
            <w:tcW w:w="1975" w:type="dxa"/>
            <w:vAlign w:val="center"/>
          </w:tcPr>
          <w:p w14:paraId="5B575124">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lang w:val="en-US" w:eastAsia="zh-CN" w:bidi="ar-SA"/>
              </w:rPr>
            </w:pPr>
            <w:r>
              <w:rPr>
                <w:rFonts w:hint="default" w:ascii="Times New Roman" w:hAnsi="Times New Roman" w:eastAsia="华文宋体" w:cs="Times New Roman"/>
                <w:kern w:val="2"/>
                <w:sz w:val="24"/>
                <w:szCs w:val="20"/>
                <w:lang w:val="en-US" w:eastAsia="zh-CN" w:bidi="ar-SA"/>
              </w:rPr>
              <w:t>其它承诺</w:t>
            </w:r>
          </w:p>
        </w:tc>
        <w:tc>
          <w:tcPr>
            <w:tcW w:w="7082" w:type="dxa"/>
            <w:vAlign w:val="center"/>
          </w:tcPr>
          <w:p w14:paraId="1221E82E">
            <w:pPr>
              <w:keepNext w:val="0"/>
              <w:keepLines w:val="0"/>
              <w:widowControl w:val="0"/>
              <w:suppressLineNumbers w:val="0"/>
              <w:wordWrap w:val="0"/>
              <w:adjustRightInd w:val="0"/>
              <w:snapToGrid w:val="0"/>
              <w:spacing w:before="0" w:beforeAutospacing="0" w:after="120" w:afterAutospacing="0" w:line="500" w:lineRule="exact"/>
              <w:ind w:left="0" w:right="0" w:firstLine="480" w:firstLineChars="200"/>
              <w:jc w:val="both"/>
              <w:rPr>
                <w:rFonts w:hint="default" w:ascii="Times New Roman" w:hAnsi="Times New Roman" w:eastAsia="华文宋体" w:cs="Times New Roman"/>
                <w:kern w:val="2"/>
                <w:sz w:val="24"/>
                <w:szCs w:val="20"/>
                <w:lang w:val="en-US" w:eastAsia="zh-CN" w:bidi="ar-SA"/>
              </w:rPr>
            </w:pPr>
          </w:p>
        </w:tc>
      </w:tr>
    </w:tbl>
    <w:p w14:paraId="0E25220A">
      <w:pPr>
        <w:autoSpaceDE w:val="0"/>
        <w:autoSpaceDN w:val="0"/>
        <w:spacing w:line="240" w:lineRule="auto"/>
        <w:ind w:left="0" w:leftChars="0" w:firstLine="0" w:firstLineChars="0"/>
        <w:rPr>
          <w:kern w:val="0"/>
        </w:rPr>
      </w:pPr>
    </w:p>
    <w:p w14:paraId="70E4DCE4">
      <w:pPr>
        <w:spacing w:line="440" w:lineRule="exact"/>
        <w:ind w:firstLine="0" w:firstLineChars="0"/>
        <w:rPr>
          <w:rFonts w:hint="eastAsia" w:ascii="华文宋体" w:hAnsi="华文宋体" w:cs="华文宋体"/>
          <w:color w:val="auto"/>
          <w:sz w:val="21"/>
          <w:szCs w:val="21"/>
          <w:highlight w:val="none"/>
          <w:lang w:val="en-US" w:eastAsia="zh-CN"/>
        </w:rPr>
      </w:pPr>
    </w:p>
    <w:p w14:paraId="14D29E80">
      <w:pPr>
        <w:spacing w:line="440" w:lineRule="exact"/>
        <w:ind w:firstLine="0" w:firstLineChars="0"/>
        <w:rPr>
          <w:rFonts w:hint="eastAsia" w:ascii="华文宋体" w:hAnsi="华文宋体" w:cs="华文宋体"/>
          <w:color w:val="auto"/>
          <w:sz w:val="21"/>
          <w:szCs w:val="21"/>
          <w:highlight w:val="none"/>
          <w:lang w:val="en-US" w:eastAsia="zh-CN"/>
        </w:rPr>
      </w:pPr>
    </w:p>
    <w:p w14:paraId="47C31795">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投标报价方式为固定总价（含税）。</w:t>
      </w:r>
    </w:p>
    <w:p w14:paraId="444DF60F">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(1)投标人应对招标范围内的全部内容进行分项报价，分项报价表须按招标文件要求的格式填写。其中，软件授权费按13% 税率计列，实施及技术服务费（含质保期服务费）按6% 税率计列；</w:t>
      </w:r>
    </w:p>
    <w:p w14:paraId="5B0E0613">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(2) 本项目采用人民币报价，投标报价方式为招标范围内包干价，应包含与项目相关的一切费用。相关费用包括但不限于：软件产品费、软件授权费、相关税费（增值税等）、安装调试费、实施服务费、培训费、质保期服务费及合同约定的明示或暗示的相关费用等交钥匙项目所有费用。招标人不再另行支付任何费用。</w:t>
      </w:r>
    </w:p>
    <w:p w14:paraId="0423FAEE">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(3)投标人的投标方案只允许有一个投标报价，招标人不接受任何选择报价，同时不接受有条件的优惠报价；</w:t>
      </w:r>
    </w:p>
    <w:p w14:paraId="699E3234">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(4)投标人应在投标书中的分项报价表上标明拟提供项目的名称、数量、单价及合价。每一个子目只允许有一种报价。如果分项合计与投标总价有出入，以分项合计金额修正总价；如果单价与合价有出入，以单价为准修正合价；</w:t>
      </w:r>
    </w:p>
    <w:p w14:paraId="019C0CA8">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(5)投标人在填报报价时，应认真计算，不应遗留须在合同执行中再行议价和另外支付费用的项目，并在分项价格表中详细列明价格的各组成部分。任何以可调整的价格提交的投标将作为非响应性投标而予以拒绝；</w:t>
      </w:r>
    </w:p>
    <w:p w14:paraId="46939769">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(6)投标人填写的单价和总价在合同实施期间不因市场变化因素而变动，投标人在计算报价时可考虑一定的风险系数。</w:t>
      </w:r>
    </w:p>
    <w:p w14:paraId="3C0182A2">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（7）本项目投标价评分按含税价进行。 评标价格以投标人分项报价表经修正后的含税总价为准。若分项合计与投标总价不一致，以分项合计金额修正总价；若单价与合价不一致，以单价为准修正合价。修正后的含税总价作为评标价，评标时不按不含税价去税计算。投标人实际税率与招标文件指定税率不一致的，除招标文件另有规定外，仍按招标文件指定税率填报，并以含税总价参与评分；不能按指定税率开票的，可能被认定为非响应性投标。</w:t>
      </w:r>
    </w:p>
    <w:p w14:paraId="50636760">
      <w:pPr>
        <w:pStyle w:val="2"/>
        <w:rPr>
          <w:rFonts w:hint="eastAsia" w:ascii="华文宋体" w:hAnsi="华文宋体" w:cs="华文宋体"/>
          <w:color w:val="auto"/>
          <w:sz w:val="21"/>
          <w:szCs w:val="21"/>
          <w:highlight w:val="none"/>
        </w:rPr>
      </w:pPr>
      <w:r>
        <w:rPr>
          <w:rFonts w:hint="eastAsia" w:ascii="华文宋体" w:hAnsi="华文宋体" w:cs="华文宋体"/>
          <w:color w:val="auto"/>
          <w:sz w:val="21"/>
          <w:szCs w:val="21"/>
          <w:highlight w:val="none"/>
        </w:rPr>
        <w:t>（8）投标人应在投标文件中确认报价所含税率、发票类型及开票税率。对税率、开票、评标口径有疑问的，应在规定时间书面澄清；未澄清的，视为接受招标文件全部口径。</w:t>
      </w:r>
    </w:p>
    <w:p w14:paraId="5DF64335">
      <w:pPr>
        <w:pStyle w:val="2"/>
        <w:rPr>
          <w:rFonts w:hint="eastAsia" w:ascii="华文宋体" w:hAnsi="华文宋体" w:cs="华文宋体"/>
          <w:color w:val="auto"/>
          <w:sz w:val="21"/>
          <w:szCs w:val="21"/>
          <w:highlight w:val="none"/>
        </w:rPr>
      </w:pPr>
    </w:p>
    <w:p w14:paraId="02B2388A">
      <w:pPr>
        <w:pStyle w:val="2"/>
        <w:rPr>
          <w:rFonts w:hint="eastAsia" w:ascii="华文宋体" w:hAnsi="华文宋体" w:cs="华文宋体"/>
          <w:color w:val="auto"/>
          <w:sz w:val="21"/>
          <w:szCs w:val="21"/>
          <w:highlight w:val="none"/>
          <w:lang w:val="en-US" w:eastAsia="zh-CN"/>
        </w:rPr>
      </w:pPr>
    </w:p>
    <w:p w14:paraId="0FD9B8FE">
      <w:pPr>
        <w:autoSpaceDE w:val="0"/>
        <w:autoSpaceDN w:val="0"/>
        <w:spacing w:line="240" w:lineRule="auto"/>
        <w:ind w:firstLine="720" w:firstLineChars="300"/>
        <w:rPr>
          <w:kern w:val="0"/>
        </w:rPr>
      </w:pPr>
      <w:r>
        <w:rPr>
          <w:rFonts w:hint="eastAsia"/>
          <w:kern w:val="0"/>
        </w:rPr>
        <w:t>投标人（盖章）：</w:t>
      </w:r>
    </w:p>
    <w:p w14:paraId="769A81E9">
      <w:pPr>
        <w:autoSpaceDE w:val="0"/>
        <w:autoSpaceDN w:val="0"/>
        <w:spacing w:line="240" w:lineRule="auto"/>
        <w:ind w:firstLine="720" w:firstLineChars="300"/>
        <w:rPr>
          <w:kern w:val="0"/>
        </w:rPr>
      </w:pPr>
    </w:p>
    <w:p w14:paraId="79962A30">
      <w:pPr>
        <w:autoSpaceDE w:val="0"/>
        <w:autoSpaceDN w:val="0"/>
        <w:spacing w:line="240" w:lineRule="auto"/>
        <w:ind w:firstLine="720" w:firstLineChars="300"/>
        <w:rPr>
          <w:kern w:val="0"/>
        </w:rPr>
      </w:pPr>
      <w:r>
        <w:rPr>
          <w:rFonts w:hint="eastAsia"/>
          <w:kern w:val="0"/>
        </w:rPr>
        <w:t>法定代表或授权代理人（签字/签章）：</w:t>
      </w:r>
    </w:p>
    <w:p w14:paraId="4DE170E8">
      <w:pPr>
        <w:autoSpaceDE w:val="0"/>
        <w:autoSpaceDN w:val="0"/>
        <w:spacing w:line="240" w:lineRule="auto"/>
        <w:ind w:firstLine="720" w:firstLineChars="300"/>
        <w:rPr>
          <w:kern w:val="0"/>
        </w:rPr>
      </w:pPr>
    </w:p>
    <w:p w14:paraId="11A87EC4">
      <w:pPr>
        <w:autoSpaceDE w:val="0"/>
        <w:autoSpaceDN w:val="0"/>
        <w:spacing w:line="240" w:lineRule="auto"/>
        <w:ind w:firstLine="720" w:firstLineChars="300"/>
        <w:rPr>
          <w:kern w:val="0"/>
        </w:rPr>
      </w:pPr>
      <w:r>
        <w:rPr>
          <w:rFonts w:hint="eastAsia"/>
          <w:kern w:val="0"/>
        </w:rPr>
        <w:t>日  期：</w:t>
      </w:r>
    </w:p>
    <w:p w14:paraId="0558B726">
      <w:pPr>
        <w:rPr>
          <w:rFonts w:ascii="Times New Roman" w:hAnsi="Times New Roman" w:eastAsia="华文宋体" w:cs="Times New Roman"/>
          <w:kern w:val="2"/>
          <w:sz w:val="24"/>
          <w:lang w:val="en-US" w:eastAsia="zh-CN" w:bidi="ar-SA"/>
        </w:rPr>
      </w:pPr>
      <w:r>
        <w:rPr>
          <w:rFonts w:ascii="Times New Roman" w:hAnsi="Times New Roman" w:eastAsia="华文宋体" w:cs="Times New Roman"/>
          <w:kern w:val="2"/>
          <w:sz w:val="24"/>
          <w:lang w:val="en-US" w:eastAsia="zh-CN" w:bidi="ar-SA"/>
        </w:rPr>
        <w:br w:type="page"/>
      </w:r>
    </w:p>
    <w:p w14:paraId="3D65A3A5">
      <w:pPr>
        <w:numPr>
          <w:ilvl w:val="0"/>
          <w:numId w:val="0"/>
        </w:numPr>
        <w:ind w:leftChars="200"/>
        <w:rPr>
          <w:rFonts w:hint="default"/>
          <w:lang w:val="en-US" w:eastAsia="zh-CN"/>
        </w:rPr>
      </w:pPr>
      <w:r>
        <w:rPr>
          <w:rFonts w:hint="eastAsia"/>
          <w:lang w:val="en-US" w:eastAsia="zh-CN"/>
        </w:rPr>
        <w:t>报价清单/明细表</w:t>
      </w:r>
    </w:p>
    <w:p w14:paraId="0950ACF9">
      <w:pPr>
        <w:pStyle w:val="16"/>
        <w:rPr>
          <w:rFonts w:hint="eastAsia"/>
        </w:rPr>
      </w:pPr>
    </w:p>
    <w:tbl>
      <w:tblPr>
        <w:tblStyle w:val="20"/>
        <w:tblW w:w="7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60"/>
        <w:gridCol w:w="792"/>
        <w:gridCol w:w="1213"/>
        <w:gridCol w:w="1242"/>
        <w:gridCol w:w="460"/>
        <w:gridCol w:w="460"/>
        <w:gridCol w:w="792"/>
        <w:gridCol w:w="929"/>
        <w:gridCol w:w="640"/>
        <w:gridCol w:w="714"/>
      </w:tblGrid>
      <w:tr w14:paraId="340B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60" w:type="dxa"/>
            <w:tcMar>
              <w:top w:w="60" w:type="dxa"/>
              <w:left w:w="120" w:type="dxa"/>
              <w:bottom w:w="30" w:type="dxa"/>
              <w:right w:w="120" w:type="dxa"/>
            </w:tcMar>
            <w:vAlign w:val="center"/>
          </w:tcPr>
          <w:p w14:paraId="4020EDA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b/>
                <w:kern w:val="0"/>
                <w:sz w:val="22"/>
                <w:szCs w:val="22"/>
              </w:rPr>
            </w:pPr>
            <w:r>
              <w:rPr>
                <w:rFonts w:ascii="Arial" w:hAnsi="Arial" w:eastAsia="等线" w:cs="Arial"/>
                <w:b/>
                <w:kern w:val="0"/>
                <w:sz w:val="22"/>
                <w:szCs w:val="22"/>
              </w:rPr>
              <w:t>序号</w:t>
            </w:r>
          </w:p>
        </w:tc>
        <w:tc>
          <w:tcPr>
            <w:tcW w:w="792" w:type="dxa"/>
            <w:tcMar>
              <w:top w:w="60" w:type="dxa"/>
              <w:left w:w="120" w:type="dxa"/>
              <w:bottom w:w="30" w:type="dxa"/>
              <w:right w:w="120" w:type="dxa"/>
            </w:tcMar>
            <w:vAlign w:val="center"/>
          </w:tcPr>
          <w:p w14:paraId="0D2DEE9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b/>
                <w:kern w:val="0"/>
                <w:sz w:val="22"/>
                <w:szCs w:val="22"/>
              </w:rPr>
            </w:pPr>
            <w:r>
              <w:rPr>
                <w:rFonts w:ascii="Arial" w:hAnsi="Arial" w:eastAsia="等线" w:cs="Arial"/>
                <w:b/>
                <w:kern w:val="0"/>
                <w:sz w:val="22"/>
                <w:szCs w:val="22"/>
              </w:rPr>
              <w:t>计划分类</w:t>
            </w:r>
          </w:p>
        </w:tc>
        <w:tc>
          <w:tcPr>
            <w:tcW w:w="1213" w:type="dxa"/>
            <w:tcMar>
              <w:top w:w="60" w:type="dxa"/>
              <w:left w:w="120" w:type="dxa"/>
              <w:bottom w:w="30" w:type="dxa"/>
              <w:right w:w="120" w:type="dxa"/>
            </w:tcMar>
            <w:vAlign w:val="center"/>
          </w:tcPr>
          <w:p w14:paraId="42D927E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b/>
                <w:kern w:val="0"/>
                <w:sz w:val="22"/>
                <w:szCs w:val="22"/>
              </w:rPr>
            </w:pPr>
            <w:r>
              <w:rPr>
                <w:rFonts w:ascii="Arial" w:hAnsi="Arial" w:eastAsia="等线" w:cs="Arial"/>
                <w:b/>
                <w:kern w:val="0"/>
                <w:sz w:val="22"/>
                <w:szCs w:val="22"/>
              </w:rPr>
              <w:t>名称</w:t>
            </w:r>
          </w:p>
        </w:tc>
        <w:tc>
          <w:tcPr>
            <w:tcW w:w="1242" w:type="dxa"/>
            <w:tcMar>
              <w:top w:w="60" w:type="dxa"/>
              <w:left w:w="120" w:type="dxa"/>
              <w:bottom w:w="30" w:type="dxa"/>
              <w:right w:w="120" w:type="dxa"/>
            </w:tcMar>
            <w:vAlign w:val="center"/>
          </w:tcPr>
          <w:p w14:paraId="0827158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b/>
                <w:kern w:val="0"/>
                <w:sz w:val="22"/>
                <w:szCs w:val="22"/>
              </w:rPr>
            </w:pPr>
            <w:r>
              <w:rPr>
                <w:rFonts w:ascii="Arial" w:hAnsi="Arial" w:eastAsia="等线" w:cs="Arial"/>
                <w:b/>
                <w:kern w:val="0"/>
                <w:sz w:val="22"/>
                <w:szCs w:val="22"/>
              </w:rPr>
              <w:t>规格型号</w:t>
            </w:r>
          </w:p>
        </w:tc>
        <w:tc>
          <w:tcPr>
            <w:tcW w:w="460" w:type="dxa"/>
            <w:tcMar>
              <w:top w:w="60" w:type="dxa"/>
              <w:left w:w="120" w:type="dxa"/>
              <w:bottom w:w="30" w:type="dxa"/>
              <w:right w:w="120" w:type="dxa"/>
            </w:tcMar>
            <w:vAlign w:val="center"/>
          </w:tcPr>
          <w:p w14:paraId="37F08A4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b/>
                <w:kern w:val="0"/>
                <w:sz w:val="22"/>
                <w:szCs w:val="22"/>
              </w:rPr>
            </w:pPr>
            <w:r>
              <w:rPr>
                <w:rFonts w:ascii="Arial" w:hAnsi="Arial" w:eastAsia="等线" w:cs="Arial"/>
                <w:b/>
                <w:kern w:val="0"/>
                <w:sz w:val="22"/>
                <w:szCs w:val="22"/>
              </w:rPr>
              <w:t>单位</w:t>
            </w:r>
          </w:p>
        </w:tc>
        <w:tc>
          <w:tcPr>
            <w:tcW w:w="460" w:type="dxa"/>
            <w:tcMar>
              <w:top w:w="60" w:type="dxa"/>
              <w:left w:w="120" w:type="dxa"/>
              <w:bottom w:w="30" w:type="dxa"/>
              <w:right w:w="120" w:type="dxa"/>
            </w:tcMar>
            <w:vAlign w:val="center"/>
          </w:tcPr>
          <w:p w14:paraId="7AFF66B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b/>
                <w:kern w:val="0"/>
                <w:sz w:val="22"/>
                <w:szCs w:val="22"/>
              </w:rPr>
            </w:pPr>
            <w:r>
              <w:rPr>
                <w:rFonts w:ascii="Arial" w:hAnsi="Arial" w:eastAsia="等线" w:cs="Arial"/>
                <w:b/>
                <w:kern w:val="0"/>
                <w:sz w:val="22"/>
                <w:szCs w:val="22"/>
              </w:rPr>
              <w:t>数量</w:t>
            </w:r>
          </w:p>
        </w:tc>
        <w:tc>
          <w:tcPr>
            <w:tcW w:w="792" w:type="dxa"/>
            <w:tcMar>
              <w:top w:w="60" w:type="dxa"/>
              <w:left w:w="120" w:type="dxa"/>
              <w:bottom w:w="30" w:type="dxa"/>
              <w:right w:w="120" w:type="dxa"/>
            </w:tcMar>
            <w:vAlign w:val="center"/>
          </w:tcPr>
          <w:p w14:paraId="2C842F7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eastAsia="等线" w:hAnsiTheme="minorHAnsi" w:cstheme="minorBidi"/>
                <w:b/>
                <w:kern w:val="0"/>
                <w:sz w:val="22"/>
                <w:szCs w:val="22"/>
                <w:lang w:val="en-US" w:eastAsia="zh-CN"/>
              </w:rPr>
            </w:pPr>
            <w:r>
              <w:rPr>
                <w:rFonts w:hint="eastAsia" w:ascii="Arial" w:eastAsia="等线" w:hAnsiTheme="minorHAnsi" w:cstheme="minorBidi"/>
                <w:b/>
                <w:kern w:val="0"/>
                <w:sz w:val="22"/>
                <w:szCs w:val="22"/>
                <w:lang w:val="en-US" w:eastAsia="zh-CN"/>
              </w:rPr>
              <w:t>含税单价</w:t>
            </w:r>
          </w:p>
        </w:tc>
        <w:tc>
          <w:tcPr>
            <w:tcW w:w="929" w:type="dxa"/>
            <w:tcMar>
              <w:top w:w="60" w:type="dxa"/>
              <w:left w:w="120" w:type="dxa"/>
              <w:bottom w:w="30" w:type="dxa"/>
              <w:right w:w="120" w:type="dxa"/>
            </w:tcMar>
            <w:vAlign w:val="center"/>
          </w:tcPr>
          <w:p w14:paraId="2E80F03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eastAsia="等线" w:hAnsiTheme="minorHAnsi" w:cstheme="minorBidi"/>
                <w:b/>
                <w:kern w:val="0"/>
                <w:sz w:val="22"/>
                <w:szCs w:val="22"/>
                <w:lang w:val="en-US" w:eastAsia="zh-CN"/>
              </w:rPr>
            </w:pPr>
            <w:r>
              <w:rPr>
                <w:rFonts w:hint="eastAsia" w:ascii="Arial" w:hAnsi="Arial" w:eastAsia="等线" w:cs="Arial"/>
                <w:b/>
                <w:kern w:val="0"/>
                <w:sz w:val="22"/>
                <w:szCs w:val="22"/>
                <w:lang w:val="en-US" w:eastAsia="zh-CN"/>
              </w:rPr>
              <w:t>含税总价</w:t>
            </w:r>
          </w:p>
        </w:tc>
        <w:tc>
          <w:tcPr>
            <w:tcW w:w="640" w:type="dxa"/>
            <w:tcMar>
              <w:top w:w="60" w:type="dxa"/>
              <w:left w:w="120" w:type="dxa"/>
              <w:bottom w:w="30" w:type="dxa"/>
              <w:right w:w="120" w:type="dxa"/>
            </w:tcMar>
            <w:vAlign w:val="center"/>
          </w:tcPr>
          <w:p w14:paraId="047F3B4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eastAsia="等线" w:cs="Arial"/>
                <w:b/>
                <w:kern w:val="0"/>
                <w:sz w:val="22"/>
                <w:szCs w:val="22"/>
                <w:lang w:val="en-US" w:eastAsia="zh-CN"/>
              </w:rPr>
            </w:pPr>
            <w:r>
              <w:rPr>
                <w:rFonts w:hint="eastAsia" w:ascii="Arial" w:hAnsi="Arial" w:eastAsia="等线" w:cs="Arial"/>
                <w:b/>
                <w:kern w:val="0"/>
                <w:sz w:val="22"/>
                <w:szCs w:val="22"/>
                <w:lang w:val="en-US" w:eastAsia="zh-CN"/>
              </w:rPr>
              <w:t>税率</w:t>
            </w:r>
          </w:p>
        </w:tc>
        <w:tc>
          <w:tcPr>
            <w:tcW w:w="714" w:type="dxa"/>
            <w:tcMar>
              <w:top w:w="60" w:type="dxa"/>
              <w:left w:w="120" w:type="dxa"/>
              <w:bottom w:w="30" w:type="dxa"/>
              <w:right w:w="120" w:type="dxa"/>
            </w:tcMar>
            <w:vAlign w:val="center"/>
          </w:tcPr>
          <w:p w14:paraId="2C93BD5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both"/>
              <w:textAlignment w:val="auto"/>
              <w:rPr>
                <w:rFonts w:hint="default" w:ascii="Arial" w:hAnsi="Arial" w:eastAsia="等线" w:cs="Arial"/>
                <w:b/>
                <w:kern w:val="0"/>
                <w:sz w:val="22"/>
                <w:szCs w:val="22"/>
                <w:lang w:val="en-US" w:eastAsia="zh-CN"/>
              </w:rPr>
            </w:pPr>
            <w:r>
              <w:rPr>
                <w:rFonts w:hint="eastAsia" w:ascii="Arial" w:hAnsi="Arial" w:eastAsia="等线" w:cs="Arial"/>
                <w:b/>
                <w:kern w:val="0"/>
                <w:sz w:val="22"/>
                <w:szCs w:val="22"/>
                <w:lang w:val="en-US" w:eastAsia="zh-CN"/>
              </w:rPr>
              <w:t>备注</w:t>
            </w:r>
          </w:p>
        </w:tc>
      </w:tr>
      <w:tr w14:paraId="7A03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60" w:type="dxa"/>
            <w:tcMar>
              <w:top w:w="60" w:type="dxa"/>
              <w:left w:w="120" w:type="dxa"/>
              <w:bottom w:w="30" w:type="dxa"/>
              <w:right w:w="120" w:type="dxa"/>
            </w:tcMar>
            <w:vAlign w:val="center"/>
          </w:tcPr>
          <w:p w14:paraId="1BFF5AA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r>
              <w:rPr>
                <w:rFonts w:ascii="Arial" w:hAnsi="Arial" w:eastAsia="等线" w:cs="Arial"/>
                <w:kern w:val="0"/>
                <w:sz w:val="22"/>
                <w:szCs w:val="22"/>
              </w:rPr>
              <w:t>1</w:t>
            </w:r>
          </w:p>
        </w:tc>
        <w:tc>
          <w:tcPr>
            <w:tcW w:w="792" w:type="dxa"/>
            <w:tcMar>
              <w:top w:w="60" w:type="dxa"/>
              <w:left w:w="120" w:type="dxa"/>
              <w:bottom w:w="30" w:type="dxa"/>
              <w:right w:w="120" w:type="dxa"/>
            </w:tcMar>
            <w:vAlign w:val="center"/>
          </w:tcPr>
          <w:p w14:paraId="227EBF8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13" w:type="dxa"/>
            <w:tcMar>
              <w:top w:w="60" w:type="dxa"/>
              <w:left w:w="120" w:type="dxa"/>
              <w:bottom w:w="30" w:type="dxa"/>
              <w:right w:w="120" w:type="dxa"/>
            </w:tcMar>
            <w:vAlign w:val="center"/>
          </w:tcPr>
          <w:p w14:paraId="71960C2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42" w:type="dxa"/>
            <w:tcMar>
              <w:top w:w="60" w:type="dxa"/>
              <w:left w:w="120" w:type="dxa"/>
              <w:bottom w:w="30" w:type="dxa"/>
              <w:right w:w="120" w:type="dxa"/>
            </w:tcMar>
            <w:vAlign w:val="center"/>
          </w:tcPr>
          <w:p w14:paraId="49BBD1A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6C1EEF2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36C9B0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792" w:type="dxa"/>
            <w:tcMar>
              <w:top w:w="60" w:type="dxa"/>
              <w:left w:w="120" w:type="dxa"/>
              <w:bottom w:w="30" w:type="dxa"/>
              <w:right w:w="120" w:type="dxa"/>
            </w:tcMar>
            <w:vAlign w:val="center"/>
          </w:tcPr>
          <w:p w14:paraId="6879F77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929" w:type="dxa"/>
            <w:tcMar>
              <w:top w:w="60" w:type="dxa"/>
              <w:left w:w="120" w:type="dxa"/>
              <w:bottom w:w="30" w:type="dxa"/>
              <w:right w:w="120" w:type="dxa"/>
            </w:tcMar>
            <w:vAlign w:val="center"/>
          </w:tcPr>
          <w:p w14:paraId="34978FC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640" w:type="dxa"/>
            <w:tcMar>
              <w:top w:w="60" w:type="dxa"/>
              <w:left w:w="120" w:type="dxa"/>
              <w:bottom w:w="30" w:type="dxa"/>
              <w:right w:w="120" w:type="dxa"/>
            </w:tcMar>
            <w:vAlign w:val="center"/>
          </w:tcPr>
          <w:p w14:paraId="1D351BF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c>
          <w:tcPr>
            <w:tcW w:w="714" w:type="dxa"/>
            <w:tcMar>
              <w:top w:w="60" w:type="dxa"/>
              <w:left w:w="120" w:type="dxa"/>
              <w:bottom w:w="30" w:type="dxa"/>
              <w:right w:w="120" w:type="dxa"/>
            </w:tcMar>
            <w:vAlign w:val="center"/>
          </w:tcPr>
          <w:p w14:paraId="4A86BEB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r>
      <w:tr w14:paraId="68C99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60" w:type="dxa"/>
            <w:tcMar>
              <w:top w:w="60" w:type="dxa"/>
              <w:left w:w="120" w:type="dxa"/>
              <w:bottom w:w="30" w:type="dxa"/>
              <w:right w:w="120" w:type="dxa"/>
            </w:tcMar>
            <w:vAlign w:val="center"/>
          </w:tcPr>
          <w:p w14:paraId="154032E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r>
              <w:rPr>
                <w:rFonts w:ascii="Arial" w:hAnsi="Arial" w:eastAsia="等线" w:cs="Arial"/>
                <w:kern w:val="0"/>
                <w:sz w:val="22"/>
                <w:szCs w:val="22"/>
              </w:rPr>
              <w:t>2</w:t>
            </w:r>
          </w:p>
        </w:tc>
        <w:tc>
          <w:tcPr>
            <w:tcW w:w="792" w:type="dxa"/>
            <w:tcMar>
              <w:top w:w="60" w:type="dxa"/>
              <w:left w:w="120" w:type="dxa"/>
              <w:bottom w:w="30" w:type="dxa"/>
              <w:right w:w="120" w:type="dxa"/>
            </w:tcMar>
            <w:vAlign w:val="center"/>
          </w:tcPr>
          <w:p w14:paraId="0ADA61A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13" w:type="dxa"/>
            <w:tcMar>
              <w:top w:w="60" w:type="dxa"/>
              <w:left w:w="120" w:type="dxa"/>
              <w:bottom w:w="30" w:type="dxa"/>
              <w:right w:w="120" w:type="dxa"/>
            </w:tcMar>
            <w:vAlign w:val="center"/>
          </w:tcPr>
          <w:p w14:paraId="0F97D16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42" w:type="dxa"/>
            <w:tcMar>
              <w:top w:w="60" w:type="dxa"/>
              <w:left w:w="120" w:type="dxa"/>
              <w:bottom w:w="30" w:type="dxa"/>
              <w:right w:w="120" w:type="dxa"/>
            </w:tcMar>
            <w:vAlign w:val="center"/>
          </w:tcPr>
          <w:p w14:paraId="3284F46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464D8FB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3FD0336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792" w:type="dxa"/>
            <w:tcMar>
              <w:top w:w="60" w:type="dxa"/>
              <w:left w:w="120" w:type="dxa"/>
              <w:bottom w:w="30" w:type="dxa"/>
              <w:right w:w="120" w:type="dxa"/>
            </w:tcMar>
            <w:vAlign w:val="center"/>
          </w:tcPr>
          <w:p w14:paraId="7666649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929" w:type="dxa"/>
            <w:tcMar>
              <w:top w:w="60" w:type="dxa"/>
              <w:left w:w="120" w:type="dxa"/>
              <w:bottom w:w="30" w:type="dxa"/>
              <w:right w:w="120" w:type="dxa"/>
            </w:tcMar>
            <w:vAlign w:val="center"/>
          </w:tcPr>
          <w:p w14:paraId="1624D7E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640" w:type="dxa"/>
            <w:tcMar>
              <w:top w:w="60" w:type="dxa"/>
              <w:left w:w="120" w:type="dxa"/>
              <w:bottom w:w="30" w:type="dxa"/>
              <w:right w:w="120" w:type="dxa"/>
            </w:tcMar>
            <w:vAlign w:val="center"/>
          </w:tcPr>
          <w:p w14:paraId="28FCE1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c>
          <w:tcPr>
            <w:tcW w:w="714" w:type="dxa"/>
            <w:tcMar>
              <w:top w:w="60" w:type="dxa"/>
              <w:left w:w="120" w:type="dxa"/>
              <w:bottom w:w="30" w:type="dxa"/>
              <w:right w:w="120" w:type="dxa"/>
            </w:tcMar>
            <w:vAlign w:val="center"/>
          </w:tcPr>
          <w:p w14:paraId="1790DFD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r>
      <w:tr w14:paraId="2D81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60" w:type="dxa"/>
            <w:tcMar>
              <w:top w:w="60" w:type="dxa"/>
              <w:left w:w="120" w:type="dxa"/>
              <w:bottom w:w="30" w:type="dxa"/>
              <w:right w:w="120" w:type="dxa"/>
            </w:tcMar>
            <w:vAlign w:val="center"/>
          </w:tcPr>
          <w:p w14:paraId="76E7014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r>
              <w:rPr>
                <w:rFonts w:ascii="Arial" w:hAnsi="Arial" w:eastAsia="等线" w:cs="Arial"/>
                <w:kern w:val="0"/>
                <w:sz w:val="22"/>
                <w:szCs w:val="22"/>
              </w:rPr>
              <w:t>3</w:t>
            </w:r>
          </w:p>
        </w:tc>
        <w:tc>
          <w:tcPr>
            <w:tcW w:w="792" w:type="dxa"/>
            <w:tcMar>
              <w:top w:w="60" w:type="dxa"/>
              <w:left w:w="120" w:type="dxa"/>
              <w:bottom w:w="30" w:type="dxa"/>
              <w:right w:w="120" w:type="dxa"/>
            </w:tcMar>
            <w:vAlign w:val="center"/>
          </w:tcPr>
          <w:p w14:paraId="396259F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13" w:type="dxa"/>
            <w:tcMar>
              <w:top w:w="60" w:type="dxa"/>
              <w:left w:w="120" w:type="dxa"/>
              <w:bottom w:w="30" w:type="dxa"/>
              <w:right w:w="120" w:type="dxa"/>
            </w:tcMar>
            <w:vAlign w:val="center"/>
          </w:tcPr>
          <w:p w14:paraId="4D16EB3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42" w:type="dxa"/>
            <w:tcMar>
              <w:top w:w="60" w:type="dxa"/>
              <w:left w:w="120" w:type="dxa"/>
              <w:bottom w:w="30" w:type="dxa"/>
              <w:right w:w="120" w:type="dxa"/>
            </w:tcMar>
            <w:vAlign w:val="center"/>
          </w:tcPr>
          <w:p w14:paraId="4057DC0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2FDD121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4399D98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792" w:type="dxa"/>
            <w:tcMar>
              <w:top w:w="60" w:type="dxa"/>
              <w:left w:w="120" w:type="dxa"/>
              <w:bottom w:w="30" w:type="dxa"/>
              <w:right w:w="120" w:type="dxa"/>
            </w:tcMar>
            <w:vAlign w:val="center"/>
          </w:tcPr>
          <w:p w14:paraId="7E0D36A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929" w:type="dxa"/>
            <w:tcMar>
              <w:top w:w="60" w:type="dxa"/>
              <w:left w:w="120" w:type="dxa"/>
              <w:bottom w:w="30" w:type="dxa"/>
              <w:right w:w="120" w:type="dxa"/>
            </w:tcMar>
            <w:vAlign w:val="center"/>
          </w:tcPr>
          <w:p w14:paraId="6FD337C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640" w:type="dxa"/>
            <w:tcMar>
              <w:top w:w="60" w:type="dxa"/>
              <w:left w:w="120" w:type="dxa"/>
              <w:bottom w:w="30" w:type="dxa"/>
              <w:right w:w="120" w:type="dxa"/>
            </w:tcMar>
            <w:vAlign w:val="center"/>
          </w:tcPr>
          <w:p w14:paraId="384D28F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c>
          <w:tcPr>
            <w:tcW w:w="714" w:type="dxa"/>
            <w:tcMar>
              <w:top w:w="60" w:type="dxa"/>
              <w:left w:w="120" w:type="dxa"/>
              <w:bottom w:w="30" w:type="dxa"/>
              <w:right w:w="120" w:type="dxa"/>
            </w:tcMar>
            <w:vAlign w:val="center"/>
          </w:tcPr>
          <w:p w14:paraId="4AB3F08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r>
      <w:tr w14:paraId="49D6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60" w:type="dxa"/>
            <w:tcMar>
              <w:top w:w="60" w:type="dxa"/>
              <w:left w:w="120" w:type="dxa"/>
              <w:bottom w:w="30" w:type="dxa"/>
              <w:right w:w="120" w:type="dxa"/>
            </w:tcMar>
            <w:vAlign w:val="center"/>
          </w:tcPr>
          <w:p w14:paraId="3A88AEB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c>
          <w:tcPr>
            <w:tcW w:w="792" w:type="dxa"/>
            <w:tcMar>
              <w:top w:w="60" w:type="dxa"/>
              <w:left w:w="120" w:type="dxa"/>
              <w:bottom w:w="30" w:type="dxa"/>
              <w:right w:w="120" w:type="dxa"/>
            </w:tcMar>
            <w:vAlign w:val="center"/>
          </w:tcPr>
          <w:p w14:paraId="6939A56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13" w:type="dxa"/>
            <w:tcMar>
              <w:top w:w="60" w:type="dxa"/>
              <w:left w:w="120" w:type="dxa"/>
              <w:bottom w:w="30" w:type="dxa"/>
              <w:right w:w="120" w:type="dxa"/>
            </w:tcMar>
            <w:vAlign w:val="center"/>
          </w:tcPr>
          <w:p w14:paraId="2CEAFE9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1242" w:type="dxa"/>
            <w:tcMar>
              <w:top w:w="60" w:type="dxa"/>
              <w:left w:w="120" w:type="dxa"/>
              <w:bottom w:w="30" w:type="dxa"/>
              <w:right w:w="120" w:type="dxa"/>
            </w:tcMar>
            <w:vAlign w:val="center"/>
          </w:tcPr>
          <w:p w14:paraId="21101DD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5E2F614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460" w:type="dxa"/>
            <w:tcMar>
              <w:top w:w="60" w:type="dxa"/>
              <w:left w:w="120" w:type="dxa"/>
              <w:bottom w:w="30" w:type="dxa"/>
              <w:right w:w="120" w:type="dxa"/>
            </w:tcMar>
            <w:vAlign w:val="center"/>
          </w:tcPr>
          <w:p w14:paraId="0EEB32F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792" w:type="dxa"/>
            <w:tcMar>
              <w:top w:w="60" w:type="dxa"/>
              <w:left w:w="120" w:type="dxa"/>
              <w:bottom w:w="30" w:type="dxa"/>
              <w:right w:w="120" w:type="dxa"/>
            </w:tcMar>
            <w:vAlign w:val="center"/>
          </w:tcPr>
          <w:p w14:paraId="4B7817B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929" w:type="dxa"/>
            <w:tcMar>
              <w:top w:w="60" w:type="dxa"/>
              <w:left w:w="120" w:type="dxa"/>
              <w:bottom w:w="30" w:type="dxa"/>
              <w:right w:w="120" w:type="dxa"/>
            </w:tcMar>
            <w:vAlign w:val="center"/>
          </w:tcPr>
          <w:p w14:paraId="3D0781B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eastAsia="等线" w:hAnsiTheme="minorHAnsi" w:cstheme="minorBidi"/>
                <w:kern w:val="0"/>
                <w:sz w:val="22"/>
                <w:szCs w:val="22"/>
              </w:rPr>
            </w:pPr>
          </w:p>
        </w:tc>
        <w:tc>
          <w:tcPr>
            <w:tcW w:w="640" w:type="dxa"/>
            <w:tcMar>
              <w:top w:w="60" w:type="dxa"/>
              <w:left w:w="120" w:type="dxa"/>
              <w:bottom w:w="30" w:type="dxa"/>
              <w:right w:w="120" w:type="dxa"/>
            </w:tcMar>
            <w:vAlign w:val="center"/>
          </w:tcPr>
          <w:p w14:paraId="3D5279F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c>
          <w:tcPr>
            <w:tcW w:w="714" w:type="dxa"/>
            <w:tcMar>
              <w:top w:w="60" w:type="dxa"/>
              <w:left w:w="120" w:type="dxa"/>
              <w:bottom w:w="30" w:type="dxa"/>
              <w:right w:w="120" w:type="dxa"/>
            </w:tcMar>
            <w:vAlign w:val="center"/>
          </w:tcPr>
          <w:p w14:paraId="34E85EE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r>
      <w:tr w14:paraId="3FD0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252" w:type="dxa"/>
            <w:gridSpan w:val="2"/>
            <w:tcMar>
              <w:top w:w="60" w:type="dxa"/>
              <w:left w:w="120" w:type="dxa"/>
              <w:bottom w:w="30" w:type="dxa"/>
              <w:right w:w="120" w:type="dxa"/>
            </w:tcMar>
            <w:vAlign w:val="center"/>
          </w:tcPr>
          <w:p w14:paraId="42B029A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Arial" w:hAnsi="Arial" w:eastAsia="等线" w:cs="Arial"/>
                <w:kern w:val="0"/>
                <w:sz w:val="22"/>
                <w:szCs w:val="22"/>
                <w:lang w:val="en-US" w:eastAsia="zh-CN"/>
              </w:rPr>
            </w:pPr>
            <w:r>
              <w:rPr>
                <w:rFonts w:hint="eastAsia" w:ascii="Arial" w:hAnsi="Arial" w:eastAsia="等线" w:cs="Arial"/>
                <w:kern w:val="0"/>
                <w:sz w:val="22"/>
                <w:szCs w:val="22"/>
                <w:lang w:val="en-US" w:eastAsia="zh-CN"/>
              </w:rPr>
              <w:t>总计</w:t>
            </w:r>
          </w:p>
        </w:tc>
        <w:tc>
          <w:tcPr>
            <w:tcW w:w="3375" w:type="dxa"/>
            <w:gridSpan w:val="4"/>
            <w:tcMar>
              <w:top w:w="60" w:type="dxa"/>
              <w:left w:w="120" w:type="dxa"/>
              <w:bottom w:w="30" w:type="dxa"/>
              <w:right w:w="120" w:type="dxa"/>
            </w:tcMar>
            <w:vAlign w:val="center"/>
          </w:tcPr>
          <w:p w14:paraId="7974793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Arial" w:hAnsi="Arial" w:eastAsia="等线" w:cs="Arial"/>
                <w:kern w:val="0"/>
                <w:sz w:val="22"/>
                <w:szCs w:val="22"/>
                <w:lang w:val="en-US" w:eastAsia="zh-CN"/>
              </w:rPr>
            </w:pPr>
            <w:r>
              <w:rPr>
                <w:rFonts w:hint="eastAsia" w:ascii="Arial" w:hAnsi="Arial" w:eastAsia="等线" w:cs="Arial"/>
                <w:kern w:val="0"/>
                <w:sz w:val="22"/>
                <w:szCs w:val="22"/>
                <w:lang w:val="en-US" w:eastAsia="zh-CN"/>
              </w:rPr>
              <w:t>税率：  %</w:t>
            </w:r>
          </w:p>
        </w:tc>
        <w:tc>
          <w:tcPr>
            <w:tcW w:w="3075" w:type="dxa"/>
            <w:gridSpan w:val="4"/>
            <w:tcMar>
              <w:top w:w="60" w:type="dxa"/>
              <w:left w:w="120" w:type="dxa"/>
              <w:bottom w:w="30" w:type="dxa"/>
              <w:right w:w="120" w:type="dxa"/>
            </w:tcMar>
            <w:vAlign w:val="center"/>
          </w:tcPr>
          <w:p w14:paraId="21008AB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Arial" w:hAnsi="Arial" w:eastAsia="等线" w:cs="Arial"/>
                <w:kern w:val="0"/>
                <w:sz w:val="22"/>
                <w:szCs w:val="22"/>
              </w:rPr>
            </w:pPr>
          </w:p>
        </w:tc>
      </w:tr>
    </w:tbl>
    <w:p w14:paraId="70650473">
      <w:pPr>
        <w:pStyle w:val="16"/>
        <w:rPr>
          <w:rFonts w:hint="eastAsia"/>
        </w:rPr>
      </w:pPr>
    </w:p>
    <w:p w14:paraId="11854A56">
      <w:pPr>
        <w:pStyle w:val="16"/>
        <w:rPr>
          <w:rFonts w:hint="eastAsia"/>
          <w:lang w:val="en-US" w:eastAsia="zh-CN"/>
        </w:rPr>
      </w:pPr>
    </w:p>
    <w:p w14:paraId="0399DCF0">
      <w:pPr>
        <w:pStyle w:val="16"/>
        <w:rPr>
          <w:rFonts w:hint="eastAsia"/>
        </w:rPr>
      </w:pPr>
    </w:p>
    <w:p w14:paraId="26450C13">
      <w:pPr>
        <w:pStyle w:val="16"/>
        <w:rPr>
          <w:rFonts w:hint="eastAsia"/>
        </w:rPr>
      </w:pPr>
    </w:p>
    <w:p w14:paraId="68FBAF8D">
      <w:pPr>
        <w:autoSpaceDE w:val="0"/>
        <w:autoSpaceDN w:val="0"/>
        <w:spacing w:line="240" w:lineRule="auto"/>
        <w:ind w:firstLine="720" w:firstLineChars="300"/>
        <w:rPr>
          <w:kern w:val="0"/>
        </w:rPr>
      </w:pPr>
      <w:r>
        <w:rPr>
          <w:rFonts w:hint="eastAsia"/>
          <w:kern w:val="0"/>
        </w:rPr>
        <w:t>投标人（盖章）：</w:t>
      </w:r>
    </w:p>
    <w:p w14:paraId="537A84B8">
      <w:pPr>
        <w:autoSpaceDE w:val="0"/>
        <w:autoSpaceDN w:val="0"/>
        <w:spacing w:line="240" w:lineRule="auto"/>
        <w:ind w:firstLine="720" w:firstLineChars="300"/>
        <w:rPr>
          <w:kern w:val="0"/>
        </w:rPr>
      </w:pPr>
    </w:p>
    <w:p w14:paraId="4AFD5112">
      <w:pPr>
        <w:autoSpaceDE w:val="0"/>
        <w:autoSpaceDN w:val="0"/>
        <w:spacing w:line="240" w:lineRule="auto"/>
        <w:ind w:firstLine="720" w:firstLineChars="300"/>
        <w:rPr>
          <w:kern w:val="0"/>
        </w:rPr>
      </w:pPr>
      <w:r>
        <w:rPr>
          <w:rFonts w:hint="eastAsia"/>
          <w:kern w:val="0"/>
        </w:rPr>
        <w:t>法定代表或授权代理人（签字/签章）：</w:t>
      </w:r>
    </w:p>
    <w:p w14:paraId="108C8E9F">
      <w:pPr>
        <w:autoSpaceDE w:val="0"/>
        <w:autoSpaceDN w:val="0"/>
        <w:spacing w:line="240" w:lineRule="auto"/>
        <w:ind w:firstLine="720" w:firstLineChars="300"/>
        <w:rPr>
          <w:kern w:val="0"/>
        </w:rPr>
      </w:pPr>
    </w:p>
    <w:p w14:paraId="0BA01B39">
      <w:pPr>
        <w:autoSpaceDE w:val="0"/>
        <w:autoSpaceDN w:val="0"/>
        <w:spacing w:line="240" w:lineRule="auto"/>
        <w:ind w:firstLine="720" w:firstLineChars="300"/>
        <w:rPr>
          <w:kern w:val="0"/>
        </w:rPr>
      </w:pPr>
      <w:r>
        <w:rPr>
          <w:rFonts w:hint="eastAsia"/>
          <w:kern w:val="0"/>
        </w:rPr>
        <w:t>日  期：</w:t>
      </w:r>
    </w:p>
    <w:p w14:paraId="1A257A1D">
      <w:pPr>
        <w:spacing w:line="240" w:lineRule="auto"/>
        <w:ind w:firstLine="0" w:firstLineChars="0"/>
        <w:rPr>
          <w:sz w:val="21"/>
          <w:szCs w:val="21"/>
        </w:rPr>
      </w:pPr>
      <w:r>
        <w:rPr>
          <w:rFonts w:hint="eastAsia"/>
          <w:kern w:val="0"/>
        </w:rPr>
        <w:br w:type="page"/>
      </w:r>
    </w:p>
    <w:p w14:paraId="49703F74">
      <w:pPr>
        <w:keepNext/>
        <w:keepLines/>
        <w:widowControl w:val="0"/>
        <w:wordWrap w:val="0"/>
        <w:adjustRightInd w:val="0"/>
        <w:snapToGrid w:val="0"/>
        <w:spacing w:before="400" w:after="400" w:line="500" w:lineRule="exact"/>
        <w:ind w:firstLine="561" w:firstLineChars="200"/>
        <w:jc w:val="left"/>
        <w:textAlignment w:val="baseline"/>
        <w:outlineLvl w:val="2"/>
        <w:rPr>
          <w:rFonts w:ascii="Times New Roman" w:hAnsi="Times New Roman" w:eastAsia="华文宋体" w:cs="Times New Roman"/>
          <w:b/>
          <w:kern w:val="2"/>
          <w:sz w:val="28"/>
          <w:lang w:val="en-US" w:eastAsia="zh-CN" w:bidi="ar-SA"/>
        </w:rPr>
      </w:pPr>
      <w:bookmarkStart w:id="1853" w:name="_Toc2090"/>
      <w:bookmarkStart w:id="1854" w:name="_Toc22126"/>
      <w:bookmarkStart w:id="1855" w:name="_Toc19618"/>
      <w:bookmarkStart w:id="1856" w:name="_Toc17495"/>
      <w:bookmarkStart w:id="1857" w:name="_Toc18602"/>
      <w:bookmarkStart w:id="1858" w:name="_Toc13271"/>
      <w:bookmarkStart w:id="1859" w:name="_Toc13559"/>
      <w:bookmarkStart w:id="1860" w:name="_Toc12121"/>
      <w:bookmarkStart w:id="1861" w:name="_Toc24613"/>
      <w:bookmarkStart w:id="1862" w:name="_Toc1291"/>
      <w:bookmarkStart w:id="1863" w:name="_Toc15123"/>
      <w:bookmarkStart w:id="1864" w:name="_Toc32020"/>
      <w:bookmarkStart w:id="1865" w:name="_Toc29807"/>
      <w:bookmarkStart w:id="1866" w:name="_Toc16984"/>
      <w:bookmarkStart w:id="1867" w:name="_Toc21238"/>
      <w:bookmarkStart w:id="1868" w:name="_Toc495187291"/>
      <w:bookmarkStart w:id="1869" w:name="_Toc23655"/>
      <w:bookmarkStart w:id="1870" w:name="_Toc704214524"/>
      <w:bookmarkStart w:id="1871" w:name="_Toc789695093"/>
      <w:bookmarkStart w:id="1872" w:name="_Toc439761161"/>
      <w:bookmarkStart w:id="1873" w:name="_Toc309956931"/>
      <w:bookmarkStart w:id="1874" w:name="_Toc1971288979"/>
      <w:bookmarkStart w:id="1875" w:name="_Toc1334462941"/>
      <w:bookmarkStart w:id="1876" w:name="_Toc463135612"/>
      <w:bookmarkStart w:id="1877" w:name="_Toc1750045255"/>
      <w:r>
        <w:rPr>
          <w:rFonts w:hint="eastAsia" w:ascii="Times New Roman" w:hAnsi="Times New Roman" w:eastAsia="华文宋体" w:cs="Times New Roman"/>
          <w:b/>
          <w:kern w:val="2"/>
          <w:sz w:val="28"/>
          <w:lang w:val="en-US" w:eastAsia="zh-CN" w:bidi="ar-SA"/>
        </w:rPr>
        <w:t>5.</w:t>
      </w:r>
      <w:r>
        <w:rPr>
          <w:rFonts w:ascii="Times New Roman" w:hAnsi="Times New Roman" w:eastAsia="华文宋体" w:cs="Times New Roman"/>
          <w:b/>
          <w:kern w:val="2"/>
          <w:sz w:val="28"/>
          <w:lang w:val="en-US" w:eastAsia="zh-CN" w:bidi="ar-SA"/>
        </w:rPr>
        <w:t>资格审查资料</w:t>
      </w:r>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p>
    <w:p w14:paraId="280AEE5A">
      <w:pPr>
        <w:wordWrap w:val="0"/>
        <w:adjustRightInd/>
        <w:snapToGrid/>
        <w:spacing w:line="240" w:lineRule="auto"/>
        <w:ind w:firstLine="0" w:firstLineChars="0"/>
        <w:jc w:val="center"/>
        <w:rPr>
          <w:rFonts w:ascii="Times New Roman" w:hAnsi="Times New Roman" w:eastAsia="宋体"/>
          <w:b/>
          <w:bCs/>
          <w:spacing w:val="0"/>
          <w:sz w:val="24"/>
          <w:szCs w:val="20"/>
        </w:rPr>
      </w:pPr>
    </w:p>
    <w:p w14:paraId="5B3826FF">
      <w:pPr>
        <w:wordWrap w:val="0"/>
        <w:adjustRightInd/>
        <w:snapToGrid/>
        <w:spacing w:line="240" w:lineRule="auto"/>
        <w:ind w:firstLine="0" w:firstLineChars="0"/>
        <w:jc w:val="center"/>
        <w:rPr>
          <w:rFonts w:ascii="Times New Roman" w:hAnsi="Times New Roman" w:eastAsia="宋体"/>
          <w:b/>
          <w:bCs/>
          <w:spacing w:val="0"/>
          <w:sz w:val="24"/>
          <w:szCs w:val="20"/>
        </w:rPr>
      </w:pPr>
      <w:r>
        <w:rPr>
          <w:rFonts w:ascii="Times New Roman" w:hAnsi="Times New Roman" w:eastAsia="宋体"/>
          <w:b/>
          <w:bCs/>
          <w:spacing w:val="0"/>
          <w:sz w:val="24"/>
          <w:szCs w:val="20"/>
        </w:rPr>
        <w:t>投标人基本情况表</w:t>
      </w:r>
    </w:p>
    <w:tbl>
      <w:tblPr>
        <w:tblStyle w:val="20"/>
        <w:tblW w:w="91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Pr>
      <w:tblGrid>
        <w:gridCol w:w="1416"/>
        <w:gridCol w:w="1420"/>
        <w:gridCol w:w="1741"/>
        <w:gridCol w:w="1575"/>
        <w:gridCol w:w="3031"/>
      </w:tblGrid>
      <w:tr w14:paraId="7E27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561" w:hRule="atLeast"/>
          <w:jc w:val="center"/>
        </w:trPr>
        <w:tc>
          <w:tcPr>
            <w:tcW w:w="1416" w:type="dxa"/>
            <w:vAlign w:val="center"/>
          </w:tcPr>
          <w:p w14:paraId="69F900B8">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公司名称</w:t>
            </w:r>
          </w:p>
        </w:tc>
        <w:tc>
          <w:tcPr>
            <w:tcW w:w="7767" w:type="dxa"/>
            <w:gridSpan w:val="4"/>
            <w:vAlign w:val="center"/>
          </w:tcPr>
          <w:p w14:paraId="362A59E4">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2"/>
                <w:szCs w:val="20"/>
              </w:rPr>
            </w:pPr>
          </w:p>
        </w:tc>
      </w:tr>
      <w:tr w14:paraId="082C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09" w:hRule="atLeast"/>
          <w:jc w:val="center"/>
        </w:trPr>
        <w:tc>
          <w:tcPr>
            <w:tcW w:w="1416" w:type="dxa"/>
            <w:vAlign w:val="center"/>
          </w:tcPr>
          <w:p w14:paraId="5CB77A03">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公司地址</w:t>
            </w:r>
          </w:p>
        </w:tc>
        <w:tc>
          <w:tcPr>
            <w:tcW w:w="3161" w:type="dxa"/>
            <w:gridSpan w:val="2"/>
            <w:vAlign w:val="center"/>
          </w:tcPr>
          <w:p w14:paraId="2C794E64">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75" w:type="dxa"/>
            <w:vAlign w:val="center"/>
          </w:tcPr>
          <w:p w14:paraId="3CBE2C0C">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邮编</w:t>
            </w:r>
          </w:p>
        </w:tc>
        <w:tc>
          <w:tcPr>
            <w:tcW w:w="3031" w:type="dxa"/>
            <w:vAlign w:val="center"/>
          </w:tcPr>
          <w:p w14:paraId="5BEFB926">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681A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09" w:hRule="atLeast"/>
          <w:jc w:val="center"/>
        </w:trPr>
        <w:tc>
          <w:tcPr>
            <w:tcW w:w="1416" w:type="dxa"/>
            <w:vAlign w:val="center"/>
          </w:tcPr>
          <w:p w14:paraId="07DDAEFC">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联系电话</w:t>
            </w:r>
          </w:p>
        </w:tc>
        <w:tc>
          <w:tcPr>
            <w:tcW w:w="3161" w:type="dxa"/>
            <w:gridSpan w:val="2"/>
            <w:vAlign w:val="center"/>
          </w:tcPr>
          <w:p w14:paraId="27FF47D4">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75" w:type="dxa"/>
            <w:vAlign w:val="center"/>
          </w:tcPr>
          <w:p w14:paraId="1AF39585">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传真</w:t>
            </w:r>
          </w:p>
        </w:tc>
        <w:tc>
          <w:tcPr>
            <w:tcW w:w="3031" w:type="dxa"/>
            <w:vAlign w:val="center"/>
          </w:tcPr>
          <w:p w14:paraId="01CAC2E1">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4EED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09" w:hRule="atLeast"/>
          <w:jc w:val="center"/>
        </w:trPr>
        <w:tc>
          <w:tcPr>
            <w:tcW w:w="1416" w:type="dxa"/>
            <w:vAlign w:val="center"/>
          </w:tcPr>
          <w:p w14:paraId="4ACED157">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法人代表</w:t>
            </w:r>
          </w:p>
        </w:tc>
        <w:tc>
          <w:tcPr>
            <w:tcW w:w="3161" w:type="dxa"/>
            <w:gridSpan w:val="2"/>
            <w:vAlign w:val="center"/>
          </w:tcPr>
          <w:p w14:paraId="5F470C2D">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75" w:type="dxa"/>
            <w:vAlign w:val="center"/>
          </w:tcPr>
          <w:p w14:paraId="54FB5A8E">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公司网址</w:t>
            </w:r>
          </w:p>
        </w:tc>
        <w:tc>
          <w:tcPr>
            <w:tcW w:w="3031" w:type="dxa"/>
            <w:vAlign w:val="center"/>
          </w:tcPr>
          <w:p w14:paraId="6F77EAE0">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3240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25" w:hRule="atLeast"/>
          <w:jc w:val="center"/>
        </w:trPr>
        <w:tc>
          <w:tcPr>
            <w:tcW w:w="1416" w:type="dxa"/>
            <w:vAlign w:val="center"/>
          </w:tcPr>
          <w:p w14:paraId="4054B999">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业务联系人</w:t>
            </w:r>
          </w:p>
        </w:tc>
        <w:tc>
          <w:tcPr>
            <w:tcW w:w="3161" w:type="dxa"/>
            <w:gridSpan w:val="2"/>
            <w:vAlign w:val="center"/>
          </w:tcPr>
          <w:p w14:paraId="2B254CDB">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75" w:type="dxa"/>
            <w:vAlign w:val="center"/>
          </w:tcPr>
          <w:p w14:paraId="320A7F50">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联系方式</w:t>
            </w:r>
          </w:p>
        </w:tc>
        <w:tc>
          <w:tcPr>
            <w:tcW w:w="3031" w:type="dxa"/>
            <w:vAlign w:val="center"/>
          </w:tcPr>
          <w:p w14:paraId="3EB780FF">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5B00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09" w:hRule="atLeast"/>
          <w:jc w:val="center"/>
        </w:trPr>
        <w:tc>
          <w:tcPr>
            <w:tcW w:w="1416" w:type="dxa"/>
            <w:vMerge w:val="restart"/>
            <w:vAlign w:val="center"/>
          </w:tcPr>
          <w:p w14:paraId="7A8A2763">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公司概况</w:t>
            </w:r>
          </w:p>
        </w:tc>
        <w:tc>
          <w:tcPr>
            <w:tcW w:w="1420" w:type="dxa"/>
            <w:vAlign w:val="center"/>
          </w:tcPr>
          <w:p w14:paraId="67F7E619">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注册资金</w:t>
            </w:r>
          </w:p>
        </w:tc>
        <w:tc>
          <w:tcPr>
            <w:tcW w:w="1741" w:type="dxa"/>
            <w:vAlign w:val="center"/>
          </w:tcPr>
          <w:p w14:paraId="5212F48B">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75" w:type="dxa"/>
            <w:vAlign w:val="center"/>
          </w:tcPr>
          <w:p w14:paraId="48A72882">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上年度营业额</w:t>
            </w:r>
          </w:p>
        </w:tc>
        <w:tc>
          <w:tcPr>
            <w:tcW w:w="3031" w:type="dxa"/>
            <w:vAlign w:val="center"/>
          </w:tcPr>
          <w:p w14:paraId="49CEFC03">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40D8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09" w:hRule="atLeast"/>
          <w:jc w:val="center"/>
        </w:trPr>
        <w:tc>
          <w:tcPr>
            <w:tcW w:w="1416" w:type="dxa"/>
            <w:vMerge w:val="continue"/>
            <w:vAlign w:val="center"/>
          </w:tcPr>
          <w:p w14:paraId="39EE5DC5">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420" w:type="dxa"/>
            <w:vAlign w:val="center"/>
          </w:tcPr>
          <w:p w14:paraId="0CA0C102">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成立日期</w:t>
            </w:r>
          </w:p>
        </w:tc>
        <w:tc>
          <w:tcPr>
            <w:tcW w:w="1741" w:type="dxa"/>
            <w:vAlign w:val="center"/>
          </w:tcPr>
          <w:p w14:paraId="3F6D4FE8">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75" w:type="dxa"/>
            <w:vAlign w:val="center"/>
          </w:tcPr>
          <w:p w14:paraId="621579AB">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银行信用状况</w:t>
            </w:r>
          </w:p>
        </w:tc>
        <w:tc>
          <w:tcPr>
            <w:tcW w:w="3031" w:type="dxa"/>
            <w:vAlign w:val="center"/>
          </w:tcPr>
          <w:p w14:paraId="3291DCB4">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44AE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609" w:hRule="atLeast"/>
          <w:jc w:val="center"/>
        </w:trPr>
        <w:tc>
          <w:tcPr>
            <w:tcW w:w="1416" w:type="dxa"/>
            <w:vMerge w:val="continue"/>
            <w:vAlign w:val="center"/>
          </w:tcPr>
          <w:p w14:paraId="51961FF0">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420" w:type="dxa"/>
            <w:vAlign w:val="center"/>
          </w:tcPr>
          <w:p w14:paraId="5C8B76B9">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人员情况</w:t>
            </w:r>
          </w:p>
        </w:tc>
        <w:tc>
          <w:tcPr>
            <w:tcW w:w="6347" w:type="dxa"/>
            <w:gridSpan w:val="3"/>
            <w:vAlign w:val="center"/>
          </w:tcPr>
          <w:p w14:paraId="67456B04">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75F05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960" w:hRule="atLeast"/>
          <w:jc w:val="center"/>
        </w:trPr>
        <w:tc>
          <w:tcPr>
            <w:tcW w:w="1416" w:type="dxa"/>
            <w:vAlign w:val="center"/>
          </w:tcPr>
          <w:p w14:paraId="54D4CCDC">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资质情况</w:t>
            </w:r>
          </w:p>
        </w:tc>
        <w:tc>
          <w:tcPr>
            <w:tcW w:w="7767" w:type="dxa"/>
            <w:gridSpan w:val="4"/>
            <w:vAlign w:val="center"/>
          </w:tcPr>
          <w:p w14:paraId="5A1432AB">
            <w:pPr>
              <w:keepNext w:val="0"/>
              <w:keepLines w:val="0"/>
              <w:suppressLineNumbers w:val="0"/>
              <w:wordWrap w:val="0"/>
              <w:adjustRightInd/>
              <w:snapToGrid/>
              <w:spacing w:before="0" w:beforeAutospacing="0" w:after="0" w:afterAutospacing="0" w:line="240" w:lineRule="auto"/>
              <w:ind w:left="0" w:right="0" w:firstLine="0" w:firstLineChars="0"/>
              <w:jc w:val="left"/>
              <w:rPr>
                <w:rFonts w:hint="default" w:ascii="Times New Roman" w:hAnsi="Times New Roman" w:eastAsia="宋体"/>
                <w:spacing w:val="0"/>
                <w:sz w:val="21"/>
                <w:szCs w:val="20"/>
              </w:rPr>
            </w:pPr>
          </w:p>
        </w:tc>
      </w:tr>
      <w:tr w14:paraId="27DD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1139" w:hRule="atLeast"/>
          <w:jc w:val="center"/>
        </w:trPr>
        <w:tc>
          <w:tcPr>
            <w:tcW w:w="1416" w:type="dxa"/>
            <w:tcBorders>
              <w:bottom w:val="single" w:color="auto" w:sz="4" w:space="0"/>
            </w:tcBorders>
            <w:vAlign w:val="center"/>
          </w:tcPr>
          <w:p w14:paraId="424BE13C">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主营业务</w:t>
            </w:r>
          </w:p>
        </w:tc>
        <w:tc>
          <w:tcPr>
            <w:tcW w:w="7767" w:type="dxa"/>
            <w:gridSpan w:val="4"/>
            <w:tcBorders>
              <w:bottom w:val="single" w:color="auto" w:sz="4" w:space="0"/>
            </w:tcBorders>
            <w:vAlign w:val="center"/>
          </w:tcPr>
          <w:p w14:paraId="44F9C9DA">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271B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1156" w:hRule="atLeast"/>
          <w:jc w:val="center"/>
        </w:trPr>
        <w:tc>
          <w:tcPr>
            <w:tcW w:w="1416" w:type="dxa"/>
            <w:tcBorders>
              <w:bottom w:val="single" w:color="auto" w:sz="4" w:space="0"/>
            </w:tcBorders>
            <w:vAlign w:val="center"/>
          </w:tcPr>
          <w:p w14:paraId="5B78E5D3">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b/>
                <w:spacing w:val="0"/>
                <w:sz w:val="21"/>
                <w:szCs w:val="20"/>
              </w:rPr>
              <w:t>主要客户</w:t>
            </w:r>
          </w:p>
        </w:tc>
        <w:tc>
          <w:tcPr>
            <w:tcW w:w="7767" w:type="dxa"/>
            <w:gridSpan w:val="4"/>
            <w:tcBorders>
              <w:bottom w:val="single" w:color="auto" w:sz="4" w:space="0"/>
            </w:tcBorders>
            <w:vAlign w:val="center"/>
          </w:tcPr>
          <w:p w14:paraId="010FDD58">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2DFB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520" w:hRule="atLeast"/>
          <w:jc w:val="center"/>
        </w:trPr>
        <w:tc>
          <w:tcPr>
            <w:tcW w:w="9183" w:type="dxa"/>
            <w:gridSpan w:val="5"/>
            <w:tcBorders>
              <w:top w:val="single" w:color="auto" w:sz="4" w:space="0"/>
              <w:left w:val="nil"/>
              <w:bottom w:val="single" w:color="auto" w:sz="4" w:space="0"/>
              <w:right w:val="nil"/>
            </w:tcBorders>
            <w:vAlign w:val="center"/>
          </w:tcPr>
          <w:p w14:paraId="79671351">
            <w:pPr>
              <w:keepNext w:val="0"/>
              <w:keepLines w:val="0"/>
              <w:suppressLineNumbers w:val="0"/>
              <w:wordWrap w:val="0"/>
              <w:adjustRightInd/>
              <w:snapToGrid/>
              <w:spacing w:before="0" w:beforeAutospacing="0" w:after="0" w:afterAutospacing="0" w:line="240" w:lineRule="auto"/>
              <w:ind w:left="0" w:right="0" w:firstLine="480" w:firstLineChars="0"/>
              <w:rPr>
                <w:rFonts w:hint="default" w:ascii="Times New Roman" w:hAnsi="Times New Roman" w:eastAsia="宋体"/>
                <w:spacing w:val="0"/>
                <w:sz w:val="18"/>
                <w:szCs w:val="16"/>
              </w:rPr>
            </w:pPr>
            <w:r>
              <w:rPr>
                <w:rFonts w:hint="eastAsia" w:ascii="Times New Roman" w:hAnsi="Times New Roman" w:eastAsia="宋体"/>
                <w:spacing w:val="0"/>
                <w:sz w:val="18"/>
                <w:szCs w:val="16"/>
              </w:rPr>
              <w:t>附：</w:t>
            </w:r>
          </w:p>
          <w:p w14:paraId="58B50B64">
            <w:pPr>
              <w:spacing w:line="500" w:lineRule="exact"/>
              <w:ind w:firstLine="0"/>
              <w:rPr>
                <w:rFonts w:hint="default"/>
                <w:highlight w:val="none"/>
              </w:rPr>
            </w:pPr>
            <w:r>
              <w:rPr>
                <w:rFonts w:hint="default"/>
                <w:highlight w:val="none"/>
              </w:rPr>
              <w:t>3.1资质要求：</w:t>
            </w:r>
          </w:p>
          <w:p w14:paraId="35B0815C">
            <w:pPr>
              <w:spacing w:line="500" w:lineRule="exact"/>
              <w:ind w:firstLine="0"/>
              <w:rPr>
                <w:rFonts w:hint="default"/>
                <w:highlight w:val="none"/>
              </w:rPr>
            </w:pPr>
            <w:r>
              <w:rPr>
                <w:rFonts w:hint="default"/>
                <w:highlight w:val="none"/>
              </w:rPr>
              <w:t>投标人必须是在中华人民共和国境内注册，具有合法经营资格的国内独立法人的企业，投标人应提供营业执照副本，营业期限应在有效期范围内；</w:t>
            </w:r>
          </w:p>
          <w:p w14:paraId="319131D5">
            <w:pPr>
              <w:spacing w:line="500" w:lineRule="exact"/>
              <w:ind w:firstLine="0"/>
              <w:rPr>
                <w:rFonts w:hint="default"/>
                <w:highlight w:val="none"/>
              </w:rPr>
            </w:pPr>
            <w:r>
              <w:rPr>
                <w:rFonts w:hint="default"/>
                <w:highlight w:val="none"/>
              </w:rPr>
              <w:t>3.2信誉要求：</w:t>
            </w:r>
          </w:p>
          <w:p w14:paraId="26736CF7">
            <w:pPr>
              <w:spacing w:line="500" w:lineRule="exact"/>
              <w:ind w:firstLine="0"/>
              <w:rPr>
                <w:rFonts w:hint="default"/>
                <w:highlight w:val="none"/>
              </w:rPr>
            </w:pPr>
            <w:r>
              <w:rPr>
                <w:rFonts w:hint="default"/>
                <w:highlight w:val="none"/>
              </w:rPr>
              <w:t>投标人未列入发改委和人行“信用中国”网（www.creditchina.gov.cn）严重失信名单，提供信用报告（下载路径：登录网站-右上角信用信息输入公司名称-点击搜索-下载信用信息报告）；</w:t>
            </w:r>
          </w:p>
          <w:p w14:paraId="074125C4">
            <w:pPr>
              <w:spacing w:line="500" w:lineRule="exact"/>
              <w:ind w:firstLine="0"/>
              <w:rPr>
                <w:rFonts w:hint="default"/>
                <w:highlight w:val="none"/>
              </w:rPr>
            </w:pPr>
            <w:r>
              <w:rPr>
                <w:rFonts w:hint="default"/>
                <w:highlight w:val="none"/>
              </w:rPr>
              <w:t>3.3业绩要求：</w:t>
            </w:r>
          </w:p>
          <w:p w14:paraId="2EBA4F3E">
            <w:pPr>
              <w:spacing w:line="500" w:lineRule="exact"/>
              <w:ind w:firstLine="0"/>
              <w:rPr>
                <w:rFonts w:hint="default"/>
                <w:highlight w:val="none"/>
              </w:rPr>
            </w:pPr>
            <w:r>
              <w:rPr>
                <w:rFonts w:hint="default"/>
                <w:highlight w:val="none"/>
              </w:rPr>
              <w:t>投标人须具有信息系统二次开发能力，须提供自2023年1月1日至投标截止之日（以合同签订时间为准）已完工的至少1份“三维研发类产品配置管理系统有效业绩”；该有效业绩是指合同内容包含三维研发类产品配置管理系统的实施、二次开发、系统集成或运维服务，且能体现与三维研发设计平台（如三维CAD/PLM等）进行数据集成或二次开发内容的项目业绩。证明材料须提供合同关键页扫描件（含甲乙双方签章、签约日期、采购标的及服务内容）及发票、项目竣工验收单或甲方使用证明任选其一作为配套佐证材料；业绩主体须为投标人本身，材料须加盖投标人公章，否则不予认可。</w:t>
            </w:r>
          </w:p>
          <w:p w14:paraId="3106C60A">
            <w:pPr>
              <w:spacing w:line="500" w:lineRule="exact"/>
              <w:ind w:firstLine="0"/>
              <w:rPr>
                <w:rFonts w:hint="default"/>
                <w:highlight w:val="none"/>
              </w:rPr>
            </w:pPr>
            <w:r>
              <w:rPr>
                <w:rFonts w:hint="default"/>
                <w:highlight w:val="none"/>
              </w:rPr>
              <w:t>3.4财务要求：/。</w:t>
            </w:r>
          </w:p>
          <w:p w14:paraId="03CDF4AE">
            <w:pPr>
              <w:spacing w:line="500" w:lineRule="exact"/>
              <w:ind w:firstLine="0"/>
              <w:rPr>
                <w:rFonts w:hint="default"/>
                <w:highlight w:val="none"/>
              </w:rPr>
            </w:pPr>
            <w:r>
              <w:rPr>
                <w:rFonts w:hint="default"/>
                <w:highlight w:val="none"/>
              </w:rPr>
              <w:t>3.5人员要求：/。</w:t>
            </w:r>
          </w:p>
          <w:p w14:paraId="68FF994D">
            <w:pPr>
              <w:spacing w:line="500" w:lineRule="exact"/>
              <w:ind w:firstLine="0"/>
              <w:rPr>
                <w:rFonts w:hint="default"/>
                <w:highlight w:val="none"/>
              </w:rPr>
            </w:pPr>
            <w:r>
              <w:rPr>
                <w:rFonts w:hint="default"/>
                <w:highlight w:val="none"/>
              </w:rPr>
              <w:t>3.6设备要求：/。</w:t>
            </w:r>
          </w:p>
          <w:p w14:paraId="0A5CE4A4">
            <w:pPr>
              <w:spacing w:line="500" w:lineRule="exact"/>
              <w:ind w:firstLine="0"/>
              <w:rPr>
                <w:rFonts w:hint="default"/>
                <w:highlight w:val="none"/>
              </w:rPr>
            </w:pPr>
            <w:r>
              <w:rPr>
                <w:rFonts w:hint="default"/>
                <w:highlight w:val="none"/>
              </w:rPr>
              <w:t>3.7其他要求：提供以下内容的承诺函：</w:t>
            </w:r>
          </w:p>
          <w:p w14:paraId="6ED5B3D7">
            <w:pPr>
              <w:spacing w:line="500" w:lineRule="exact"/>
              <w:ind w:firstLine="0"/>
              <w:rPr>
                <w:rFonts w:hint="default"/>
                <w:highlight w:val="none"/>
              </w:rPr>
            </w:pPr>
            <w:r>
              <w:rPr>
                <w:rFonts w:hint="default"/>
                <w:highlight w:val="none"/>
              </w:rPr>
              <w:t>无不良违规记录承诺函：投标人在参与本次投标前三年内（2023年至今），不得出现下列任一情形（按照下列要求提供投标人无不良违规记录承诺）。</w:t>
            </w:r>
          </w:p>
          <w:p w14:paraId="5BAE0073">
            <w:pPr>
              <w:spacing w:line="500" w:lineRule="exact"/>
              <w:ind w:firstLine="0"/>
              <w:rPr>
                <w:rFonts w:hint="default"/>
                <w:highlight w:val="none"/>
              </w:rPr>
            </w:pPr>
            <w:r>
              <w:rPr>
                <w:rFonts w:hint="default"/>
                <w:highlight w:val="none"/>
              </w:rPr>
              <w:t>（1）被依法暂停或者取消投标资格；</w:t>
            </w:r>
          </w:p>
          <w:p w14:paraId="56D616B0">
            <w:pPr>
              <w:spacing w:line="500" w:lineRule="exact"/>
              <w:ind w:firstLine="0"/>
              <w:rPr>
                <w:rFonts w:hint="default"/>
                <w:highlight w:val="none"/>
              </w:rPr>
            </w:pPr>
            <w:r>
              <w:rPr>
                <w:rFonts w:hint="default"/>
                <w:highlight w:val="none"/>
              </w:rPr>
              <w:t>（2）被责令停产停业、暂扣或者吊销许可证、暂扣或者吊销执照；</w:t>
            </w:r>
          </w:p>
          <w:p w14:paraId="7BF2E2B6">
            <w:pPr>
              <w:spacing w:line="500" w:lineRule="exact"/>
              <w:ind w:firstLine="0"/>
              <w:rPr>
                <w:rFonts w:hint="default"/>
                <w:highlight w:val="none"/>
              </w:rPr>
            </w:pPr>
            <w:r>
              <w:rPr>
                <w:rFonts w:hint="default"/>
                <w:highlight w:val="none"/>
              </w:rPr>
              <w:t>（3）进入清算程序，或被宣告破产，或其他丧失履约能力的情形；</w:t>
            </w:r>
          </w:p>
          <w:p w14:paraId="3787BDAC">
            <w:pPr>
              <w:spacing w:line="500" w:lineRule="exact"/>
              <w:ind w:firstLine="0"/>
              <w:rPr>
                <w:rFonts w:hint="default"/>
                <w:highlight w:val="none"/>
              </w:rPr>
            </w:pPr>
            <w:r>
              <w:rPr>
                <w:rFonts w:hint="default"/>
                <w:highlight w:val="none"/>
              </w:rPr>
              <w:t>（4）投标人或其法定代表人有行贿犯罪行为；</w:t>
            </w:r>
          </w:p>
          <w:p w14:paraId="5D2DA1B5">
            <w:pPr>
              <w:spacing w:line="500" w:lineRule="exact"/>
              <w:ind w:firstLine="0"/>
              <w:rPr>
                <w:rFonts w:hint="default"/>
                <w:highlight w:val="none"/>
              </w:rPr>
            </w:pPr>
            <w:r>
              <w:rPr>
                <w:rFonts w:hint="default"/>
                <w:highlight w:val="none"/>
              </w:rPr>
              <w:t>（5）发生骗取中标、严重违约的情况及重大质量问题。</w:t>
            </w:r>
          </w:p>
          <w:p w14:paraId="57A80467">
            <w:pPr>
              <w:spacing w:line="500" w:lineRule="exact"/>
              <w:ind w:firstLine="0"/>
              <w:rPr>
                <w:rFonts w:hint="default"/>
                <w:highlight w:val="none"/>
              </w:rPr>
            </w:pPr>
            <w:r>
              <w:rPr>
                <w:rFonts w:hint="default"/>
                <w:highlight w:val="none"/>
              </w:rPr>
              <w:t>3.8本项目是否接受联合体投标：否</w:t>
            </w:r>
          </w:p>
          <w:p w14:paraId="7AE27A67">
            <w:pPr>
              <w:spacing w:line="500" w:lineRule="exact"/>
              <w:ind w:firstLine="0"/>
              <w:rPr>
                <w:rFonts w:hint="default"/>
                <w:highlight w:val="none"/>
              </w:rPr>
            </w:pPr>
            <w:r>
              <w:rPr>
                <w:rFonts w:hint="default"/>
                <w:highlight w:val="none"/>
              </w:rPr>
              <w:t>3.9备注：</w:t>
            </w:r>
          </w:p>
          <w:p w14:paraId="0D78E1CD">
            <w:pPr>
              <w:spacing w:line="500" w:lineRule="exact"/>
              <w:ind w:firstLine="0"/>
              <w:rPr>
                <w:rFonts w:hint="default"/>
                <w:highlight w:val="none"/>
              </w:rPr>
            </w:pPr>
            <w:r>
              <w:rPr>
                <w:rFonts w:hint="default"/>
                <w:highlight w:val="none"/>
              </w:rPr>
              <w:t>（1）投标人资格要求中需要提供的资格证明材料，在投标文件中务必提供齐全，否则将可能导致不合格的投标；</w:t>
            </w:r>
          </w:p>
          <w:p w14:paraId="3BE3E29C">
            <w:pPr>
              <w:spacing w:line="500" w:lineRule="exact"/>
              <w:ind w:firstLine="0"/>
              <w:rPr>
                <w:rFonts w:hint="default"/>
                <w:highlight w:val="none"/>
              </w:rPr>
            </w:pPr>
            <w:r>
              <w:rPr>
                <w:rFonts w:hint="default"/>
                <w:highlight w:val="none"/>
              </w:rPr>
              <w:t>（2）本次招标的投标人资质审查方式采用资格后审（即投标人资格是否符合招标要求由评标委员会在评标时确定），报名通过并成功购买到招标文件的投标人，不代表已经通过资格审查；</w:t>
            </w:r>
          </w:p>
          <w:p w14:paraId="0CAE11DB">
            <w:pPr>
              <w:spacing w:line="500" w:lineRule="exact"/>
              <w:ind w:firstLine="0"/>
              <w:rPr>
                <w:rFonts w:hint="default"/>
                <w:highlight w:val="none"/>
              </w:rPr>
            </w:pPr>
            <w:r>
              <w:rPr>
                <w:rFonts w:hint="default"/>
                <w:highlight w:val="none"/>
              </w:rPr>
              <w:t>（3）有违反法律法规行为，依法被取消竞标资格且期限未满的不得参加此次投标；</w:t>
            </w:r>
          </w:p>
          <w:p w14:paraId="286C4FED">
            <w:pPr>
              <w:spacing w:line="500" w:lineRule="exact"/>
              <w:ind w:firstLine="0"/>
              <w:rPr>
                <w:rFonts w:hint="default"/>
                <w:highlight w:val="none"/>
              </w:rPr>
            </w:pPr>
            <w:r>
              <w:rPr>
                <w:rFonts w:hint="default"/>
                <w:highlight w:val="none"/>
              </w:rPr>
              <w:t>（4）在招标竞标活动中有违法违规等不良行为，被招标竞标管理部门公示限制竞标且限制期限未满的不得参加此次投标；</w:t>
            </w:r>
          </w:p>
          <w:p w14:paraId="018C9ECF">
            <w:pPr>
              <w:spacing w:line="500" w:lineRule="exact"/>
              <w:ind w:firstLine="0"/>
              <w:rPr>
                <w:rFonts w:hint="default"/>
              </w:rPr>
            </w:pPr>
            <w:r>
              <w:rPr>
                <w:rFonts w:hint="default"/>
                <w:highlight w:val="none"/>
              </w:rPr>
              <w:t>（5）单位负责人为同一人或者存在控股、管理关系的不同单位，不得参加同一标段投标或者未划分标段的同一招标项目投标。</w:t>
            </w:r>
          </w:p>
          <w:p w14:paraId="19DBC22F">
            <w:pPr>
              <w:spacing w:line="500" w:lineRule="exact"/>
              <w:ind w:firstLine="0"/>
              <w:rPr>
                <w:highlight w:val="none"/>
              </w:rPr>
            </w:pPr>
          </w:p>
          <w:p w14:paraId="4828A31D">
            <w:pPr>
              <w:keepNext w:val="0"/>
              <w:keepLines w:val="0"/>
              <w:suppressLineNumbers w:val="0"/>
              <w:wordWrap w:val="0"/>
              <w:spacing w:before="0" w:beforeAutospacing="0" w:after="0" w:afterAutospacing="0" w:line="500" w:lineRule="exact"/>
              <w:ind w:left="0" w:right="0" w:firstLine="420"/>
              <w:rPr>
                <w:rFonts w:hint="default" w:ascii="Times New Roman" w:hAnsi="Times New Roman" w:eastAsia="华文宋体" w:cs="华文宋体"/>
                <w:b/>
                <w:bCs/>
                <w:spacing w:val="0"/>
                <w:sz w:val="21"/>
                <w:szCs w:val="21"/>
              </w:rPr>
            </w:pPr>
          </w:p>
          <w:p w14:paraId="64AB5DC0">
            <w:pPr>
              <w:keepNext w:val="0"/>
              <w:keepLines w:val="0"/>
              <w:suppressLineNumbers w:val="0"/>
              <w:wordWrap w:val="0"/>
              <w:spacing w:before="0" w:beforeAutospacing="0" w:after="0" w:afterAutospacing="0" w:line="500" w:lineRule="exact"/>
              <w:ind w:left="0" w:right="0" w:firstLine="301"/>
              <w:textAlignment w:val="baseline"/>
              <w:rPr>
                <w:rFonts w:hint="default" w:ascii="Times New Roman" w:hAnsi="Times New Roman" w:eastAsia="宋体"/>
                <w:color w:val="FF0000"/>
                <w:spacing w:val="0"/>
                <w:sz w:val="21"/>
                <w:szCs w:val="20"/>
              </w:rPr>
            </w:pPr>
            <w:r>
              <w:rPr>
                <w:rFonts w:hint="eastAsia" w:ascii="Times New Roman" w:hAnsi="Times New Roman" w:eastAsia="宋体"/>
                <w:b/>
                <w:bCs/>
                <w:color w:val="FF0000"/>
                <w:spacing w:val="0"/>
                <w:sz w:val="15"/>
                <w:szCs w:val="15"/>
              </w:rPr>
              <w:t>上述资格条件文件须</w:t>
            </w:r>
            <w:r>
              <w:rPr>
                <w:rFonts w:hint="default" w:ascii="Times New Roman" w:hAnsi="Times New Roman" w:eastAsia="宋体"/>
                <w:b/>
                <w:bCs/>
                <w:color w:val="FF0000"/>
                <w:spacing w:val="0"/>
                <w:sz w:val="15"/>
                <w:szCs w:val="15"/>
              </w:rPr>
              <w:t>加盖公章</w:t>
            </w:r>
            <w:r>
              <w:rPr>
                <w:rFonts w:hint="eastAsia" w:ascii="Times New Roman" w:hAnsi="Times New Roman" w:eastAsia="宋体"/>
                <w:b/>
                <w:bCs/>
                <w:color w:val="FF0000"/>
                <w:spacing w:val="0"/>
                <w:sz w:val="15"/>
                <w:szCs w:val="15"/>
              </w:rPr>
              <w:t>。</w:t>
            </w:r>
          </w:p>
        </w:tc>
      </w:tr>
    </w:tbl>
    <w:p w14:paraId="503AEF51">
      <w:pPr>
        <w:wordWrap w:val="0"/>
        <w:adjustRightInd/>
        <w:snapToGrid/>
        <w:spacing w:line="240" w:lineRule="auto"/>
        <w:ind w:firstLine="334" w:firstLineChars="185"/>
        <w:rPr>
          <w:rFonts w:ascii="Times New Roman" w:hAnsi="Times New Roman" w:eastAsia="宋体"/>
          <w:b/>
          <w:bCs/>
          <w:color w:val="FF0000"/>
          <w:spacing w:val="0"/>
          <w:sz w:val="18"/>
          <w:szCs w:val="18"/>
        </w:rPr>
      </w:pPr>
      <w:r>
        <w:rPr>
          <w:rFonts w:hint="eastAsia" w:ascii="Times New Roman" w:hAnsi="Times New Roman" w:eastAsia="宋体"/>
          <w:b/>
          <w:bCs/>
          <w:color w:val="FF0000"/>
          <w:spacing w:val="0"/>
          <w:sz w:val="18"/>
          <w:szCs w:val="18"/>
        </w:rPr>
        <w:br w:type="page"/>
      </w:r>
    </w:p>
    <w:tbl>
      <w:tblPr>
        <w:tblStyle w:val="20"/>
        <w:tblW w:w="91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Pr>
      <w:tblGrid>
        <w:gridCol w:w="9183"/>
      </w:tblGrid>
      <w:tr w14:paraId="4480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Ex>
        <w:trPr>
          <w:trHeight w:val="520" w:hRule="atLeast"/>
          <w:jc w:val="center"/>
        </w:trPr>
        <w:tc>
          <w:tcPr>
            <w:tcW w:w="9183" w:type="dxa"/>
            <w:tcBorders>
              <w:top w:val="single" w:color="auto" w:sz="4" w:space="0"/>
              <w:left w:val="nil"/>
              <w:bottom w:val="nil"/>
              <w:right w:val="nil"/>
            </w:tcBorders>
            <w:vAlign w:val="center"/>
          </w:tcPr>
          <w:p w14:paraId="3DD425C0">
            <w:pPr>
              <w:keepNext w:val="0"/>
              <w:keepLines w:val="0"/>
              <w:suppressLineNumbers w:val="0"/>
              <w:wordWrap w:val="0"/>
              <w:spacing w:before="0" w:beforeAutospacing="0" w:after="120" w:afterAutospacing="0" w:line="480" w:lineRule="auto"/>
              <w:ind w:left="480" w:leftChars="200" w:right="0" w:firstLine="420"/>
              <w:rPr>
                <w:rFonts w:hint="default" w:ascii="宋体" w:hAnsi="Times New Roman" w:eastAsia="宋体"/>
                <w:spacing w:val="0"/>
                <w:sz w:val="21"/>
                <w:szCs w:val="20"/>
              </w:rPr>
            </w:pPr>
          </w:p>
        </w:tc>
      </w:tr>
    </w:tbl>
    <w:p w14:paraId="186D6C60">
      <w:pPr>
        <w:keepNext/>
        <w:keepLines/>
        <w:widowControl w:val="0"/>
        <w:wordWrap w:val="0"/>
        <w:adjustRightInd w:val="0"/>
        <w:snapToGrid w:val="0"/>
        <w:spacing w:before="400" w:after="400" w:line="500" w:lineRule="exact"/>
        <w:ind w:firstLine="561" w:firstLineChars="200"/>
        <w:jc w:val="left"/>
        <w:textAlignment w:val="baseline"/>
        <w:outlineLvl w:val="2"/>
        <w:rPr>
          <w:rFonts w:ascii="Times New Roman" w:hAnsi="Times New Roman" w:eastAsia="华文宋体" w:cs="Times New Roman"/>
          <w:b/>
          <w:kern w:val="2"/>
          <w:sz w:val="28"/>
          <w:lang w:val="en-US" w:eastAsia="zh-CN" w:bidi="ar-SA"/>
        </w:rPr>
      </w:pPr>
      <w:bookmarkStart w:id="1878" w:name="_Toc5472"/>
      <w:bookmarkStart w:id="1879" w:name="_Toc15278"/>
      <w:bookmarkStart w:id="1880" w:name="_Toc32228"/>
      <w:bookmarkStart w:id="1881" w:name="_Toc17835"/>
      <w:bookmarkStart w:id="1882" w:name="_Toc27092"/>
      <w:bookmarkStart w:id="1883" w:name="_Toc25318"/>
      <w:bookmarkStart w:id="1884" w:name="_Toc3764"/>
      <w:bookmarkStart w:id="1885" w:name="_Toc28912"/>
      <w:bookmarkStart w:id="1886" w:name="_Toc13616"/>
      <w:bookmarkStart w:id="1887" w:name="_Toc9782"/>
      <w:bookmarkStart w:id="1888" w:name="_Toc32541"/>
      <w:bookmarkStart w:id="1889" w:name="_Toc6551"/>
      <w:bookmarkStart w:id="1890" w:name="_Toc10187"/>
      <w:bookmarkStart w:id="1891" w:name="_Toc21130"/>
      <w:bookmarkStart w:id="1892" w:name="_Toc18812"/>
      <w:r>
        <w:rPr>
          <w:rFonts w:hint="eastAsia" w:ascii="Times New Roman" w:hAnsi="Times New Roman" w:eastAsia="华文宋体" w:cs="Times New Roman"/>
          <w:b/>
          <w:kern w:val="2"/>
          <w:sz w:val="28"/>
          <w:lang w:val="en-US" w:eastAsia="zh-CN" w:bidi="ar-SA"/>
        </w:rPr>
        <w:t>6.资质要求</w:t>
      </w:r>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p>
    <w:p w14:paraId="2DD7AFB9">
      <w:pPr>
        <w:wordWrap w:val="0"/>
        <w:adjustRightInd/>
        <w:snapToGrid/>
        <w:spacing w:line="240" w:lineRule="auto"/>
        <w:ind w:firstLine="0" w:firstLineChars="0"/>
        <w:rPr>
          <w:rFonts w:hint="default"/>
          <w:highlight w:val="none"/>
        </w:rPr>
      </w:pPr>
      <w:r>
        <w:rPr>
          <w:rFonts w:hint="default"/>
          <w:highlight w:val="none"/>
        </w:rPr>
        <w:t>投标人必须是在中华人民共和国境内注册，具有合法经营资格的国内独立法人的企业，投标人应提供营业执照副本，营业期限应在有效期范围内；</w:t>
      </w:r>
    </w:p>
    <w:p w14:paraId="04502BE6">
      <w:pPr>
        <w:wordWrap w:val="0"/>
        <w:adjustRightInd/>
        <w:snapToGrid/>
        <w:spacing w:line="240" w:lineRule="auto"/>
        <w:ind w:firstLine="0" w:firstLineChars="0"/>
        <w:rPr>
          <w:rFonts w:ascii="Times New Roman" w:hAnsi="Times New Roman" w:eastAsia="宋体"/>
          <w:color w:val="FF0000"/>
          <w:spacing w:val="0"/>
          <w:sz w:val="21"/>
          <w:szCs w:val="24"/>
        </w:rPr>
      </w:pPr>
      <w:r>
        <w:rPr>
          <w:rFonts w:ascii="Times New Roman" w:hAnsi="Times New Roman" w:eastAsia="宋体"/>
          <w:color w:val="FF0000"/>
          <w:spacing w:val="0"/>
          <w:sz w:val="21"/>
          <w:szCs w:val="24"/>
        </w:rPr>
        <w:br w:type="page"/>
      </w:r>
    </w:p>
    <w:p w14:paraId="77526ACF">
      <w:pPr>
        <w:wordWrap w:val="0"/>
        <w:adjustRightInd/>
        <w:snapToGrid/>
        <w:spacing w:line="240" w:lineRule="auto"/>
        <w:ind w:firstLine="0" w:firstLineChars="0"/>
        <w:rPr>
          <w:rFonts w:ascii="宋体" w:hAnsi="Times New Roman" w:eastAsia="宋体"/>
          <w:spacing w:val="0"/>
          <w:sz w:val="21"/>
          <w:szCs w:val="20"/>
        </w:rPr>
      </w:pPr>
    </w:p>
    <w:p w14:paraId="32B16DEF">
      <w:pPr>
        <w:keepNext/>
        <w:keepLines/>
        <w:widowControl w:val="0"/>
        <w:wordWrap w:val="0"/>
        <w:adjustRightInd w:val="0"/>
        <w:snapToGrid w:val="0"/>
        <w:spacing w:before="400" w:after="400" w:line="500" w:lineRule="exact"/>
        <w:ind w:firstLine="561" w:firstLineChars="200"/>
        <w:jc w:val="left"/>
        <w:textAlignment w:val="baseline"/>
        <w:outlineLvl w:val="2"/>
        <w:rPr>
          <w:rFonts w:ascii="Times New Roman" w:hAnsi="Times New Roman" w:eastAsia="华文宋体" w:cs="Times New Roman"/>
          <w:b/>
          <w:kern w:val="2"/>
          <w:sz w:val="28"/>
          <w:lang w:val="en-US" w:eastAsia="zh-CN" w:bidi="ar-SA"/>
        </w:rPr>
      </w:pPr>
      <w:bookmarkStart w:id="1893" w:name="_Toc27631"/>
      <w:bookmarkStart w:id="1894" w:name="_Toc1319"/>
      <w:bookmarkStart w:id="1895" w:name="_Toc29629"/>
      <w:bookmarkStart w:id="1896" w:name="_Toc11303"/>
      <w:bookmarkStart w:id="1897" w:name="_Toc27839"/>
      <w:bookmarkStart w:id="1898" w:name="_Toc22265"/>
      <w:bookmarkStart w:id="1899" w:name="_Toc28706"/>
      <w:bookmarkStart w:id="1900" w:name="_Toc17238"/>
      <w:bookmarkStart w:id="1901" w:name="_Toc26684"/>
      <w:bookmarkStart w:id="1902" w:name="_Toc14097"/>
      <w:bookmarkStart w:id="1903" w:name="_Toc15941"/>
      <w:bookmarkStart w:id="1904" w:name="_Toc17916"/>
      <w:bookmarkStart w:id="1905" w:name="_Toc26211"/>
      <w:bookmarkStart w:id="1906" w:name="_Toc28403"/>
      <w:bookmarkStart w:id="1907" w:name="_Toc11512"/>
      <w:r>
        <w:rPr>
          <w:rFonts w:hint="eastAsia" w:ascii="Times New Roman" w:hAnsi="Times New Roman" w:eastAsia="华文宋体" w:cs="Times New Roman"/>
          <w:b/>
          <w:kern w:val="2"/>
          <w:sz w:val="28"/>
          <w:lang w:val="en-US" w:eastAsia="zh-CN" w:bidi="ar-SA"/>
        </w:rPr>
        <w:t>7.信誉要求</w:t>
      </w:r>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p>
    <w:p w14:paraId="59769277">
      <w:pPr>
        <w:wordWrap w:val="0"/>
        <w:spacing w:line="500" w:lineRule="exact"/>
        <w:ind w:firstLine="480"/>
        <w:rPr>
          <w:rFonts w:hint="default" w:ascii="Times New Roman" w:hAnsi="Times New Roman" w:cs="Times New Roman"/>
          <w:highlight w:val="none"/>
        </w:rPr>
      </w:pPr>
      <w:r>
        <w:rPr>
          <w:rFonts w:hint="default" w:ascii="Times New Roman" w:hAnsi="Times New Roman" w:cs="Times New Roman"/>
          <w:highlight w:val="none"/>
        </w:rPr>
        <w:t>投标人未列入发改委和人行“信用中国”网（www.creditchina.gov.cn）严重失信名单，提供信用报告（下载路径：登录网站-右上角信用信息输入公司名称-点击搜索-下载信用信息报告）；</w:t>
      </w:r>
    </w:p>
    <w:p w14:paraId="1680EE39">
      <w:pPr>
        <w:wordWrap w:val="0"/>
        <w:spacing w:line="500" w:lineRule="exact"/>
        <w:ind w:firstLine="480"/>
        <w:rPr>
          <w:rFonts w:ascii="Times New Roman" w:hAnsi="Times New Roman" w:eastAsia="华文宋体" w:cs="华文宋体"/>
          <w:spacing w:val="0"/>
          <w:sz w:val="24"/>
          <w:szCs w:val="24"/>
        </w:rPr>
      </w:pPr>
      <w:r>
        <w:rPr>
          <w:rFonts w:hint="eastAsia" w:ascii="Times New Roman" w:hAnsi="Times New Roman" w:eastAsia="华文宋体" w:cs="华文宋体"/>
          <w:spacing w:val="0"/>
          <w:sz w:val="24"/>
          <w:szCs w:val="24"/>
        </w:rPr>
        <w:br w:type="page"/>
      </w:r>
    </w:p>
    <w:p w14:paraId="754D54EE">
      <w:pPr>
        <w:keepNext/>
        <w:keepLines/>
        <w:widowControl w:val="0"/>
        <w:wordWrap w:val="0"/>
        <w:adjustRightInd w:val="0"/>
        <w:snapToGrid w:val="0"/>
        <w:spacing w:before="400" w:after="400" w:line="500" w:lineRule="exact"/>
        <w:ind w:firstLine="561" w:firstLineChars="200"/>
        <w:jc w:val="left"/>
        <w:textAlignment w:val="baseline"/>
        <w:outlineLvl w:val="2"/>
        <w:rPr>
          <w:rFonts w:ascii="Times New Roman" w:hAnsi="Times New Roman" w:eastAsia="华文宋体" w:cs="Times New Roman"/>
          <w:b/>
          <w:kern w:val="2"/>
          <w:sz w:val="28"/>
          <w:lang w:val="en-US" w:eastAsia="zh-CN" w:bidi="ar-SA"/>
        </w:rPr>
      </w:pPr>
      <w:bookmarkStart w:id="1908" w:name="_Toc10666"/>
      <w:bookmarkStart w:id="1909" w:name="_Toc3481"/>
      <w:bookmarkStart w:id="1910" w:name="_Toc3444"/>
      <w:bookmarkStart w:id="1911" w:name="_Toc28134"/>
      <w:bookmarkStart w:id="1912" w:name="_Toc23166"/>
      <w:bookmarkStart w:id="1913" w:name="_Toc26412"/>
      <w:bookmarkStart w:id="1914" w:name="_Toc10323"/>
      <w:bookmarkStart w:id="1915" w:name="_Toc27845"/>
      <w:bookmarkStart w:id="1916" w:name="_Toc925"/>
      <w:bookmarkStart w:id="1917" w:name="_Toc16790"/>
      <w:bookmarkStart w:id="1918" w:name="_Toc17957"/>
      <w:bookmarkStart w:id="1919" w:name="_Toc31252"/>
      <w:bookmarkStart w:id="1920" w:name="_Toc12920"/>
      <w:bookmarkStart w:id="1921" w:name="_Toc1620"/>
      <w:bookmarkStart w:id="1922" w:name="_Toc25161"/>
      <w:bookmarkStart w:id="1923" w:name="_Toc12742"/>
      <w:r>
        <w:rPr>
          <w:rFonts w:hint="eastAsia" w:ascii="Times New Roman" w:hAnsi="Times New Roman" w:eastAsia="华文宋体" w:cs="Times New Roman"/>
          <w:b/>
          <w:kern w:val="2"/>
          <w:sz w:val="28"/>
          <w:lang w:val="en-US" w:eastAsia="zh-CN" w:bidi="ar-SA"/>
        </w:rPr>
        <w:t>8.2023年至今业绩</w:t>
      </w:r>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p>
    <w:p w14:paraId="382BCF65">
      <w:pPr>
        <w:wordWrap w:val="0"/>
        <w:autoSpaceDE w:val="0"/>
        <w:autoSpaceDN w:val="0"/>
        <w:snapToGrid/>
        <w:spacing w:after="120" w:line="240" w:lineRule="auto"/>
        <w:ind w:firstLine="0" w:firstLineChars="0"/>
        <w:jc w:val="center"/>
        <w:rPr>
          <w:rFonts w:ascii="Times New Roman" w:hAnsi="Times New Roman" w:eastAsia="宋体"/>
          <w:spacing w:val="0"/>
          <w:kern w:val="0"/>
          <w:sz w:val="21"/>
          <w:szCs w:val="20"/>
        </w:rPr>
      </w:pPr>
      <w:r>
        <w:rPr>
          <w:rFonts w:ascii="Times New Roman" w:hAnsi="Times New Roman" w:eastAsia="宋体"/>
          <w:spacing w:val="0"/>
          <w:kern w:val="0"/>
          <w:sz w:val="21"/>
          <w:szCs w:val="20"/>
        </w:rPr>
        <w:t>汇总表</w:t>
      </w:r>
    </w:p>
    <w:tbl>
      <w:tblPr>
        <w:tblStyle w:val="20"/>
        <w:tblW w:w="83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2904"/>
        <w:gridCol w:w="1742"/>
        <w:gridCol w:w="1596"/>
        <w:gridCol w:w="1271"/>
      </w:tblGrid>
      <w:tr w14:paraId="3C84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vAlign w:val="center"/>
          </w:tcPr>
          <w:p w14:paraId="64BB729D">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spacing w:val="0"/>
                <w:sz w:val="21"/>
                <w:szCs w:val="20"/>
              </w:rPr>
            </w:pPr>
            <w:r>
              <w:rPr>
                <w:rFonts w:hint="default" w:ascii="Times New Roman" w:hAnsi="Times New Roman" w:eastAsia="宋体"/>
                <w:spacing w:val="0"/>
                <w:sz w:val="21"/>
                <w:szCs w:val="20"/>
              </w:rPr>
              <w:t>序 号</w:t>
            </w:r>
          </w:p>
        </w:tc>
        <w:tc>
          <w:tcPr>
            <w:tcW w:w="2904" w:type="dxa"/>
            <w:vAlign w:val="center"/>
          </w:tcPr>
          <w:p w14:paraId="5F09AF41">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spacing w:val="0"/>
                <w:sz w:val="21"/>
                <w:szCs w:val="20"/>
              </w:rPr>
              <w:t>项目名称</w:t>
            </w:r>
          </w:p>
        </w:tc>
        <w:tc>
          <w:tcPr>
            <w:tcW w:w="1742" w:type="dxa"/>
            <w:vAlign w:val="center"/>
          </w:tcPr>
          <w:p w14:paraId="59365092">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spacing w:val="0"/>
                <w:sz w:val="21"/>
                <w:szCs w:val="20"/>
              </w:rPr>
              <w:t>采购人名称</w:t>
            </w:r>
          </w:p>
        </w:tc>
        <w:tc>
          <w:tcPr>
            <w:tcW w:w="1596" w:type="dxa"/>
            <w:vAlign w:val="center"/>
          </w:tcPr>
          <w:p w14:paraId="2B30C713">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spacing w:val="0"/>
                <w:sz w:val="21"/>
                <w:szCs w:val="20"/>
              </w:rPr>
              <w:t>签约日期</w:t>
            </w:r>
          </w:p>
        </w:tc>
        <w:tc>
          <w:tcPr>
            <w:tcW w:w="1271" w:type="dxa"/>
            <w:vAlign w:val="center"/>
          </w:tcPr>
          <w:p w14:paraId="3436E626">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spacing w:val="0"/>
                <w:sz w:val="21"/>
                <w:szCs w:val="20"/>
              </w:rPr>
            </w:pPr>
            <w:r>
              <w:rPr>
                <w:rFonts w:hint="default" w:ascii="Times New Roman" w:hAnsi="Times New Roman" w:eastAsia="宋体"/>
                <w:spacing w:val="0"/>
                <w:sz w:val="21"/>
                <w:szCs w:val="20"/>
              </w:rPr>
              <w:t>合同或</w:t>
            </w:r>
          </w:p>
          <w:p w14:paraId="08360F44">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r>
              <w:rPr>
                <w:rFonts w:hint="default" w:ascii="Times New Roman" w:hAnsi="Times New Roman" w:eastAsia="宋体"/>
                <w:spacing w:val="0"/>
                <w:sz w:val="21"/>
                <w:szCs w:val="20"/>
              </w:rPr>
              <w:t>结算金额</w:t>
            </w:r>
          </w:p>
        </w:tc>
      </w:tr>
      <w:tr w14:paraId="5B31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870" w:type="dxa"/>
            <w:vAlign w:val="center"/>
          </w:tcPr>
          <w:p w14:paraId="35CB3242">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spacing w:val="0"/>
                <w:sz w:val="21"/>
                <w:szCs w:val="20"/>
              </w:rPr>
            </w:pPr>
            <w:r>
              <w:rPr>
                <w:rFonts w:hint="default" w:ascii="Times New Roman" w:hAnsi="Times New Roman" w:eastAsia="宋体"/>
                <w:spacing w:val="0"/>
                <w:sz w:val="21"/>
                <w:szCs w:val="20"/>
              </w:rPr>
              <w:t>1</w:t>
            </w:r>
          </w:p>
        </w:tc>
        <w:tc>
          <w:tcPr>
            <w:tcW w:w="2904" w:type="dxa"/>
            <w:vAlign w:val="center"/>
          </w:tcPr>
          <w:p w14:paraId="249CB7D0">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742" w:type="dxa"/>
            <w:vAlign w:val="center"/>
          </w:tcPr>
          <w:p w14:paraId="583347A2">
            <w:pPr>
              <w:keepNext w:val="0"/>
              <w:keepLines w:val="0"/>
              <w:suppressLineNumbers w:val="0"/>
              <w:tabs>
                <w:tab w:val="right" w:leader="dot" w:pos="9600"/>
              </w:tabs>
              <w:wordWrap w:val="0"/>
              <w:spacing w:before="0" w:beforeAutospacing="0" w:after="0" w:afterAutospacing="0" w:line="500" w:lineRule="exact"/>
              <w:ind w:left="2520" w:right="0" w:firstLine="420"/>
              <w:jc w:val="center"/>
              <w:rPr>
                <w:rFonts w:hint="default" w:ascii="Times New Roman" w:hAnsi="Times New Roman" w:eastAsia="宋体"/>
                <w:spacing w:val="0"/>
                <w:sz w:val="21"/>
                <w:szCs w:val="21"/>
              </w:rPr>
            </w:pPr>
            <w:r>
              <w:rPr>
                <w:rFonts w:hint="default" w:ascii="Times New Roman" w:hAnsi="Times New Roman" w:eastAsia="宋体"/>
                <w:spacing w:val="0"/>
                <w:sz w:val="21"/>
                <w:szCs w:val="21"/>
              </w:rPr>
              <w:t>·</w:t>
            </w:r>
          </w:p>
        </w:tc>
        <w:tc>
          <w:tcPr>
            <w:tcW w:w="1596" w:type="dxa"/>
            <w:vAlign w:val="center"/>
          </w:tcPr>
          <w:p w14:paraId="2CEEFE06">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271" w:type="dxa"/>
            <w:vAlign w:val="center"/>
          </w:tcPr>
          <w:p w14:paraId="5BEF56B6">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1980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870" w:type="dxa"/>
            <w:vAlign w:val="center"/>
          </w:tcPr>
          <w:p w14:paraId="396C1E69">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spacing w:val="0"/>
                <w:sz w:val="21"/>
                <w:szCs w:val="20"/>
              </w:rPr>
            </w:pPr>
            <w:r>
              <w:rPr>
                <w:rFonts w:hint="default" w:ascii="Times New Roman" w:hAnsi="Times New Roman" w:eastAsia="宋体"/>
                <w:spacing w:val="0"/>
                <w:sz w:val="21"/>
                <w:szCs w:val="20"/>
              </w:rPr>
              <w:t>2</w:t>
            </w:r>
          </w:p>
        </w:tc>
        <w:tc>
          <w:tcPr>
            <w:tcW w:w="2904" w:type="dxa"/>
            <w:vAlign w:val="center"/>
          </w:tcPr>
          <w:p w14:paraId="09EF6396">
            <w:pPr>
              <w:keepNext w:val="0"/>
              <w:keepLines w:val="0"/>
              <w:suppressLineNumbers w:val="0"/>
              <w:tabs>
                <w:tab w:val="right" w:leader="dot" w:pos="9600"/>
              </w:tabs>
              <w:wordWrap w:val="0"/>
              <w:spacing w:before="0" w:beforeAutospacing="0" w:after="0" w:afterAutospacing="0" w:line="500" w:lineRule="exact"/>
              <w:ind w:left="2520" w:right="0" w:firstLine="420"/>
              <w:jc w:val="center"/>
              <w:rPr>
                <w:rFonts w:hint="default" w:ascii="Times New Roman" w:hAnsi="Times New Roman" w:eastAsia="宋体"/>
                <w:spacing w:val="0"/>
                <w:sz w:val="21"/>
                <w:szCs w:val="21"/>
              </w:rPr>
            </w:pPr>
          </w:p>
        </w:tc>
        <w:tc>
          <w:tcPr>
            <w:tcW w:w="1742" w:type="dxa"/>
            <w:vAlign w:val="center"/>
          </w:tcPr>
          <w:p w14:paraId="76B67CBE">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96" w:type="dxa"/>
            <w:vAlign w:val="center"/>
          </w:tcPr>
          <w:p w14:paraId="081640C2">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271" w:type="dxa"/>
            <w:vAlign w:val="center"/>
          </w:tcPr>
          <w:p w14:paraId="719592B8">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r w14:paraId="6A09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870" w:type="dxa"/>
            <w:vAlign w:val="center"/>
          </w:tcPr>
          <w:p w14:paraId="41739429">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spacing w:val="0"/>
                <w:sz w:val="21"/>
                <w:szCs w:val="20"/>
              </w:rPr>
            </w:pPr>
            <w:r>
              <w:rPr>
                <w:rFonts w:hint="default" w:ascii="Times New Roman" w:hAnsi="Times New Roman" w:eastAsia="宋体"/>
                <w:spacing w:val="0"/>
                <w:sz w:val="21"/>
                <w:szCs w:val="20"/>
              </w:rPr>
              <w:t>3</w:t>
            </w:r>
          </w:p>
        </w:tc>
        <w:tc>
          <w:tcPr>
            <w:tcW w:w="2904" w:type="dxa"/>
            <w:vAlign w:val="center"/>
          </w:tcPr>
          <w:p w14:paraId="6CDDE58D">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742" w:type="dxa"/>
            <w:vAlign w:val="center"/>
          </w:tcPr>
          <w:p w14:paraId="7EBBAFF6">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596" w:type="dxa"/>
            <w:vAlign w:val="center"/>
          </w:tcPr>
          <w:p w14:paraId="2465C2A0">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c>
          <w:tcPr>
            <w:tcW w:w="1271" w:type="dxa"/>
            <w:vAlign w:val="center"/>
          </w:tcPr>
          <w:p w14:paraId="6D8F0973">
            <w:pPr>
              <w:keepNext w:val="0"/>
              <w:keepLines w:val="0"/>
              <w:suppressLineNumbers w:val="0"/>
              <w:wordWrap w:val="0"/>
              <w:adjustRightInd/>
              <w:snapToGrid/>
              <w:spacing w:before="0" w:beforeAutospacing="0" w:after="0" w:afterAutospacing="0" w:line="240" w:lineRule="auto"/>
              <w:ind w:left="0" w:right="0" w:firstLine="0" w:firstLineChars="0"/>
              <w:jc w:val="center"/>
              <w:rPr>
                <w:rFonts w:hint="default" w:ascii="Times New Roman" w:hAnsi="Times New Roman" w:eastAsia="宋体"/>
                <w:b/>
                <w:spacing w:val="0"/>
                <w:sz w:val="21"/>
                <w:szCs w:val="20"/>
              </w:rPr>
            </w:pPr>
          </w:p>
        </w:tc>
      </w:tr>
    </w:tbl>
    <w:p w14:paraId="3199EA58">
      <w:pPr>
        <w:wordWrap w:val="0"/>
        <w:autoSpaceDE w:val="0"/>
        <w:autoSpaceDN w:val="0"/>
        <w:snapToGrid/>
        <w:spacing w:after="120" w:line="240" w:lineRule="auto"/>
        <w:ind w:firstLine="0" w:firstLineChars="0"/>
        <w:jc w:val="center"/>
        <w:rPr>
          <w:rFonts w:ascii="Times New Roman" w:hAnsi="Times New Roman" w:eastAsia="宋体"/>
          <w:spacing w:val="0"/>
          <w:kern w:val="0"/>
          <w:sz w:val="21"/>
          <w:szCs w:val="20"/>
        </w:rPr>
      </w:pPr>
    </w:p>
    <w:p w14:paraId="24B5E17C">
      <w:pPr>
        <w:wordWrap w:val="0"/>
        <w:autoSpaceDE w:val="0"/>
        <w:autoSpaceDN w:val="0"/>
        <w:snapToGrid/>
        <w:spacing w:after="120" w:line="440" w:lineRule="exact"/>
        <w:ind w:firstLine="560" w:firstLineChars="0"/>
        <w:rPr>
          <w:rFonts w:hint="eastAsia" w:ascii="Times New Roman" w:hAnsi="Times New Roman" w:eastAsia="宋体"/>
          <w:spacing w:val="0"/>
          <w:kern w:val="0"/>
          <w:sz w:val="21"/>
          <w:szCs w:val="20"/>
        </w:rPr>
      </w:pPr>
      <w:r>
        <w:rPr>
          <w:rFonts w:ascii="Times New Roman" w:hAnsi="Times New Roman" w:eastAsia="宋体"/>
          <w:spacing w:val="0"/>
          <w:kern w:val="0"/>
          <w:sz w:val="21"/>
          <w:szCs w:val="20"/>
        </w:rPr>
        <w:t xml:space="preserve">注：1. </w:t>
      </w:r>
      <w:r>
        <w:rPr>
          <w:rFonts w:hint="eastAsia" w:ascii="Times New Roman" w:hAnsi="Times New Roman" w:eastAsia="宋体"/>
          <w:b/>
          <w:spacing w:val="0"/>
          <w:kern w:val="0"/>
          <w:sz w:val="21"/>
          <w:szCs w:val="20"/>
        </w:rPr>
        <w:t>业绩是指</w:t>
      </w:r>
      <w:r>
        <w:rPr>
          <w:rFonts w:hint="eastAsia" w:ascii="Times New Roman" w:hAnsi="Times New Roman" w:eastAsia="宋体"/>
          <w:b/>
          <w:bCs/>
          <w:spacing w:val="0"/>
          <w:kern w:val="0"/>
          <w:sz w:val="21"/>
          <w:szCs w:val="20"/>
        </w:rPr>
        <w:t>自</w:t>
      </w:r>
      <w:r>
        <w:rPr>
          <w:rFonts w:ascii="Times New Roman" w:hAnsi="Times New Roman" w:eastAsia="宋体"/>
          <w:b/>
          <w:bCs/>
          <w:spacing w:val="0"/>
          <w:kern w:val="0"/>
          <w:sz w:val="21"/>
          <w:szCs w:val="20"/>
        </w:rPr>
        <w:t>202</w:t>
      </w:r>
      <w:r>
        <w:rPr>
          <w:rFonts w:hint="eastAsia" w:ascii="Times New Roman" w:hAnsi="Times New Roman" w:eastAsia="宋体"/>
          <w:b/>
          <w:bCs/>
          <w:spacing w:val="0"/>
          <w:kern w:val="0"/>
          <w:sz w:val="21"/>
          <w:szCs w:val="20"/>
          <w:lang w:val="en-US" w:eastAsia="zh-CN"/>
        </w:rPr>
        <w:t>3年至今</w:t>
      </w:r>
      <w:r>
        <w:rPr>
          <w:rFonts w:hint="eastAsia" w:ascii="Times New Roman" w:hAnsi="Times New Roman" w:eastAsia="宋体"/>
          <w:b/>
          <w:bCs/>
          <w:spacing w:val="0"/>
          <w:kern w:val="0"/>
          <w:sz w:val="21"/>
          <w:szCs w:val="20"/>
        </w:rPr>
        <w:t>业绩。</w:t>
      </w:r>
      <w:r>
        <w:rPr>
          <w:rFonts w:hint="eastAsia" w:ascii="Times New Roman" w:hAnsi="Times New Roman" w:eastAsia="宋体"/>
          <w:spacing w:val="0"/>
          <w:kern w:val="0"/>
          <w:sz w:val="21"/>
          <w:szCs w:val="20"/>
        </w:rPr>
        <w:t>提供自2023年1月1日至投标截止之日（以合同签订时间为准）已完工的至少1份“三维研发类产品配置管理系统有效业绩”；该有效业绩是指合同内容包含三维研发类产品配置管理系统的实施、二次开发、系统集成或运维服务，且能体现与三维研发设计平台（如三维CAD/PLM等）进行数据集成或二次开发内容的项目业绩。证明材料须提供合同关键页扫描件（含甲乙双方签章、签约日期、采购标的及服务内容）及发票、项目竣工验收单或甲方使用证明任选其一作为配套佐证材料；业绩主体须为投标人本身，材料须加盖投标人公章，否则不予认可。</w:t>
      </w:r>
    </w:p>
    <w:p w14:paraId="43662295">
      <w:pPr>
        <w:wordWrap w:val="0"/>
        <w:autoSpaceDE w:val="0"/>
        <w:autoSpaceDN w:val="0"/>
        <w:snapToGrid/>
        <w:spacing w:after="120" w:line="440" w:lineRule="exact"/>
        <w:ind w:firstLine="560" w:firstLineChars="0"/>
        <w:rPr>
          <w:rFonts w:ascii="Times New Roman" w:hAnsi="Times New Roman" w:eastAsia="宋体"/>
          <w:spacing w:val="0"/>
          <w:kern w:val="0"/>
          <w:sz w:val="21"/>
          <w:szCs w:val="20"/>
        </w:rPr>
      </w:pPr>
      <w:r>
        <w:rPr>
          <w:rFonts w:ascii="Times New Roman" w:hAnsi="Times New Roman" w:eastAsia="宋体"/>
          <w:spacing w:val="0"/>
          <w:kern w:val="0"/>
          <w:sz w:val="21"/>
          <w:szCs w:val="20"/>
        </w:rPr>
        <w:t>2. 上述合同关键页（至少</w:t>
      </w:r>
      <w:r>
        <w:rPr>
          <w:rFonts w:hint="eastAsia" w:ascii="Times New Roman" w:hAnsi="Times New Roman" w:eastAsia="宋体"/>
          <w:spacing w:val="0"/>
          <w:kern w:val="0"/>
          <w:sz w:val="21"/>
          <w:szCs w:val="20"/>
        </w:rPr>
        <w:t>包括合同或协议的盖章页、合同范围内容、实施时间、合同金额等实质性内容页</w:t>
      </w:r>
      <w:r>
        <w:rPr>
          <w:rFonts w:ascii="Times New Roman" w:hAnsi="Times New Roman" w:eastAsia="宋体"/>
          <w:spacing w:val="0"/>
          <w:kern w:val="0"/>
          <w:sz w:val="21"/>
          <w:szCs w:val="20"/>
        </w:rPr>
        <w:t>）。如近年来，投标人法人机构发生合法变更或重组或法人名称变更时，应提供相关部门的合法批件或其他相关证明材料来证明其所附业绩的继承性。</w:t>
      </w:r>
    </w:p>
    <w:p w14:paraId="6E3A26D7">
      <w:pPr>
        <w:wordWrap w:val="0"/>
        <w:autoSpaceDE w:val="0"/>
        <w:autoSpaceDN w:val="0"/>
        <w:snapToGrid/>
        <w:spacing w:after="120" w:line="440" w:lineRule="exact"/>
        <w:ind w:firstLine="560" w:firstLineChars="0"/>
        <w:rPr>
          <w:rFonts w:ascii="Times New Roman" w:hAnsi="Times New Roman" w:eastAsia="宋体"/>
          <w:spacing w:val="0"/>
          <w:kern w:val="0"/>
          <w:sz w:val="21"/>
          <w:szCs w:val="20"/>
        </w:rPr>
      </w:pPr>
      <w:r>
        <w:rPr>
          <w:rFonts w:ascii="Times New Roman" w:hAnsi="Times New Roman" w:eastAsia="宋体"/>
          <w:spacing w:val="0"/>
          <w:kern w:val="0"/>
          <w:sz w:val="21"/>
          <w:szCs w:val="20"/>
        </w:rPr>
        <w:t>3. 表格行数可根据需要进行增减。</w:t>
      </w:r>
    </w:p>
    <w:p w14:paraId="38A8CF20">
      <w:pPr>
        <w:wordWrap w:val="0"/>
        <w:autoSpaceDE w:val="0"/>
        <w:autoSpaceDN w:val="0"/>
        <w:snapToGrid/>
        <w:spacing w:after="120" w:line="440" w:lineRule="exact"/>
        <w:ind w:firstLine="560" w:firstLineChars="0"/>
        <w:rPr>
          <w:rFonts w:ascii="Times New Roman" w:hAnsi="Times New Roman" w:eastAsia="宋体"/>
          <w:spacing w:val="0"/>
          <w:kern w:val="0"/>
          <w:sz w:val="21"/>
          <w:szCs w:val="20"/>
        </w:rPr>
      </w:pPr>
    </w:p>
    <w:p w14:paraId="0C402E79">
      <w:pPr>
        <w:pStyle w:val="9"/>
        <w:rPr>
          <w:rFonts w:ascii="Times New Roman" w:hAnsi="Times New Roman" w:eastAsia="宋体"/>
          <w:spacing w:val="0"/>
          <w:kern w:val="0"/>
          <w:sz w:val="21"/>
          <w:szCs w:val="20"/>
        </w:rPr>
      </w:pPr>
    </w:p>
    <w:p w14:paraId="3BFBAD0C">
      <w:pPr>
        <w:pStyle w:val="9"/>
        <w:rPr>
          <w:rFonts w:ascii="Times New Roman" w:hAnsi="Times New Roman" w:eastAsia="宋体"/>
          <w:spacing w:val="0"/>
          <w:kern w:val="0"/>
          <w:sz w:val="21"/>
          <w:szCs w:val="20"/>
        </w:rPr>
      </w:pPr>
    </w:p>
    <w:p w14:paraId="7E0A005D">
      <w:pPr>
        <w:wordWrap w:val="0"/>
        <w:autoSpaceDE w:val="0"/>
        <w:autoSpaceDN w:val="0"/>
        <w:snapToGrid/>
        <w:spacing w:after="120" w:line="440" w:lineRule="exact"/>
        <w:ind w:firstLine="560" w:firstLineChars="0"/>
        <w:rPr>
          <w:rFonts w:ascii="Times New Roman" w:hAnsi="Times New Roman" w:eastAsia="宋体"/>
          <w:spacing w:val="0"/>
          <w:kern w:val="0"/>
          <w:sz w:val="21"/>
          <w:szCs w:val="20"/>
        </w:rPr>
      </w:pPr>
      <w:r>
        <w:rPr>
          <w:rFonts w:ascii="Times New Roman" w:hAnsi="Times New Roman" w:eastAsia="宋体"/>
          <w:spacing w:val="0"/>
          <w:kern w:val="0"/>
          <w:sz w:val="21"/>
          <w:szCs w:val="20"/>
        </w:rPr>
        <w:t>投标人：</w:t>
      </w:r>
      <w:r>
        <w:rPr>
          <w:rFonts w:ascii="Times New Roman" w:hAnsi="Times New Roman" w:eastAsia="宋体"/>
          <w:spacing w:val="0"/>
          <w:kern w:val="0"/>
          <w:sz w:val="21"/>
          <w:szCs w:val="20"/>
          <w:u w:val="single"/>
        </w:rPr>
        <w:t xml:space="preserve">                                            </w:t>
      </w:r>
      <w:r>
        <w:rPr>
          <w:rFonts w:ascii="Times New Roman" w:hAnsi="Times New Roman" w:eastAsia="宋体"/>
          <w:spacing w:val="0"/>
          <w:kern w:val="0"/>
          <w:sz w:val="21"/>
          <w:szCs w:val="20"/>
        </w:rPr>
        <w:t xml:space="preserve"> (全称、盖章)</w:t>
      </w:r>
    </w:p>
    <w:p w14:paraId="5B9008B9">
      <w:pPr>
        <w:wordWrap w:val="0"/>
        <w:autoSpaceDE w:val="0"/>
        <w:autoSpaceDN w:val="0"/>
        <w:snapToGrid/>
        <w:spacing w:after="120" w:line="440" w:lineRule="exact"/>
        <w:ind w:firstLine="1102" w:firstLineChars="525"/>
        <w:rPr>
          <w:rFonts w:ascii="Times New Roman" w:hAnsi="Times New Roman" w:eastAsia="宋体"/>
          <w:spacing w:val="0"/>
          <w:kern w:val="0"/>
          <w:sz w:val="21"/>
          <w:szCs w:val="20"/>
        </w:rPr>
      </w:pPr>
      <w:r>
        <w:rPr>
          <w:rFonts w:ascii="Times New Roman" w:hAnsi="Times New Roman" w:eastAsia="宋体"/>
          <w:spacing w:val="0"/>
          <w:kern w:val="0"/>
          <w:sz w:val="21"/>
          <w:szCs w:val="20"/>
        </w:rPr>
        <w:t>法定代表人或委托代理人：</w:t>
      </w:r>
      <w:r>
        <w:rPr>
          <w:rFonts w:ascii="Times New Roman" w:hAnsi="Times New Roman" w:eastAsia="宋体"/>
          <w:spacing w:val="0"/>
          <w:kern w:val="0"/>
          <w:sz w:val="21"/>
          <w:szCs w:val="20"/>
          <w:u w:val="single"/>
        </w:rPr>
        <w:t xml:space="preserve">                            </w:t>
      </w:r>
      <w:r>
        <w:rPr>
          <w:rFonts w:ascii="Times New Roman" w:hAnsi="Times New Roman" w:eastAsia="宋体"/>
          <w:spacing w:val="0"/>
          <w:kern w:val="0"/>
          <w:sz w:val="21"/>
          <w:szCs w:val="20"/>
        </w:rPr>
        <w:t xml:space="preserve"> (签字或签章)</w:t>
      </w:r>
    </w:p>
    <w:p w14:paraId="67A9B72A">
      <w:pPr>
        <w:wordWrap w:val="0"/>
        <w:autoSpaceDE w:val="0"/>
        <w:autoSpaceDN w:val="0"/>
        <w:snapToGrid/>
        <w:spacing w:after="120" w:line="300" w:lineRule="exact"/>
        <w:ind w:firstLine="1102" w:firstLineChars="525"/>
        <w:rPr>
          <w:rFonts w:ascii="Times New Roman" w:hAnsi="Times New Roman" w:eastAsia="宋体"/>
          <w:spacing w:val="0"/>
          <w:kern w:val="0"/>
          <w:sz w:val="21"/>
          <w:szCs w:val="20"/>
        </w:rPr>
      </w:pPr>
      <w:r>
        <w:rPr>
          <w:rFonts w:ascii="Times New Roman" w:hAnsi="Times New Roman" w:eastAsia="宋体"/>
          <w:spacing w:val="0"/>
          <w:kern w:val="0"/>
          <w:sz w:val="21"/>
          <w:szCs w:val="20"/>
        </w:rPr>
        <w:t xml:space="preserve">                日  期：</w:t>
      </w:r>
      <w:r>
        <w:rPr>
          <w:rFonts w:ascii="Times New Roman" w:hAnsi="Times New Roman" w:eastAsia="宋体"/>
          <w:spacing w:val="0"/>
          <w:kern w:val="0"/>
          <w:sz w:val="21"/>
          <w:szCs w:val="20"/>
          <w:u w:val="single"/>
        </w:rPr>
        <w:t xml:space="preserve">      </w:t>
      </w:r>
      <w:r>
        <w:rPr>
          <w:rFonts w:ascii="Times New Roman" w:hAnsi="Times New Roman" w:eastAsia="宋体"/>
          <w:spacing w:val="0"/>
          <w:kern w:val="0"/>
          <w:sz w:val="21"/>
          <w:szCs w:val="20"/>
        </w:rPr>
        <w:t>年</w:t>
      </w:r>
      <w:r>
        <w:rPr>
          <w:rFonts w:ascii="Times New Roman" w:hAnsi="Times New Roman" w:eastAsia="宋体"/>
          <w:spacing w:val="0"/>
          <w:kern w:val="0"/>
          <w:sz w:val="21"/>
          <w:szCs w:val="20"/>
          <w:u w:val="single"/>
        </w:rPr>
        <w:t xml:space="preserve">    </w:t>
      </w:r>
      <w:r>
        <w:rPr>
          <w:rFonts w:ascii="Times New Roman" w:hAnsi="Times New Roman" w:eastAsia="宋体"/>
          <w:spacing w:val="0"/>
          <w:kern w:val="0"/>
          <w:sz w:val="21"/>
          <w:szCs w:val="20"/>
        </w:rPr>
        <w:t>月</w:t>
      </w:r>
      <w:r>
        <w:rPr>
          <w:rFonts w:ascii="Times New Roman" w:hAnsi="Times New Roman" w:eastAsia="宋体"/>
          <w:spacing w:val="0"/>
          <w:kern w:val="0"/>
          <w:sz w:val="21"/>
          <w:szCs w:val="20"/>
          <w:u w:val="single"/>
        </w:rPr>
        <w:t xml:space="preserve">    </w:t>
      </w:r>
      <w:r>
        <w:rPr>
          <w:rFonts w:ascii="Times New Roman" w:hAnsi="Times New Roman" w:eastAsia="宋体"/>
          <w:spacing w:val="0"/>
          <w:kern w:val="0"/>
          <w:sz w:val="21"/>
          <w:szCs w:val="20"/>
        </w:rPr>
        <w:t>日</w:t>
      </w:r>
    </w:p>
    <w:p w14:paraId="4698634C">
      <w:pPr>
        <w:wordWrap w:val="0"/>
        <w:autoSpaceDE w:val="0"/>
        <w:autoSpaceDN w:val="0"/>
        <w:snapToGrid/>
        <w:spacing w:after="120" w:line="240" w:lineRule="auto"/>
        <w:ind w:firstLine="420" w:firstLineChars="0"/>
        <w:rPr>
          <w:rFonts w:ascii="Times New Roman" w:hAnsi="Times New Roman" w:eastAsia="宋体"/>
          <w:color w:val="FF0000"/>
          <w:spacing w:val="0"/>
          <w:kern w:val="0"/>
          <w:sz w:val="21"/>
          <w:szCs w:val="22"/>
        </w:rPr>
      </w:pPr>
    </w:p>
    <w:p w14:paraId="3305636D">
      <w:pPr>
        <w:rPr>
          <w:rFonts w:ascii="Times New Roman" w:hAnsi="Times New Roman" w:eastAsia="宋体"/>
          <w:color w:val="FF0000"/>
          <w:spacing w:val="0"/>
          <w:kern w:val="0"/>
          <w:sz w:val="21"/>
          <w:szCs w:val="20"/>
        </w:rPr>
      </w:pPr>
      <w:r>
        <w:rPr>
          <w:rFonts w:ascii="Times New Roman" w:hAnsi="Times New Roman" w:eastAsia="宋体"/>
          <w:color w:val="FF0000"/>
          <w:spacing w:val="0"/>
          <w:kern w:val="0"/>
          <w:sz w:val="21"/>
          <w:szCs w:val="20"/>
        </w:rPr>
        <w:br w:type="page"/>
      </w:r>
    </w:p>
    <w:p w14:paraId="1B49B8BC">
      <w:pPr>
        <w:wordWrap w:val="0"/>
        <w:autoSpaceDE w:val="0"/>
        <w:autoSpaceDN w:val="0"/>
        <w:snapToGrid/>
        <w:spacing w:after="120" w:line="240" w:lineRule="auto"/>
        <w:ind w:firstLine="0" w:firstLineChars="0"/>
        <w:jc w:val="center"/>
        <w:rPr>
          <w:rFonts w:ascii="Times New Roman" w:hAnsi="Times New Roman" w:eastAsia="宋体"/>
          <w:spacing w:val="0"/>
          <w:kern w:val="0"/>
          <w:sz w:val="21"/>
          <w:szCs w:val="20"/>
        </w:rPr>
      </w:pPr>
      <w:r>
        <w:rPr>
          <w:rFonts w:ascii="Times New Roman" w:hAnsi="Times New Roman" w:eastAsia="宋体"/>
          <w:spacing w:val="0"/>
          <w:kern w:val="0"/>
          <w:sz w:val="21"/>
          <w:szCs w:val="20"/>
        </w:rPr>
        <w:t>业绩一</w:t>
      </w:r>
    </w:p>
    <w:tbl>
      <w:tblPr>
        <w:tblStyle w:val="20"/>
        <w:tblW w:w="90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824"/>
      </w:tblGrid>
      <w:tr w14:paraId="388C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18635B46">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default" w:ascii="Times New Roman" w:hAnsi="Times New Roman" w:eastAsia="宋体"/>
                <w:spacing w:val="0"/>
                <w:sz w:val="21"/>
                <w:szCs w:val="20"/>
              </w:rPr>
              <w:t>项目名称</w:t>
            </w:r>
          </w:p>
        </w:tc>
        <w:tc>
          <w:tcPr>
            <w:tcW w:w="6824" w:type="dxa"/>
            <w:vAlign w:val="center"/>
          </w:tcPr>
          <w:p w14:paraId="50C30B59">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r w14:paraId="7CB5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6FB3828B">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default" w:ascii="Times New Roman" w:hAnsi="Times New Roman" w:eastAsia="宋体"/>
                <w:spacing w:val="0"/>
                <w:sz w:val="21"/>
                <w:szCs w:val="20"/>
              </w:rPr>
              <w:t>采购人名称</w:t>
            </w:r>
          </w:p>
        </w:tc>
        <w:tc>
          <w:tcPr>
            <w:tcW w:w="6824" w:type="dxa"/>
            <w:vAlign w:val="center"/>
          </w:tcPr>
          <w:p w14:paraId="3B43EDE0">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r w14:paraId="5FF3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2ECCD6FE">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default" w:ascii="Times New Roman" w:hAnsi="Times New Roman" w:eastAsia="宋体"/>
                <w:spacing w:val="0"/>
                <w:sz w:val="21"/>
                <w:szCs w:val="20"/>
              </w:rPr>
              <w:t>采购人地址</w:t>
            </w:r>
          </w:p>
        </w:tc>
        <w:tc>
          <w:tcPr>
            <w:tcW w:w="6824" w:type="dxa"/>
            <w:vAlign w:val="center"/>
          </w:tcPr>
          <w:p w14:paraId="7521C623">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r w14:paraId="4AF5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6AD7F865">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default" w:ascii="Times New Roman" w:hAnsi="Times New Roman" w:eastAsia="宋体"/>
                <w:spacing w:val="0"/>
                <w:sz w:val="21"/>
                <w:szCs w:val="20"/>
              </w:rPr>
              <w:t>采购人联系人及电话</w:t>
            </w:r>
          </w:p>
        </w:tc>
        <w:tc>
          <w:tcPr>
            <w:tcW w:w="6824" w:type="dxa"/>
            <w:vAlign w:val="center"/>
          </w:tcPr>
          <w:p w14:paraId="0016633A">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r w14:paraId="0DCC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4CB24F0C">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default" w:ascii="Times New Roman" w:hAnsi="Times New Roman" w:eastAsia="宋体"/>
                <w:spacing w:val="0"/>
                <w:sz w:val="21"/>
                <w:szCs w:val="20"/>
              </w:rPr>
              <w:t>签约日期</w:t>
            </w:r>
          </w:p>
        </w:tc>
        <w:tc>
          <w:tcPr>
            <w:tcW w:w="6824" w:type="dxa"/>
            <w:vAlign w:val="center"/>
          </w:tcPr>
          <w:p w14:paraId="367631F5">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r w14:paraId="3915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371DBB83">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default" w:ascii="Times New Roman" w:hAnsi="Times New Roman" w:eastAsia="宋体"/>
                <w:spacing w:val="0"/>
                <w:sz w:val="21"/>
                <w:szCs w:val="20"/>
              </w:rPr>
              <w:t>合同价格</w:t>
            </w:r>
          </w:p>
        </w:tc>
        <w:tc>
          <w:tcPr>
            <w:tcW w:w="6824" w:type="dxa"/>
            <w:vAlign w:val="center"/>
          </w:tcPr>
          <w:p w14:paraId="7B63CB43">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r w14:paraId="71F3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441D80A0">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default" w:ascii="Times New Roman" w:hAnsi="Times New Roman" w:eastAsia="宋体"/>
                <w:spacing w:val="0"/>
                <w:sz w:val="21"/>
                <w:szCs w:val="20"/>
              </w:rPr>
              <w:t>备注</w:t>
            </w:r>
          </w:p>
        </w:tc>
        <w:tc>
          <w:tcPr>
            <w:tcW w:w="6824" w:type="dxa"/>
            <w:vAlign w:val="center"/>
          </w:tcPr>
          <w:p w14:paraId="162A4C43">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r w14:paraId="71ED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5" w:type="dxa"/>
            <w:vAlign w:val="center"/>
          </w:tcPr>
          <w:p w14:paraId="595918CB">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r>
              <w:rPr>
                <w:rFonts w:hint="eastAsia" w:ascii="Times New Roman" w:hAnsi="Times New Roman" w:eastAsia="宋体"/>
                <w:spacing w:val="0"/>
                <w:sz w:val="21"/>
                <w:szCs w:val="20"/>
              </w:rPr>
              <w:t>服务业绩评价（包含服务能力及客户评价</w:t>
            </w:r>
          </w:p>
        </w:tc>
        <w:tc>
          <w:tcPr>
            <w:tcW w:w="6824" w:type="dxa"/>
            <w:vAlign w:val="center"/>
          </w:tcPr>
          <w:p w14:paraId="0FFB5912">
            <w:pPr>
              <w:keepNext w:val="0"/>
              <w:keepLines w:val="0"/>
              <w:suppressLineNumbers w:val="0"/>
              <w:wordWrap w:val="0"/>
              <w:spacing w:before="0" w:beforeAutospacing="0" w:after="0" w:afterAutospacing="0" w:line="400" w:lineRule="exact"/>
              <w:ind w:left="0" w:right="0" w:firstLine="0" w:firstLineChars="0"/>
              <w:rPr>
                <w:rFonts w:hint="default" w:ascii="Times New Roman" w:hAnsi="Times New Roman" w:eastAsia="宋体"/>
                <w:spacing w:val="0"/>
                <w:sz w:val="21"/>
                <w:szCs w:val="20"/>
              </w:rPr>
            </w:pPr>
          </w:p>
        </w:tc>
      </w:tr>
    </w:tbl>
    <w:p w14:paraId="1EE1F675">
      <w:pPr>
        <w:wordWrap w:val="0"/>
        <w:autoSpaceDE w:val="0"/>
        <w:autoSpaceDN w:val="0"/>
        <w:snapToGrid/>
        <w:spacing w:after="120" w:line="240" w:lineRule="auto"/>
        <w:ind w:firstLine="0" w:firstLineChars="0"/>
        <w:rPr>
          <w:rFonts w:ascii="Times New Roman" w:hAnsi="Times New Roman" w:eastAsia="宋体"/>
          <w:color w:val="FF0000"/>
          <w:spacing w:val="0"/>
          <w:kern w:val="0"/>
          <w:sz w:val="21"/>
          <w:szCs w:val="20"/>
        </w:rPr>
      </w:pPr>
    </w:p>
    <w:p w14:paraId="7A7549DE">
      <w:pPr>
        <w:wordWrap w:val="0"/>
        <w:autoSpaceDE w:val="0"/>
        <w:autoSpaceDN w:val="0"/>
        <w:snapToGrid/>
        <w:spacing w:after="120" w:line="240" w:lineRule="auto"/>
        <w:ind w:firstLine="0" w:firstLineChars="0"/>
        <w:rPr>
          <w:rFonts w:ascii="Times New Roman" w:hAnsi="Times New Roman" w:eastAsia="宋体"/>
          <w:color w:val="FF0000"/>
          <w:spacing w:val="0"/>
          <w:kern w:val="0"/>
          <w:sz w:val="21"/>
          <w:szCs w:val="20"/>
        </w:rPr>
      </w:pPr>
      <w:r>
        <w:rPr>
          <w:rFonts w:ascii="Times New Roman" w:hAnsi="Times New Roman" w:eastAsia="宋体"/>
          <w:spacing w:val="0"/>
          <w:kern w:val="0"/>
          <w:sz w:val="21"/>
          <w:szCs w:val="20"/>
        </w:rPr>
        <w:t>下附本项目</w:t>
      </w:r>
      <w:r>
        <w:rPr>
          <w:rFonts w:hint="eastAsia" w:ascii="Times New Roman" w:hAnsi="Times New Roman" w:eastAsia="宋体"/>
          <w:spacing w:val="0"/>
          <w:kern w:val="0"/>
          <w:sz w:val="21"/>
          <w:szCs w:val="20"/>
        </w:rPr>
        <w:t>提供投保材料或合同或发票或服务协议复印件并加盖投标人公章</w:t>
      </w:r>
      <w:r>
        <w:rPr>
          <w:rFonts w:ascii="Times New Roman" w:hAnsi="Times New Roman" w:eastAsia="宋体"/>
          <w:spacing w:val="0"/>
          <w:kern w:val="0"/>
          <w:sz w:val="21"/>
          <w:szCs w:val="20"/>
        </w:rPr>
        <w:t>。</w:t>
      </w:r>
    </w:p>
    <w:p w14:paraId="6C3D8270">
      <w:pPr>
        <w:widowControl/>
        <w:wordWrap w:val="0"/>
        <w:adjustRightInd/>
        <w:snapToGrid/>
        <w:spacing w:line="240" w:lineRule="auto"/>
        <w:ind w:firstLine="0" w:firstLineChars="0"/>
        <w:jc w:val="left"/>
        <w:rPr>
          <w:rFonts w:ascii="Times New Roman" w:hAnsi="Times New Roman" w:eastAsia="宋体"/>
          <w:spacing w:val="0"/>
          <w:kern w:val="0"/>
          <w:sz w:val="21"/>
          <w:szCs w:val="20"/>
        </w:rPr>
      </w:pPr>
      <w:r>
        <w:rPr>
          <w:rFonts w:ascii="Times New Roman" w:hAnsi="Times New Roman" w:eastAsia="宋体"/>
          <w:b/>
          <w:color w:val="FF0000"/>
          <w:spacing w:val="0"/>
          <w:kern w:val="0"/>
          <w:sz w:val="28"/>
          <w:szCs w:val="20"/>
        </w:rPr>
        <w:br w:type="page"/>
      </w:r>
    </w:p>
    <w:bookmarkEnd w:id="1923"/>
    <w:p w14:paraId="43900F5C">
      <w:pPr>
        <w:keepNext/>
        <w:keepLines/>
        <w:widowControl w:val="0"/>
        <w:wordWrap w:val="0"/>
        <w:adjustRightInd w:val="0"/>
        <w:snapToGrid w:val="0"/>
        <w:spacing w:before="400" w:after="400" w:line="500" w:lineRule="exact"/>
        <w:ind w:firstLine="561" w:firstLineChars="200"/>
        <w:jc w:val="left"/>
        <w:textAlignment w:val="baseline"/>
        <w:outlineLvl w:val="2"/>
        <w:rPr>
          <w:rFonts w:hint="default" w:ascii="Times New Roman" w:hAnsi="Times New Roman" w:eastAsia="华文宋体" w:cs="Times New Roman"/>
          <w:b/>
          <w:kern w:val="2"/>
          <w:sz w:val="28"/>
          <w:lang w:val="en-US" w:eastAsia="zh-CN" w:bidi="ar-SA"/>
        </w:rPr>
      </w:pPr>
      <w:bookmarkStart w:id="1924" w:name="_Toc29287"/>
      <w:bookmarkStart w:id="1925" w:name="_Toc7254"/>
      <w:bookmarkStart w:id="1926" w:name="_Toc23776"/>
      <w:bookmarkStart w:id="1927" w:name="_Toc12638"/>
      <w:bookmarkStart w:id="1928" w:name="_Toc13563"/>
      <w:bookmarkStart w:id="1929" w:name="_Toc1573"/>
      <w:r>
        <w:rPr>
          <w:rFonts w:hint="eastAsia" w:cs="Times New Roman"/>
          <w:b/>
          <w:kern w:val="2"/>
          <w:sz w:val="28"/>
          <w:lang w:val="en-US" w:eastAsia="zh-CN" w:bidi="ar-SA"/>
        </w:rPr>
        <w:t>9.其他要求</w:t>
      </w:r>
      <w:bookmarkEnd w:id="1924"/>
      <w:bookmarkEnd w:id="1925"/>
      <w:bookmarkEnd w:id="1926"/>
      <w:bookmarkEnd w:id="1927"/>
      <w:bookmarkEnd w:id="1928"/>
      <w:bookmarkEnd w:id="1929"/>
    </w:p>
    <w:p w14:paraId="785C4064">
      <w:pPr>
        <w:spacing w:line="500" w:lineRule="exact"/>
        <w:ind w:firstLine="0"/>
        <w:rPr>
          <w:b w:val="0"/>
          <w:bCs w:val="0"/>
          <w:highlight w:val="none"/>
        </w:rPr>
      </w:pPr>
      <w:r>
        <w:rPr>
          <w:rFonts w:hint="default"/>
          <w:b w:val="0"/>
          <w:bCs w:val="0"/>
          <w:highlight w:val="none"/>
        </w:rPr>
        <w:t>投标人在参与本次投标前三年内（</w:t>
      </w:r>
      <w:r>
        <w:rPr>
          <w:rFonts w:hint="default" w:ascii="Times New Roman" w:hAnsi="Times New Roman"/>
          <w:b w:val="0"/>
          <w:bCs w:val="0"/>
          <w:highlight w:val="none"/>
        </w:rPr>
        <w:t>2</w:t>
      </w:r>
      <w:r>
        <w:rPr>
          <w:rFonts w:ascii="Times New Roman" w:hAnsi="Times New Roman"/>
          <w:b w:val="0"/>
          <w:bCs w:val="0"/>
          <w:highlight w:val="none"/>
        </w:rPr>
        <w:t>02</w:t>
      </w:r>
      <w:r>
        <w:rPr>
          <w:rFonts w:hint="default" w:ascii="Times New Roman" w:hAnsi="Times New Roman"/>
          <w:b w:val="0"/>
          <w:bCs w:val="0"/>
          <w:highlight w:val="none"/>
          <w:lang w:val="en-US" w:eastAsia="zh-CN"/>
        </w:rPr>
        <w:t>3</w:t>
      </w:r>
      <w:r>
        <w:rPr>
          <w:rFonts w:hint="default"/>
          <w:b w:val="0"/>
          <w:bCs w:val="0"/>
          <w:highlight w:val="none"/>
        </w:rPr>
        <w:t>年</w:t>
      </w:r>
      <w:r>
        <w:rPr>
          <w:rFonts w:hint="eastAsia"/>
          <w:b w:val="0"/>
          <w:bCs w:val="0"/>
          <w:highlight w:val="none"/>
          <w:lang w:val="en-US" w:eastAsia="zh-CN"/>
        </w:rPr>
        <w:t>1月</w:t>
      </w:r>
      <w:r>
        <w:rPr>
          <w:rFonts w:hint="default"/>
          <w:b w:val="0"/>
          <w:bCs w:val="0"/>
          <w:highlight w:val="none"/>
        </w:rPr>
        <w:t>至今），不得出现下列任一情形（</w:t>
      </w:r>
      <w:r>
        <w:rPr>
          <w:rFonts w:hint="eastAsia"/>
          <w:b w:val="0"/>
          <w:bCs w:val="0"/>
          <w:highlight w:val="none"/>
          <w:lang w:val="en-US" w:eastAsia="zh-CN"/>
        </w:rPr>
        <w:t>按照下列要求</w:t>
      </w:r>
      <w:r>
        <w:rPr>
          <w:rFonts w:hint="default"/>
          <w:b w:val="0"/>
          <w:bCs w:val="0"/>
          <w:highlight w:val="none"/>
        </w:rPr>
        <w:t>提供投标人无不良违规记录承诺</w:t>
      </w:r>
      <w:r>
        <w:rPr>
          <w:rFonts w:hint="eastAsia"/>
          <w:b w:val="0"/>
          <w:bCs w:val="0"/>
          <w:highlight w:val="none"/>
          <w:lang w:eastAsia="zh-CN"/>
        </w:rPr>
        <w:t>）。</w:t>
      </w:r>
    </w:p>
    <w:p w14:paraId="482E2ECE">
      <w:pPr>
        <w:spacing w:line="500" w:lineRule="exact"/>
        <w:ind w:firstLine="0"/>
        <w:rPr>
          <w:rFonts w:hint="default"/>
          <w:highlight w:val="none"/>
          <w:lang w:eastAsia="zh-CN"/>
        </w:rPr>
      </w:pPr>
      <w:r>
        <w:rPr>
          <w:rFonts w:hint="default"/>
          <w:highlight w:val="none"/>
          <w:lang w:eastAsia="zh-CN"/>
        </w:rPr>
        <w:t>（</w:t>
      </w:r>
      <w:r>
        <w:rPr>
          <w:rFonts w:hint="default"/>
          <w:highlight w:val="none"/>
          <w:lang w:val="en-US" w:eastAsia="zh-CN"/>
        </w:rPr>
        <w:t>1）</w:t>
      </w:r>
      <w:r>
        <w:rPr>
          <w:highlight w:val="none"/>
        </w:rPr>
        <w:t>被依法暂停或者取消投标资格；</w:t>
      </w:r>
    </w:p>
    <w:p w14:paraId="38673B06">
      <w:pPr>
        <w:bidi w:val="0"/>
        <w:rPr>
          <w:rFonts w:hint="default"/>
          <w:lang w:eastAsia="zh-CN"/>
        </w:rPr>
      </w:pPr>
      <w:r>
        <w:rPr>
          <w:rFonts w:hint="default"/>
          <w:lang w:eastAsia="zh-CN"/>
        </w:rPr>
        <w:t>（</w:t>
      </w:r>
      <w:r>
        <w:rPr>
          <w:rFonts w:hint="default"/>
          <w:lang w:val="en-US" w:eastAsia="zh-CN"/>
        </w:rPr>
        <w:t>2）</w:t>
      </w:r>
      <w:r>
        <w:t>被责令停产停业、暂扣或者吊销许可证、暂扣或者吊销执照；</w:t>
      </w:r>
    </w:p>
    <w:p w14:paraId="7F20EF48">
      <w:pPr>
        <w:bidi w:val="0"/>
        <w:rPr>
          <w:rFonts w:hint="default"/>
          <w:lang w:eastAsia="zh-CN"/>
        </w:rPr>
      </w:pPr>
      <w:r>
        <w:rPr>
          <w:rFonts w:hint="default"/>
          <w:lang w:eastAsia="zh-CN"/>
        </w:rPr>
        <w:t>（</w:t>
      </w:r>
      <w:r>
        <w:rPr>
          <w:rFonts w:hint="default"/>
          <w:lang w:val="en-US" w:eastAsia="zh-CN"/>
        </w:rPr>
        <w:t>3）</w:t>
      </w:r>
      <w:r>
        <w:t>进入清算程序，或被宣告破产，或其他丧失履约能力的情形；</w:t>
      </w:r>
    </w:p>
    <w:p w14:paraId="3652146A">
      <w:pPr>
        <w:bidi w:val="0"/>
        <w:rPr>
          <w:rFonts w:hint="default"/>
          <w:lang w:eastAsia="zh-CN"/>
        </w:rPr>
      </w:pPr>
      <w:r>
        <w:rPr>
          <w:rFonts w:hint="default"/>
          <w:lang w:eastAsia="zh-CN"/>
        </w:rPr>
        <w:t>（</w:t>
      </w:r>
      <w:r>
        <w:rPr>
          <w:rFonts w:hint="default"/>
          <w:lang w:val="en-US" w:eastAsia="zh-CN"/>
        </w:rPr>
        <w:t>4）</w:t>
      </w:r>
      <w:r>
        <w:t>投标人或其法定代表人有行贿犯罪行为；</w:t>
      </w:r>
    </w:p>
    <w:p w14:paraId="07988365">
      <w:pPr>
        <w:bidi w:val="0"/>
        <w:rPr>
          <w:rFonts w:hint="default"/>
        </w:rPr>
      </w:pPr>
      <w:r>
        <w:rPr>
          <w:rFonts w:hint="default"/>
          <w:lang w:eastAsia="zh-CN"/>
        </w:rPr>
        <w:t>（</w:t>
      </w:r>
      <w:r>
        <w:rPr>
          <w:rFonts w:hint="default"/>
          <w:lang w:val="en-US" w:eastAsia="zh-CN"/>
        </w:rPr>
        <w:t>5）</w:t>
      </w:r>
      <w:r>
        <w:t>发生骗取中标、严重违约的情况及重大质量问题</w:t>
      </w:r>
      <w:r>
        <w:rPr>
          <w:rFonts w:hint="default"/>
        </w:rPr>
        <w:t>。</w:t>
      </w:r>
    </w:p>
    <w:p w14:paraId="75276DAF">
      <w:pPr>
        <w:spacing w:line="240" w:lineRule="auto"/>
        <w:ind w:firstLine="0" w:firstLineChars="0"/>
        <w:rPr>
          <w:rFonts w:hint="eastAsia" w:ascii="Times New Roman" w:hAnsi="Times New Roman" w:eastAsia="华文宋体" w:cs="华文宋体"/>
          <w:b/>
          <w:bCs/>
          <w:spacing w:val="0"/>
          <w:sz w:val="24"/>
          <w:szCs w:val="24"/>
        </w:rPr>
      </w:pPr>
      <w:r>
        <w:rPr>
          <w:rFonts w:hint="eastAsia" w:ascii="Times New Roman" w:hAnsi="Times New Roman" w:eastAsia="华文宋体" w:cs="华文宋体"/>
          <w:b/>
          <w:bCs/>
          <w:spacing w:val="0"/>
          <w:sz w:val="24"/>
          <w:szCs w:val="24"/>
        </w:rPr>
        <w:br w:type="page"/>
      </w:r>
      <w:bookmarkEnd w:id="1868"/>
      <w:bookmarkEnd w:id="1869"/>
      <w:bookmarkEnd w:id="1870"/>
      <w:bookmarkEnd w:id="1871"/>
      <w:bookmarkEnd w:id="1872"/>
      <w:bookmarkEnd w:id="1873"/>
      <w:bookmarkEnd w:id="1874"/>
      <w:bookmarkEnd w:id="1875"/>
      <w:bookmarkEnd w:id="1876"/>
      <w:bookmarkEnd w:id="1877"/>
      <w:bookmarkStart w:id="1930" w:name="_Toc124303498"/>
      <w:bookmarkStart w:id="1931" w:name="_Toc845265706"/>
      <w:bookmarkStart w:id="1932" w:name="_Toc1720459652"/>
      <w:bookmarkStart w:id="1933" w:name="_Toc909360846"/>
      <w:bookmarkStart w:id="1934" w:name="_Toc18784"/>
      <w:bookmarkStart w:id="1935" w:name="_Toc973500052"/>
      <w:bookmarkStart w:id="1936" w:name="_Toc829854666"/>
      <w:bookmarkStart w:id="1937" w:name="_Toc1958074392"/>
      <w:bookmarkStart w:id="1938" w:name="_Toc209144598"/>
      <w:bookmarkStart w:id="1939" w:name="_Toc998367725"/>
    </w:p>
    <w:p w14:paraId="6D57D899">
      <w:pPr>
        <w:pStyle w:val="5"/>
        <w:bidi w:val="0"/>
        <w:jc w:val="center"/>
        <w:rPr>
          <w:sz w:val="32"/>
          <w:szCs w:val="21"/>
        </w:rPr>
      </w:pPr>
      <w:bookmarkStart w:id="1940" w:name="_Toc31733"/>
      <w:bookmarkStart w:id="1941" w:name="_Toc6670"/>
      <w:bookmarkStart w:id="1942" w:name="_Toc11832"/>
      <w:bookmarkStart w:id="1943" w:name="_Toc26364"/>
      <w:bookmarkStart w:id="1944" w:name="_Toc26460"/>
      <w:bookmarkStart w:id="1945" w:name="_Toc7313"/>
      <w:bookmarkStart w:id="1946" w:name="_Toc29267"/>
      <w:bookmarkStart w:id="1947" w:name="_Toc30352"/>
      <w:bookmarkStart w:id="1948" w:name="_Toc16071"/>
      <w:r>
        <w:rPr>
          <w:rFonts w:hint="eastAsia"/>
          <w:sz w:val="32"/>
          <w:szCs w:val="21"/>
        </w:rPr>
        <w:t>1</w:t>
      </w:r>
      <w:r>
        <w:rPr>
          <w:rFonts w:hint="eastAsia"/>
          <w:sz w:val="32"/>
          <w:szCs w:val="21"/>
          <w:lang w:val="en-US" w:eastAsia="zh-CN"/>
        </w:rPr>
        <w:t>0</w:t>
      </w:r>
      <w:r>
        <w:rPr>
          <w:rFonts w:hint="eastAsia"/>
          <w:sz w:val="32"/>
          <w:szCs w:val="21"/>
        </w:rPr>
        <w:t>. 技术/服务方案</w:t>
      </w:r>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p>
    <w:p w14:paraId="36A8E1E3">
      <w:pPr>
        <w:wordWrap w:val="0"/>
        <w:adjustRightInd/>
        <w:snapToGrid/>
        <w:spacing w:line="400" w:lineRule="exact"/>
        <w:ind w:firstLine="241" w:firstLineChars="100"/>
        <w:rPr>
          <w:rFonts w:hint="eastAsia" w:ascii="宋体" w:hAnsi="宋体" w:eastAsia="宋体" w:cs="宋体"/>
          <w:b/>
          <w:bCs/>
          <w:spacing w:val="0"/>
          <w:sz w:val="24"/>
          <w:szCs w:val="20"/>
        </w:rPr>
      </w:pPr>
      <w:r>
        <w:rPr>
          <w:rFonts w:hint="eastAsia" w:ascii="宋体" w:hAnsi="宋体" w:eastAsia="宋体" w:cs="宋体"/>
          <w:b/>
          <w:bCs/>
          <w:spacing w:val="0"/>
          <w:sz w:val="24"/>
          <w:szCs w:val="20"/>
          <w:lang w:val="en-US" w:eastAsia="zh-CN"/>
        </w:rPr>
        <w:t>投标人</w:t>
      </w:r>
      <w:r>
        <w:rPr>
          <w:rFonts w:hint="eastAsia" w:ascii="宋体" w:hAnsi="宋体" w:eastAsia="宋体" w:cs="宋体"/>
          <w:b/>
          <w:bCs/>
          <w:spacing w:val="0"/>
          <w:sz w:val="24"/>
          <w:szCs w:val="20"/>
        </w:rPr>
        <w:t>的服务方案应按照《用户需求书》的内容和要求编制，包括但不限于用户书和技术商务部分评审办法条款所涉及的所有内容；</w:t>
      </w:r>
    </w:p>
    <w:p w14:paraId="1AB1A177">
      <w:pPr>
        <w:wordWrap w:val="0"/>
        <w:adjustRightInd/>
        <w:snapToGrid/>
        <w:spacing w:line="400" w:lineRule="exact"/>
        <w:ind w:firstLine="241" w:firstLineChars="100"/>
        <w:rPr>
          <w:rFonts w:hint="eastAsia" w:ascii="宋体" w:hAnsi="宋体" w:eastAsia="宋体" w:cs="宋体"/>
          <w:b/>
          <w:bCs/>
          <w:spacing w:val="0"/>
          <w:sz w:val="24"/>
          <w:szCs w:val="20"/>
        </w:rPr>
      </w:pPr>
    </w:p>
    <w:p w14:paraId="17E6FB8A">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售后服务承诺</w:t>
      </w:r>
    </w:p>
    <w:p w14:paraId="11B4935E">
      <w:pPr>
        <w:pStyle w:val="2"/>
        <w:keepNext w:val="0"/>
        <w:keepLines w:val="0"/>
        <w:pageBreakBefore w:val="0"/>
        <w:widowControl w:val="0"/>
        <w:numPr>
          <w:ilvl w:val="0"/>
          <w:numId w:val="10"/>
        </w:numPr>
        <w:kinsoku/>
        <w:wordWrap w:val="0"/>
        <w:overflowPunct/>
        <w:topLinePunct w:val="0"/>
        <w:autoSpaceDE/>
        <w:autoSpaceDN/>
        <w:bidi w:val="0"/>
        <w:adjustRightInd w:val="0"/>
        <w:snapToGrid w:val="0"/>
        <w:spacing w:line="360" w:lineRule="auto"/>
        <w:ind w:left="0" w:leftChars="0" w:firstLine="480" w:firstLineChars="200"/>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投标人须提供售后服务承诺函</w:t>
      </w:r>
    </w:p>
    <w:p w14:paraId="1F55FE91">
      <w:pPr>
        <w:pStyle w:val="2"/>
        <w:keepNext w:val="0"/>
        <w:keepLines w:val="0"/>
        <w:pageBreakBefore w:val="0"/>
        <w:widowControl w:val="0"/>
        <w:numPr>
          <w:ilvl w:val="0"/>
          <w:numId w:val="10"/>
        </w:numPr>
        <w:kinsoku/>
        <w:wordWrap w:val="0"/>
        <w:overflowPunct/>
        <w:topLinePunct w:val="0"/>
        <w:autoSpaceDE/>
        <w:autoSpaceDN/>
        <w:bidi w:val="0"/>
        <w:adjustRightInd w:val="0"/>
        <w:snapToGrid w:val="0"/>
        <w:spacing w:line="360" w:lineRule="auto"/>
        <w:ind w:left="0" w:leftChars="0" w:firstLine="480" w:firstLineChars="200"/>
        <w:rPr>
          <w:rFonts w:hint="eastAsia" w:ascii="Times New Roman" w:hAnsi="Times New Roman" w:eastAsia="华文宋体" w:cs="Times New Roman"/>
          <w:kern w:val="2"/>
          <w:sz w:val="24"/>
          <w:szCs w:val="20"/>
          <w:highlight w:val="none"/>
          <w:lang w:val="en-US" w:eastAsia="zh-CN" w:bidi="ar-SA"/>
        </w:rPr>
      </w:pPr>
      <w:r>
        <w:rPr>
          <w:rFonts w:hint="eastAsia" w:ascii="Times New Roman" w:hAnsi="Times New Roman" w:eastAsia="华文宋体" w:cs="Times New Roman"/>
          <w:kern w:val="2"/>
          <w:sz w:val="24"/>
          <w:szCs w:val="20"/>
          <w:highlight w:val="none"/>
          <w:lang w:val="en-US" w:eastAsia="zh-CN" w:bidi="ar-SA"/>
        </w:rPr>
        <w:t>投标人提供《项目人员稳定性承诺函》</w:t>
      </w:r>
    </w:p>
    <w:p w14:paraId="71382843">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质保承诺</w:t>
      </w:r>
    </w:p>
    <w:p w14:paraId="5FFCD6D3">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技术响应</w:t>
      </w:r>
    </w:p>
    <w:p w14:paraId="4B52EAEE">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关键方案匹配评价</w:t>
      </w:r>
    </w:p>
    <w:p w14:paraId="41B74BFF">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技术架构能力</w:t>
      </w:r>
    </w:p>
    <w:p w14:paraId="4411BD43">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集成能力</w:t>
      </w:r>
    </w:p>
    <w:p w14:paraId="1C594AEA">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项目实施方案评价</w:t>
      </w:r>
    </w:p>
    <w:p w14:paraId="3D64F329">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cs="华文宋体"/>
          <w:kern w:val="0"/>
          <w:szCs w:val="24"/>
          <w:lang w:bidi="ar"/>
        </w:rPr>
      </w:pPr>
      <w:r>
        <w:rPr>
          <w:rFonts w:hint="eastAsia" w:ascii="华文宋体" w:hAnsi="华文宋体" w:cs="华文宋体"/>
          <w:kern w:val="0"/>
          <w:szCs w:val="24"/>
          <w:lang w:bidi="ar"/>
        </w:rPr>
        <w:t>培训方案</w:t>
      </w:r>
    </w:p>
    <w:p w14:paraId="4B4749A1">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eastAsia="华文宋体" w:cs="华文宋体"/>
          <w:kern w:val="0"/>
          <w:sz w:val="24"/>
          <w:szCs w:val="24"/>
          <w:lang w:val="en-US" w:eastAsia="zh-CN" w:bidi="ar"/>
        </w:rPr>
      </w:pPr>
      <w:r>
        <w:rPr>
          <w:rFonts w:hint="eastAsia" w:ascii="华文宋体" w:hAnsi="华文宋体" w:eastAsia="华文宋体" w:cs="华文宋体"/>
          <w:kern w:val="0"/>
          <w:sz w:val="24"/>
          <w:szCs w:val="24"/>
          <w:lang w:val="en-US" w:eastAsia="zh-CN" w:bidi="ar"/>
        </w:rPr>
        <w:t>付款方式</w:t>
      </w:r>
    </w:p>
    <w:p w14:paraId="30F31C5C">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eastAsia="华文宋体" w:cs="华文宋体"/>
          <w:kern w:val="0"/>
          <w:sz w:val="24"/>
          <w:szCs w:val="24"/>
          <w:lang w:val="en-US" w:eastAsia="zh-CN" w:bidi="ar"/>
        </w:rPr>
      </w:pPr>
      <w:r>
        <w:rPr>
          <w:rFonts w:hint="eastAsia" w:ascii="华文宋体" w:hAnsi="华文宋体" w:eastAsia="华文宋体" w:cs="华文宋体"/>
          <w:kern w:val="0"/>
          <w:sz w:val="24"/>
          <w:szCs w:val="24"/>
          <w:lang w:val="en-US" w:eastAsia="zh-CN" w:bidi="ar"/>
        </w:rPr>
        <w:t>*号栏目响应情况（若有）</w:t>
      </w:r>
    </w:p>
    <w:p w14:paraId="12BD2AD1">
      <w:pPr>
        <w:keepNext w:val="0"/>
        <w:keepLines w:val="0"/>
        <w:pageBreakBefore w:val="0"/>
        <w:widowControl w:val="0"/>
        <w:numPr>
          <w:ilvl w:val="0"/>
          <w:numId w:val="9"/>
        </w:numPr>
        <w:kinsoku/>
        <w:wordWrap w:val="0"/>
        <w:overflowPunct/>
        <w:topLinePunct w:val="0"/>
        <w:autoSpaceDE/>
        <w:autoSpaceDN/>
        <w:bidi w:val="0"/>
        <w:adjustRightInd w:val="0"/>
        <w:snapToGrid w:val="0"/>
        <w:spacing w:line="360" w:lineRule="auto"/>
        <w:ind w:left="425" w:leftChars="0" w:hanging="425" w:firstLineChars="0"/>
        <w:jc w:val="left"/>
        <w:textAlignment w:val="baseline"/>
        <w:rPr>
          <w:rFonts w:hint="eastAsia" w:ascii="华文宋体" w:hAnsi="华文宋体" w:eastAsia="华文宋体" w:cs="华文宋体"/>
          <w:kern w:val="0"/>
          <w:sz w:val="24"/>
          <w:szCs w:val="24"/>
          <w:lang w:val="en-US" w:eastAsia="zh-CN" w:bidi="ar"/>
        </w:rPr>
      </w:pPr>
      <w:r>
        <w:rPr>
          <w:rFonts w:hint="eastAsia" w:ascii="华文宋体" w:hAnsi="华文宋体" w:eastAsia="华文宋体" w:cs="华文宋体"/>
          <w:kern w:val="0"/>
          <w:sz w:val="24"/>
          <w:szCs w:val="24"/>
          <w:lang w:val="en-US" w:eastAsia="zh-CN" w:bidi="ar"/>
        </w:rPr>
        <w:t>等等</w:t>
      </w:r>
    </w:p>
    <w:p w14:paraId="5DFB12CE">
      <w:r>
        <w:br w:type="page"/>
      </w:r>
    </w:p>
    <w:bookmarkEnd w:id="1802"/>
    <w:bookmarkEnd w:id="1803"/>
    <w:bookmarkEnd w:id="1804"/>
    <w:p w14:paraId="350713D9">
      <w:pPr>
        <w:pStyle w:val="5"/>
        <w:pageBreakBefore/>
        <w:spacing w:line="400" w:lineRule="exact"/>
        <w:ind w:firstLine="0" w:firstLineChars="0"/>
        <w:jc w:val="center"/>
        <w:rPr>
          <w:sz w:val="32"/>
          <w:szCs w:val="32"/>
        </w:rPr>
      </w:pPr>
      <w:bookmarkStart w:id="1949" w:name="_Toc6979"/>
      <w:bookmarkStart w:id="1950" w:name="_Toc6871"/>
      <w:bookmarkStart w:id="1951" w:name="_Toc23739"/>
      <w:bookmarkStart w:id="1952" w:name="_Toc30775"/>
      <w:bookmarkStart w:id="1953" w:name="_Toc2045547956"/>
      <w:bookmarkStart w:id="1954" w:name="_Toc2134106670"/>
      <w:bookmarkStart w:id="1955" w:name="_Toc1316899716"/>
      <w:bookmarkStart w:id="1956" w:name="_Toc1608567844"/>
      <w:bookmarkStart w:id="1957" w:name="_Toc13493"/>
      <w:bookmarkStart w:id="1958" w:name="_Toc1276620064"/>
      <w:bookmarkStart w:id="1959" w:name="_Toc1814786002"/>
      <w:bookmarkStart w:id="1960" w:name="_Toc10277"/>
      <w:bookmarkStart w:id="1961" w:name="_Toc9989"/>
      <w:bookmarkStart w:id="1962" w:name="_Toc1114"/>
      <w:bookmarkStart w:id="1963" w:name="_Toc26831"/>
      <w:bookmarkStart w:id="1964" w:name="_Toc776395837"/>
      <w:bookmarkStart w:id="1965" w:name="_Toc1810012094"/>
      <w:bookmarkStart w:id="1966" w:name="_Toc19646"/>
      <w:bookmarkStart w:id="1967" w:name="_Toc2084951118"/>
      <w:bookmarkStart w:id="1968" w:name="_Toc73972670"/>
      <w:r>
        <w:rPr>
          <w:rFonts w:hint="eastAsia"/>
          <w:sz w:val="32"/>
          <w:szCs w:val="32"/>
        </w:rPr>
        <w:t>1</w:t>
      </w:r>
      <w:r>
        <w:rPr>
          <w:rFonts w:hint="eastAsia"/>
          <w:sz w:val="32"/>
          <w:szCs w:val="32"/>
          <w:lang w:val="en-US" w:eastAsia="zh-CN"/>
        </w:rPr>
        <w:t>1</w:t>
      </w:r>
      <w:r>
        <w:rPr>
          <w:rFonts w:hint="eastAsia"/>
          <w:sz w:val="32"/>
          <w:szCs w:val="32"/>
        </w:rPr>
        <w:t>. 投标人拟提供的其他资料</w:t>
      </w:r>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p>
    <w:p w14:paraId="3407BF05">
      <w:pPr>
        <w:ind w:left="480" w:firstLine="480"/>
      </w:pPr>
    </w:p>
    <w:p w14:paraId="7D4AD0A6">
      <w:pPr>
        <w:ind w:firstLine="480"/>
        <w:jc w:val="center"/>
        <w:rPr>
          <w:b/>
          <w:bCs/>
        </w:rPr>
      </w:pPr>
      <w:r>
        <w:rPr>
          <w:rFonts w:hint="eastAsia"/>
          <w:b/>
          <w:bCs/>
        </w:rPr>
        <w:t>（格式自拟）</w:t>
      </w:r>
    </w:p>
    <w:p w14:paraId="30574CD1">
      <w:pPr>
        <w:ind w:left="480" w:firstLine="480"/>
      </w:pPr>
    </w:p>
    <w:bookmarkEnd w:id="1968"/>
    <w:p w14:paraId="1A5E2319">
      <w:pPr>
        <w:ind w:firstLine="480"/>
      </w:pPr>
      <w:r>
        <w:br w:type="page"/>
      </w:r>
    </w:p>
    <w:p w14:paraId="6C441400">
      <w:pPr>
        <w:pStyle w:val="5"/>
        <w:ind w:firstLine="0" w:firstLineChars="0"/>
        <w:jc w:val="center"/>
      </w:pPr>
      <w:bookmarkStart w:id="1969" w:name="_bookmark162"/>
      <w:bookmarkEnd w:id="1969"/>
      <w:bookmarkStart w:id="1970" w:name="_Toc1167060830"/>
      <w:bookmarkStart w:id="1971" w:name="_Toc14993"/>
      <w:bookmarkStart w:id="1972" w:name="_Toc1767404103"/>
      <w:bookmarkStart w:id="1973" w:name="_Toc1282772127"/>
      <w:bookmarkStart w:id="1974" w:name="_Toc774193287"/>
      <w:bookmarkStart w:id="1975" w:name="_Toc644298471"/>
      <w:bookmarkStart w:id="1976" w:name="_Toc458791669"/>
      <w:bookmarkStart w:id="1977" w:name="_Toc398097273"/>
      <w:bookmarkStart w:id="1978" w:name="_Toc18971"/>
      <w:bookmarkStart w:id="1979" w:name="_Toc26981"/>
      <w:bookmarkStart w:id="1980" w:name="_Toc29585"/>
      <w:bookmarkStart w:id="1981" w:name="_Toc11981"/>
      <w:bookmarkStart w:id="1982" w:name="_Toc4468"/>
      <w:bookmarkStart w:id="1983" w:name="_Toc19237"/>
      <w:bookmarkStart w:id="1984" w:name="_Toc30470"/>
      <w:bookmarkStart w:id="1985" w:name="_Toc25000"/>
      <w:r>
        <w:rPr>
          <w:rFonts w:hint="eastAsia"/>
        </w:rPr>
        <w:t>1</w:t>
      </w:r>
      <w:r>
        <w:rPr>
          <w:rFonts w:hint="eastAsia"/>
          <w:lang w:val="en-US" w:eastAsia="zh-CN"/>
        </w:rPr>
        <w:t>2</w:t>
      </w:r>
      <w:r>
        <w:rPr>
          <w:rFonts w:hint="eastAsia"/>
        </w:rPr>
        <w:t>. 商务和技术差异表</w:t>
      </w:r>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p>
    <w:p w14:paraId="62F7768C">
      <w:pPr>
        <w:spacing w:line="360" w:lineRule="auto"/>
        <w:ind w:firstLine="452"/>
        <w:rPr>
          <w:spacing w:val="-7"/>
          <w:szCs w:val="21"/>
        </w:rPr>
      </w:pPr>
      <w:r>
        <w:rPr>
          <w:spacing w:val="-7"/>
          <w:szCs w:val="21"/>
        </w:rPr>
        <w:t>1.关键商务和技术指标响应偏</w:t>
      </w:r>
      <w:r>
        <w:rPr>
          <w:szCs w:val="21"/>
        </w:rPr>
        <w:t>差</w:t>
      </w:r>
      <w:r>
        <w:rPr>
          <w:spacing w:val="-7"/>
          <w:szCs w:val="21"/>
        </w:rPr>
        <w:t>表（“*”号技术条款需要逐条响应列出）</w:t>
      </w:r>
    </w:p>
    <w:tbl>
      <w:tblPr>
        <w:tblStyle w:val="20"/>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2580"/>
        <w:gridCol w:w="2597"/>
        <w:gridCol w:w="2125"/>
      </w:tblGrid>
      <w:tr w14:paraId="62245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1AFCDF81">
            <w:pPr>
              <w:spacing w:line="400" w:lineRule="exact"/>
              <w:ind w:firstLine="0" w:firstLineChars="0"/>
              <w:jc w:val="center"/>
              <w:rPr>
                <w:spacing w:val="-7"/>
                <w:szCs w:val="21"/>
              </w:rPr>
            </w:pPr>
            <w:r>
              <w:rPr>
                <w:spacing w:val="-7"/>
                <w:szCs w:val="21"/>
              </w:rPr>
              <w:t>序号</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6D42A125">
            <w:pPr>
              <w:spacing w:line="400" w:lineRule="exact"/>
              <w:ind w:firstLine="0" w:firstLineChars="0"/>
              <w:jc w:val="center"/>
              <w:rPr>
                <w:spacing w:val="-7"/>
                <w:szCs w:val="21"/>
              </w:rPr>
            </w:pPr>
            <w:r>
              <w:rPr>
                <w:spacing w:val="-7"/>
                <w:szCs w:val="21"/>
              </w:rPr>
              <w:t>招标文件章节及条款号</w:t>
            </w: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002358E7">
            <w:pPr>
              <w:spacing w:line="400" w:lineRule="exact"/>
              <w:ind w:firstLine="0" w:firstLineChars="0"/>
              <w:jc w:val="center"/>
              <w:rPr>
                <w:spacing w:val="-7"/>
                <w:szCs w:val="21"/>
              </w:rPr>
            </w:pPr>
            <w:r>
              <w:rPr>
                <w:spacing w:val="-7"/>
                <w:szCs w:val="21"/>
              </w:rPr>
              <w:t>投标文件响应情况</w:t>
            </w: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42997FC2">
            <w:pPr>
              <w:spacing w:line="400" w:lineRule="exact"/>
              <w:ind w:firstLine="0" w:firstLineChars="0"/>
              <w:jc w:val="center"/>
              <w:rPr>
                <w:spacing w:val="-7"/>
                <w:szCs w:val="21"/>
              </w:rPr>
            </w:pPr>
            <w:r>
              <w:rPr>
                <w:spacing w:val="-7"/>
                <w:szCs w:val="21"/>
              </w:rPr>
              <w:t>偏差说明</w:t>
            </w:r>
          </w:p>
        </w:tc>
      </w:tr>
      <w:tr w14:paraId="621B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CADD694">
            <w:pPr>
              <w:spacing w:line="400" w:lineRule="exact"/>
              <w:ind w:firstLine="0" w:firstLineChars="0"/>
              <w:jc w:val="center"/>
              <w:rPr>
                <w:spacing w:val="-7"/>
                <w:szCs w:val="21"/>
              </w:rPr>
            </w:pPr>
            <w:r>
              <w:rPr>
                <w:spacing w:val="-7"/>
                <w:szCs w:val="21"/>
              </w:rPr>
              <w:t>1</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4ACC83D9">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0CED4BEE">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7C0B97F4">
            <w:pPr>
              <w:spacing w:line="400" w:lineRule="exact"/>
              <w:ind w:firstLine="0" w:firstLineChars="0"/>
              <w:jc w:val="center"/>
              <w:rPr>
                <w:spacing w:val="-7"/>
                <w:szCs w:val="21"/>
              </w:rPr>
            </w:pPr>
          </w:p>
        </w:tc>
      </w:tr>
      <w:tr w14:paraId="469CF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70E2594">
            <w:pPr>
              <w:spacing w:line="400" w:lineRule="exact"/>
              <w:ind w:firstLine="0" w:firstLineChars="0"/>
              <w:jc w:val="center"/>
              <w:rPr>
                <w:spacing w:val="-7"/>
                <w:szCs w:val="21"/>
              </w:rPr>
            </w:pPr>
            <w:r>
              <w:rPr>
                <w:spacing w:val="-7"/>
                <w:szCs w:val="21"/>
              </w:rPr>
              <w:t>2</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527176CD">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223CA111">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6DED65D1">
            <w:pPr>
              <w:spacing w:line="400" w:lineRule="exact"/>
              <w:ind w:firstLine="0" w:firstLineChars="0"/>
              <w:jc w:val="center"/>
              <w:rPr>
                <w:spacing w:val="-7"/>
                <w:szCs w:val="21"/>
              </w:rPr>
            </w:pPr>
          </w:p>
        </w:tc>
      </w:tr>
      <w:tr w14:paraId="0DF7B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111154B8">
            <w:pPr>
              <w:spacing w:line="400" w:lineRule="exact"/>
              <w:ind w:firstLine="0" w:firstLineChars="0"/>
              <w:jc w:val="center"/>
              <w:rPr>
                <w:spacing w:val="-7"/>
                <w:szCs w:val="21"/>
              </w:rPr>
            </w:pPr>
            <w:r>
              <w:rPr>
                <w:spacing w:val="-7"/>
                <w:szCs w:val="21"/>
              </w:rPr>
              <w:t>3</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33840B64">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4FDC8CF">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5D22FD58">
            <w:pPr>
              <w:spacing w:line="400" w:lineRule="exact"/>
              <w:ind w:firstLine="0" w:firstLineChars="0"/>
              <w:jc w:val="center"/>
              <w:rPr>
                <w:spacing w:val="-7"/>
                <w:szCs w:val="21"/>
              </w:rPr>
            </w:pPr>
          </w:p>
        </w:tc>
      </w:tr>
      <w:tr w14:paraId="3031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5212122A">
            <w:pPr>
              <w:spacing w:line="400" w:lineRule="exact"/>
              <w:ind w:firstLine="0" w:firstLineChars="0"/>
              <w:jc w:val="center"/>
              <w:rPr>
                <w:spacing w:val="-7"/>
                <w:szCs w:val="21"/>
              </w:rPr>
            </w:pPr>
            <w:r>
              <w:rPr>
                <w:spacing w:val="-7"/>
                <w:szCs w:val="21"/>
              </w:rPr>
              <w:t>......</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669C93DB">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E043586">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131ADAD3">
            <w:pPr>
              <w:spacing w:line="400" w:lineRule="exact"/>
              <w:ind w:firstLine="0" w:firstLineChars="0"/>
              <w:jc w:val="center"/>
              <w:rPr>
                <w:spacing w:val="-7"/>
                <w:szCs w:val="21"/>
              </w:rPr>
            </w:pPr>
          </w:p>
        </w:tc>
      </w:tr>
    </w:tbl>
    <w:p w14:paraId="607558ED">
      <w:pPr>
        <w:spacing w:line="360" w:lineRule="auto"/>
        <w:ind w:firstLine="452"/>
        <w:rPr>
          <w:spacing w:val="-7"/>
          <w:szCs w:val="21"/>
        </w:rPr>
      </w:pPr>
    </w:p>
    <w:p w14:paraId="6F892FE7">
      <w:pPr>
        <w:spacing w:line="360" w:lineRule="auto"/>
        <w:ind w:firstLine="452"/>
        <w:rPr>
          <w:spacing w:val="-7"/>
          <w:szCs w:val="21"/>
        </w:rPr>
      </w:pPr>
      <w:r>
        <w:rPr>
          <w:spacing w:val="-7"/>
          <w:szCs w:val="21"/>
        </w:rPr>
        <w:t>2.商务条款响应偏</w:t>
      </w:r>
      <w:r>
        <w:rPr>
          <w:szCs w:val="21"/>
        </w:rPr>
        <w:t>差</w:t>
      </w:r>
      <w:r>
        <w:rPr>
          <w:spacing w:val="-7"/>
          <w:szCs w:val="21"/>
        </w:rPr>
        <w:t>表</w:t>
      </w:r>
    </w:p>
    <w:tbl>
      <w:tblPr>
        <w:tblStyle w:val="20"/>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2580"/>
        <w:gridCol w:w="2597"/>
        <w:gridCol w:w="2125"/>
      </w:tblGrid>
      <w:tr w14:paraId="50209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A0AB73B">
            <w:pPr>
              <w:spacing w:line="400" w:lineRule="exact"/>
              <w:ind w:firstLine="0" w:firstLineChars="0"/>
              <w:jc w:val="center"/>
              <w:rPr>
                <w:spacing w:val="-7"/>
                <w:szCs w:val="21"/>
              </w:rPr>
            </w:pPr>
            <w:r>
              <w:rPr>
                <w:spacing w:val="-7"/>
                <w:szCs w:val="21"/>
              </w:rPr>
              <w:t>序号</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6233F7E6">
            <w:pPr>
              <w:spacing w:line="400" w:lineRule="exact"/>
              <w:ind w:firstLine="0" w:firstLineChars="0"/>
              <w:jc w:val="center"/>
              <w:rPr>
                <w:spacing w:val="-7"/>
                <w:szCs w:val="21"/>
              </w:rPr>
            </w:pPr>
            <w:r>
              <w:rPr>
                <w:spacing w:val="-7"/>
                <w:szCs w:val="21"/>
              </w:rPr>
              <w:t>招标文件章节及条款号</w:t>
            </w: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3246355D">
            <w:pPr>
              <w:spacing w:line="400" w:lineRule="exact"/>
              <w:ind w:firstLine="0" w:firstLineChars="0"/>
              <w:jc w:val="center"/>
              <w:rPr>
                <w:spacing w:val="-7"/>
                <w:szCs w:val="21"/>
              </w:rPr>
            </w:pPr>
            <w:r>
              <w:rPr>
                <w:spacing w:val="-7"/>
                <w:szCs w:val="21"/>
              </w:rPr>
              <w:t>投标文件响应情况</w:t>
            </w: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26F792BC">
            <w:pPr>
              <w:spacing w:line="400" w:lineRule="exact"/>
              <w:ind w:firstLine="0" w:firstLineChars="0"/>
              <w:jc w:val="center"/>
              <w:rPr>
                <w:spacing w:val="-7"/>
                <w:szCs w:val="21"/>
              </w:rPr>
            </w:pPr>
            <w:r>
              <w:rPr>
                <w:spacing w:val="-7"/>
                <w:szCs w:val="21"/>
              </w:rPr>
              <w:t>偏差说明</w:t>
            </w:r>
          </w:p>
        </w:tc>
      </w:tr>
      <w:tr w14:paraId="55401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6BE42BE">
            <w:pPr>
              <w:spacing w:line="400" w:lineRule="exact"/>
              <w:ind w:firstLine="0" w:firstLineChars="0"/>
              <w:jc w:val="center"/>
              <w:rPr>
                <w:spacing w:val="-7"/>
                <w:szCs w:val="21"/>
              </w:rPr>
            </w:pPr>
            <w:r>
              <w:rPr>
                <w:spacing w:val="-7"/>
                <w:szCs w:val="21"/>
              </w:rPr>
              <w:t>1</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2DC919B5">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00C25833">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19DA7B87">
            <w:pPr>
              <w:spacing w:line="400" w:lineRule="exact"/>
              <w:ind w:firstLine="0" w:firstLineChars="0"/>
              <w:jc w:val="center"/>
              <w:rPr>
                <w:spacing w:val="-7"/>
                <w:szCs w:val="21"/>
              </w:rPr>
            </w:pPr>
          </w:p>
        </w:tc>
      </w:tr>
      <w:tr w14:paraId="02AA0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5E16374">
            <w:pPr>
              <w:spacing w:line="400" w:lineRule="exact"/>
              <w:ind w:firstLine="0" w:firstLineChars="0"/>
              <w:jc w:val="center"/>
              <w:rPr>
                <w:spacing w:val="-7"/>
                <w:szCs w:val="21"/>
              </w:rPr>
            </w:pPr>
            <w:r>
              <w:rPr>
                <w:spacing w:val="-7"/>
                <w:szCs w:val="21"/>
              </w:rPr>
              <w:t>2</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7948085A">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30830ACF">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1952C919">
            <w:pPr>
              <w:spacing w:line="400" w:lineRule="exact"/>
              <w:ind w:firstLine="0" w:firstLineChars="0"/>
              <w:jc w:val="center"/>
              <w:rPr>
                <w:spacing w:val="-7"/>
                <w:szCs w:val="21"/>
              </w:rPr>
            </w:pPr>
          </w:p>
        </w:tc>
      </w:tr>
      <w:tr w14:paraId="5D238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687D4939">
            <w:pPr>
              <w:spacing w:line="400" w:lineRule="exact"/>
              <w:ind w:firstLine="0" w:firstLineChars="0"/>
              <w:jc w:val="center"/>
              <w:rPr>
                <w:spacing w:val="-7"/>
                <w:szCs w:val="21"/>
              </w:rPr>
            </w:pPr>
            <w:r>
              <w:rPr>
                <w:spacing w:val="-7"/>
                <w:szCs w:val="21"/>
              </w:rPr>
              <w:t>3</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070F49EA">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55B56344">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239D0448">
            <w:pPr>
              <w:spacing w:line="400" w:lineRule="exact"/>
              <w:ind w:firstLine="0" w:firstLineChars="0"/>
              <w:jc w:val="center"/>
              <w:rPr>
                <w:spacing w:val="-7"/>
                <w:szCs w:val="21"/>
              </w:rPr>
            </w:pPr>
          </w:p>
        </w:tc>
      </w:tr>
      <w:tr w14:paraId="5581A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63EB8E14">
            <w:pPr>
              <w:spacing w:line="400" w:lineRule="exact"/>
              <w:ind w:firstLine="0" w:firstLineChars="0"/>
              <w:jc w:val="center"/>
              <w:rPr>
                <w:spacing w:val="-7"/>
                <w:szCs w:val="21"/>
              </w:rPr>
            </w:pPr>
            <w:r>
              <w:rPr>
                <w:spacing w:val="-7"/>
                <w:szCs w:val="21"/>
              </w:rPr>
              <w:t>......</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289BF3EB">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7DCFC481">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24DC6A4B">
            <w:pPr>
              <w:spacing w:line="400" w:lineRule="exact"/>
              <w:ind w:firstLine="0" w:firstLineChars="0"/>
              <w:jc w:val="center"/>
              <w:rPr>
                <w:spacing w:val="-7"/>
                <w:szCs w:val="21"/>
              </w:rPr>
            </w:pPr>
          </w:p>
        </w:tc>
      </w:tr>
    </w:tbl>
    <w:p w14:paraId="7B18A959">
      <w:pPr>
        <w:spacing w:line="360" w:lineRule="auto"/>
        <w:ind w:firstLine="452"/>
        <w:rPr>
          <w:spacing w:val="-7"/>
          <w:szCs w:val="21"/>
        </w:rPr>
      </w:pPr>
    </w:p>
    <w:p w14:paraId="46F000C5">
      <w:pPr>
        <w:spacing w:line="360" w:lineRule="auto"/>
        <w:ind w:firstLine="452"/>
        <w:rPr>
          <w:spacing w:val="-7"/>
          <w:szCs w:val="21"/>
        </w:rPr>
      </w:pPr>
      <w:r>
        <w:rPr>
          <w:spacing w:val="-7"/>
          <w:szCs w:val="21"/>
        </w:rPr>
        <w:t>3.技术条款响应偏</w:t>
      </w:r>
      <w:r>
        <w:rPr>
          <w:szCs w:val="21"/>
        </w:rPr>
        <w:t>差</w:t>
      </w:r>
      <w:r>
        <w:rPr>
          <w:spacing w:val="-7"/>
          <w:szCs w:val="21"/>
        </w:rPr>
        <w:t>表</w:t>
      </w:r>
    </w:p>
    <w:tbl>
      <w:tblPr>
        <w:tblStyle w:val="20"/>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2580"/>
        <w:gridCol w:w="2597"/>
        <w:gridCol w:w="2125"/>
      </w:tblGrid>
      <w:tr w14:paraId="568F1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vAlign w:val="center"/>
          </w:tcPr>
          <w:p w14:paraId="6C3E364B">
            <w:pPr>
              <w:spacing w:line="400" w:lineRule="exact"/>
              <w:ind w:firstLine="0" w:firstLineChars="0"/>
              <w:jc w:val="center"/>
              <w:rPr>
                <w:spacing w:val="-7"/>
                <w:szCs w:val="21"/>
              </w:rPr>
            </w:pPr>
            <w:r>
              <w:rPr>
                <w:spacing w:val="-7"/>
                <w:szCs w:val="21"/>
              </w:rPr>
              <w:t>序号</w:t>
            </w:r>
          </w:p>
        </w:tc>
        <w:tc>
          <w:tcPr>
            <w:tcW w:w="2580" w:type="dxa"/>
            <w:tcBorders>
              <w:top w:val="single" w:color="000000" w:sz="4" w:space="0"/>
              <w:left w:val="single" w:color="000000" w:sz="4" w:space="0"/>
              <w:bottom w:val="single" w:color="000000" w:sz="4" w:space="0"/>
              <w:right w:val="single" w:color="000000" w:sz="4" w:space="0"/>
              <w:tl2br w:val="nil"/>
              <w:tr2bl w:val="nil"/>
            </w:tcBorders>
            <w:vAlign w:val="center"/>
          </w:tcPr>
          <w:p w14:paraId="52A16EB4">
            <w:pPr>
              <w:spacing w:line="400" w:lineRule="exact"/>
              <w:ind w:firstLine="0" w:firstLineChars="0"/>
              <w:jc w:val="center"/>
              <w:rPr>
                <w:spacing w:val="-7"/>
                <w:szCs w:val="21"/>
              </w:rPr>
            </w:pPr>
            <w:r>
              <w:rPr>
                <w:spacing w:val="-7"/>
                <w:szCs w:val="21"/>
              </w:rPr>
              <w:t>招标文件章节及条款号</w:t>
            </w:r>
          </w:p>
        </w:tc>
        <w:tc>
          <w:tcPr>
            <w:tcW w:w="2597" w:type="dxa"/>
            <w:tcBorders>
              <w:top w:val="single" w:color="000000" w:sz="4" w:space="0"/>
              <w:left w:val="single" w:color="000000" w:sz="4" w:space="0"/>
              <w:bottom w:val="single" w:color="000000" w:sz="4" w:space="0"/>
              <w:right w:val="single" w:color="000000" w:sz="4" w:space="0"/>
              <w:tl2br w:val="nil"/>
              <w:tr2bl w:val="nil"/>
            </w:tcBorders>
            <w:vAlign w:val="center"/>
          </w:tcPr>
          <w:p w14:paraId="45D49267">
            <w:pPr>
              <w:spacing w:line="400" w:lineRule="exact"/>
              <w:ind w:firstLine="0" w:firstLineChars="0"/>
              <w:jc w:val="center"/>
              <w:rPr>
                <w:spacing w:val="-7"/>
                <w:szCs w:val="21"/>
              </w:rPr>
            </w:pPr>
            <w:r>
              <w:rPr>
                <w:spacing w:val="-7"/>
                <w:szCs w:val="21"/>
              </w:rPr>
              <w:t>投标文件响应情况</w:t>
            </w:r>
          </w:p>
        </w:tc>
        <w:tc>
          <w:tcPr>
            <w:tcW w:w="2125" w:type="dxa"/>
            <w:tcBorders>
              <w:top w:val="single" w:color="000000" w:sz="4" w:space="0"/>
              <w:left w:val="single" w:color="000000" w:sz="4" w:space="0"/>
              <w:bottom w:val="single" w:color="000000" w:sz="4" w:space="0"/>
              <w:right w:val="single" w:color="000000" w:sz="4" w:space="0"/>
              <w:tl2br w:val="nil"/>
              <w:tr2bl w:val="nil"/>
            </w:tcBorders>
            <w:vAlign w:val="center"/>
          </w:tcPr>
          <w:p w14:paraId="59804FD7">
            <w:pPr>
              <w:spacing w:line="400" w:lineRule="exact"/>
              <w:ind w:firstLine="0" w:firstLineChars="0"/>
              <w:jc w:val="center"/>
              <w:rPr>
                <w:spacing w:val="-7"/>
                <w:szCs w:val="21"/>
              </w:rPr>
            </w:pPr>
            <w:r>
              <w:rPr>
                <w:spacing w:val="-7"/>
                <w:szCs w:val="21"/>
              </w:rPr>
              <w:t>偏差说明</w:t>
            </w:r>
          </w:p>
        </w:tc>
      </w:tr>
      <w:tr w14:paraId="6DF3A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65233E2">
            <w:pPr>
              <w:spacing w:line="400" w:lineRule="exact"/>
              <w:ind w:firstLine="0" w:firstLineChars="0"/>
              <w:jc w:val="center"/>
              <w:rPr>
                <w:spacing w:val="-7"/>
                <w:szCs w:val="21"/>
              </w:rPr>
            </w:pPr>
            <w:r>
              <w:rPr>
                <w:spacing w:val="-7"/>
                <w:szCs w:val="21"/>
              </w:rPr>
              <w:t>1</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4498B29D">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2AEC4E7C">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0E75A410">
            <w:pPr>
              <w:spacing w:line="400" w:lineRule="exact"/>
              <w:ind w:firstLine="0" w:firstLineChars="0"/>
              <w:jc w:val="center"/>
              <w:rPr>
                <w:spacing w:val="-7"/>
                <w:szCs w:val="21"/>
              </w:rPr>
            </w:pPr>
          </w:p>
        </w:tc>
      </w:tr>
      <w:tr w14:paraId="36F5D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14162FAE">
            <w:pPr>
              <w:spacing w:line="400" w:lineRule="exact"/>
              <w:ind w:firstLine="0" w:firstLineChars="0"/>
              <w:jc w:val="center"/>
              <w:rPr>
                <w:spacing w:val="-7"/>
                <w:szCs w:val="21"/>
              </w:rPr>
            </w:pPr>
            <w:r>
              <w:rPr>
                <w:spacing w:val="-7"/>
                <w:szCs w:val="21"/>
              </w:rPr>
              <w:t>2</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0522E1C0">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51E51F88">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31B3A93B">
            <w:pPr>
              <w:spacing w:line="400" w:lineRule="exact"/>
              <w:ind w:firstLine="0" w:firstLineChars="0"/>
              <w:jc w:val="center"/>
              <w:rPr>
                <w:spacing w:val="-7"/>
                <w:szCs w:val="21"/>
              </w:rPr>
            </w:pPr>
          </w:p>
        </w:tc>
      </w:tr>
      <w:tr w14:paraId="22A14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518A80F3">
            <w:pPr>
              <w:spacing w:line="400" w:lineRule="exact"/>
              <w:ind w:firstLine="0" w:firstLineChars="0"/>
              <w:jc w:val="center"/>
              <w:rPr>
                <w:spacing w:val="-7"/>
                <w:szCs w:val="21"/>
              </w:rPr>
            </w:pPr>
            <w:r>
              <w:rPr>
                <w:spacing w:val="-7"/>
                <w:szCs w:val="21"/>
              </w:rPr>
              <w:t>3</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3F66237E">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5AB16EA">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204C6ED1">
            <w:pPr>
              <w:spacing w:line="400" w:lineRule="exact"/>
              <w:ind w:firstLine="0" w:firstLineChars="0"/>
              <w:jc w:val="center"/>
              <w:rPr>
                <w:spacing w:val="-7"/>
                <w:szCs w:val="21"/>
              </w:rPr>
            </w:pPr>
          </w:p>
        </w:tc>
      </w:tr>
      <w:tr w14:paraId="23FA5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01B7FD88">
            <w:pPr>
              <w:spacing w:line="400" w:lineRule="exact"/>
              <w:ind w:firstLine="0" w:firstLineChars="0"/>
              <w:jc w:val="center"/>
              <w:rPr>
                <w:spacing w:val="-7"/>
                <w:szCs w:val="21"/>
              </w:rPr>
            </w:pPr>
            <w:r>
              <w:rPr>
                <w:spacing w:val="-7"/>
                <w:szCs w:val="21"/>
              </w:rPr>
              <w:t>......</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7EB3E351">
            <w:pPr>
              <w:spacing w:line="400" w:lineRule="exact"/>
              <w:ind w:firstLine="0" w:firstLineChars="0"/>
              <w:jc w:val="center"/>
              <w:rPr>
                <w:spacing w:val="-7"/>
                <w:szCs w:val="21"/>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03681C31">
            <w:pPr>
              <w:spacing w:line="400" w:lineRule="exact"/>
              <w:ind w:firstLine="0" w:firstLineChars="0"/>
              <w:jc w:val="center"/>
              <w:rPr>
                <w:spacing w:val="-7"/>
                <w:szCs w:val="21"/>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7A15B30A">
            <w:pPr>
              <w:spacing w:line="400" w:lineRule="exact"/>
              <w:ind w:firstLine="0" w:firstLineChars="0"/>
              <w:jc w:val="center"/>
              <w:rPr>
                <w:spacing w:val="-7"/>
                <w:szCs w:val="21"/>
              </w:rPr>
            </w:pPr>
          </w:p>
        </w:tc>
      </w:tr>
    </w:tbl>
    <w:p w14:paraId="41CA72A7">
      <w:pPr>
        <w:ind w:firstLine="480"/>
      </w:pPr>
    </w:p>
    <w:p w14:paraId="60E0801E">
      <w:pPr>
        <w:spacing w:before="167" w:beforeLines="50"/>
        <w:ind w:firstLine="420"/>
        <w:jc w:val="left"/>
        <w:textAlignment w:val="baseline"/>
        <w:rPr>
          <w:rFonts w:cs="汉仪中等线KW"/>
          <w:b/>
          <w:sz w:val="21"/>
          <w:szCs w:val="21"/>
        </w:rPr>
      </w:pPr>
      <w:r>
        <w:rPr>
          <w:rFonts w:hint="eastAsia" w:cs="汉仪中等线KW"/>
          <w:b/>
          <w:sz w:val="21"/>
          <w:szCs w:val="21"/>
          <w:u w:color="000000"/>
        </w:rPr>
        <w:t>注：</w:t>
      </w:r>
      <w:r>
        <w:rPr>
          <w:rFonts w:hint="eastAsia" w:cs="汉仪中等线KW"/>
          <w:b/>
          <w:sz w:val="21"/>
          <w:szCs w:val="21"/>
        </w:rPr>
        <w:t>投标文件与招标文件有差异之处，无论多么微小，均应汇总说明，并说明差异的原因及撤回差异时如何引起价格的变化。如无差异，则填“无” 。如果投标文件与招标文件的差异之处没有填入“差异表”中，导致的后果由投标人承担。</w:t>
      </w:r>
    </w:p>
    <w:p w14:paraId="4400C969">
      <w:pPr>
        <w:ind w:left="0" w:leftChars="0" w:firstLine="0" w:firstLineChars="0"/>
      </w:pPr>
    </w:p>
    <w:p w14:paraId="0BFAFA96">
      <w:pPr>
        <w:pStyle w:val="9"/>
        <w:wordWrap/>
        <w:jc w:val="left"/>
        <w:rPr>
          <w:rFonts w:hint="eastAsia"/>
          <w:color w:val="000000" w:themeColor="text1"/>
          <w:sz w:val="24"/>
          <w:highlight w:val="yellow"/>
          <w:lang w:bidi="ar"/>
          <w14:textFill>
            <w14:solidFill>
              <w14:schemeClr w14:val="tx1"/>
            </w14:solidFill>
          </w14:textFill>
        </w:rPr>
      </w:pPr>
    </w:p>
    <w:p w14:paraId="2CAB93F7">
      <w:pPr>
        <w:ind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79943CD-32BB-4F1C-B96F-D767D03101ED}"/>
  </w:font>
  <w:font w:name="黑体">
    <w:panose1 w:val="02010609060101010101"/>
    <w:charset w:val="86"/>
    <w:family w:val="auto"/>
    <w:pitch w:val="default"/>
    <w:sig w:usb0="800002BF" w:usb1="38CF7CFA" w:usb2="00000016" w:usb3="00000000" w:csb0="00040001" w:csb1="00000000"/>
    <w:embedRegular r:id="rId2" w:fontKey="{00F05F98-EAF9-46CE-BD4F-377A1D2693F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8312477F-DDD2-4AB7-A653-B91F3F0A69B4}"/>
  </w:font>
  <w:font w:name="华文宋体">
    <w:panose1 w:val="02010600040101010101"/>
    <w:charset w:val="86"/>
    <w:family w:val="auto"/>
    <w:pitch w:val="default"/>
    <w:sig w:usb0="00000287" w:usb1="080F0000" w:usb2="00000000" w:usb3="00000000" w:csb0="0004009F" w:csb1="DFD70000"/>
    <w:embedRegular r:id="rId4" w:fontKey="{98E36F67-5199-46C6-85F6-128B157AE503}"/>
  </w:font>
  <w:font w:name="方正公文黑体">
    <w:altName w:val="微软雅黑"/>
    <w:panose1 w:val="00000000000000000000"/>
    <w:charset w:val="86"/>
    <w:family w:val="auto"/>
    <w:pitch w:val="default"/>
    <w:sig w:usb0="00000000" w:usb1="00000000" w:usb2="00000016" w:usb3="00000000" w:csb0="00040001" w:csb1="00000000"/>
    <w:embedRegular r:id="rId5" w:fontKey="{F12E6F63-38A1-4DEB-AF79-68F6B7033F6D}"/>
  </w:font>
  <w:font w:name="微软雅黑">
    <w:panose1 w:val="020B0503020204020204"/>
    <w:charset w:val="86"/>
    <w:family w:val="auto"/>
    <w:pitch w:val="default"/>
    <w:sig w:usb0="80000287" w:usb1="2ACF3C50" w:usb2="00000016" w:usb3="00000000" w:csb0="0004001F" w:csb1="00000000"/>
  </w:font>
  <w:font w:name="Times New Roman Bold">
    <w:altName w:val="Times New Roman"/>
    <w:panose1 w:val="02020803070505020304"/>
    <w:charset w:val="00"/>
    <w:family w:val="auto"/>
    <w:pitch w:val="default"/>
    <w:sig w:usb0="00000000" w:usb1="00000000" w:usb2="00000001" w:usb3="00000000" w:csb0="400001BF" w:csb1="DFF70000"/>
  </w:font>
  <w:font w:name="Arial Rounded MT Bold">
    <w:altName w:val="Arial"/>
    <w:panose1 w:val="020F0704030504030204"/>
    <w:charset w:val="00"/>
    <w:family w:val="swiss"/>
    <w:pitch w:val="default"/>
    <w:sig w:usb0="00000000" w:usb1="00000000" w:usb2="00000000" w:usb3="00000000" w:csb0="20000001" w:csb1="00000000"/>
    <w:embedRegular r:id="rId6" w:fontKey="{CC97B0DE-69FE-4BAB-8130-72FCF0F6091D}"/>
  </w:font>
  <w:font w:name=".......">
    <w:altName w:val="宋体"/>
    <w:panose1 w:val="00000000000000000000"/>
    <w:charset w:val="86"/>
    <w:family w:val="roman"/>
    <w:pitch w:val="default"/>
    <w:sig w:usb0="00000000" w:usb1="00000000" w:usb2="00000010" w:usb3="00000000" w:csb0="00040001" w:csb1="00000000"/>
  </w:font>
  <w:font w:name="汉仪中等线KW">
    <w:altName w:val="宋体"/>
    <w:panose1 w:val="00000000000000000000"/>
    <w:charset w:val="86"/>
    <w:family w:val="auto"/>
    <w:pitch w:val="default"/>
    <w:sig w:usb0="00000000" w:usb1="00000000" w:usb2="00000000" w:usb3="00000000" w:csb0="00040001" w:csb1="00000000"/>
    <w:embedRegular r:id="rId7" w:fontKey="{804E7AEA-BF82-4AAB-9974-B82353B58E6E}"/>
  </w:font>
  <w:font w:name="方正公文小标宋">
    <w:panose1 w:val="02000500000000000000"/>
    <w:charset w:val="86"/>
    <w:family w:val="auto"/>
    <w:pitch w:val="default"/>
    <w:sig w:usb0="A00002BF" w:usb1="38CF7CFA" w:usb2="00000016" w:usb3="00000000" w:csb0="00040001" w:csb1="00000000"/>
    <w:embedRegular r:id="rId8" w:fontKey="{8DF39F76-A05E-46D7-9B3C-B2C764FBF652}"/>
  </w:font>
  <w:font w:name="Times New Roman Regular">
    <w:altName w:val="Times New Roman"/>
    <w:panose1 w:val="00000000000000000000"/>
    <w:charset w:val="00"/>
    <w:family w:val="auto"/>
    <w:pitch w:val="default"/>
    <w:sig w:usb0="00000000" w:usb1="00000000" w:usb2="00000001" w:usb3="00000000" w:csb0="400001BF" w:csb1="DFF70000"/>
    <w:embedRegular r:id="rId9" w:fontKey="{30532BB4-1B5C-4935-A27A-2A6CAB60A266}"/>
  </w:font>
  <w:font w:name="Segoe UI Symbol">
    <w:panose1 w:val="020B0502040204020203"/>
    <w:charset w:val="00"/>
    <w:family w:val="swiss"/>
    <w:pitch w:val="default"/>
    <w:sig w:usb0="800001E3" w:usb1="1200FFEF" w:usb2="00040000" w:usb3="04000000" w:csb0="00000001" w:csb1="40000000"/>
    <w:embedRegular r:id="rId10" w:fontKey="{0A82FAB5-56DA-4723-B0AA-ABED9FCAB65F}"/>
  </w:font>
  <w:font w:name="Wingdings 2">
    <w:panose1 w:val="05020102010507070707"/>
    <w:charset w:val="02"/>
    <w:family w:val="roman"/>
    <w:pitch w:val="default"/>
    <w:sig w:usb0="00000000" w:usb1="00000000" w:usb2="00000000" w:usb3="00000000" w:csb0="80000000" w:csb1="00000000"/>
    <w:embedRegular r:id="rId11" w:fontKey="{2A6509AB-C232-4A58-81D1-EABED6CB9468}"/>
  </w:font>
  <w:font w:name="华文仿宋">
    <w:panose1 w:val="02010600040101010101"/>
    <w:charset w:val="86"/>
    <w:family w:val="auto"/>
    <w:pitch w:val="default"/>
    <w:sig w:usb0="00000287" w:usb1="080F0000" w:usb2="00000000" w:usb3="00000000" w:csb0="0004009F" w:csb1="DFD70000"/>
    <w:embedRegular r:id="rId12" w:fontKey="{A64176AC-B12F-4BEF-BDFB-966F8B69D841}"/>
  </w:font>
  <w:font w:name="等线">
    <w:panose1 w:val="02010600030101010101"/>
    <w:charset w:val="86"/>
    <w:family w:val="auto"/>
    <w:pitch w:val="default"/>
    <w:sig w:usb0="A00002BF" w:usb1="38CF7CFA" w:usb2="00000016" w:usb3="00000000" w:csb0="0004000F" w:csb1="00000000"/>
    <w:embedRegular r:id="rId13" w:fontKey="{1D353A0E-4762-4767-A649-5DBF0FCA9031}"/>
  </w:font>
  <w:font w:name="Tahoma">
    <w:panose1 w:val="020B0604030504040204"/>
    <w:charset w:val="00"/>
    <w:family w:val="auto"/>
    <w:pitch w:val="default"/>
    <w:sig w:usb0="E1002EFF" w:usb1="C000605B" w:usb2="00000029" w:usb3="00000000" w:csb0="200101FF" w:csb1="20280000"/>
  </w:font>
  <w:font w:name="Wingdings 2">
    <w:panose1 w:val="05020102010507070707"/>
    <w:charset w:val="00"/>
    <w:family w:val="auto"/>
    <w:pitch w:val="default"/>
    <w:sig w:usb0="00000000" w:usb1="00000000" w:usb2="00000000" w:usb3="00000000" w:csb0="80000000" w:csb1="00000000"/>
    <w:embedRegular r:id="rId14" w:fontKey="{4DBC29EB-0F29-4F09-B552-FE1D43B6BD3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4855F">
    <w:pPr>
      <w:pStyle w:val="2"/>
      <w:ind w:firstLine="360"/>
      <w:jc w:val="center"/>
    </w:pPr>
    <w:r>
      <w:fldChar w:fldCharType="begin"/>
    </w:r>
    <w:r>
      <w:instrText xml:space="preserve">PAGE   \* MERGEFORMAT</w:instrText>
    </w:r>
    <w:r>
      <w:fldChar w:fldCharType="separate"/>
    </w:r>
    <w:r>
      <w:rPr>
        <w:lang w:val="zh-CN"/>
      </w:rPr>
      <w:t>55</w:t>
    </w:r>
    <w:r>
      <w:rPr>
        <w:lang w:val="zh-CN"/>
      </w:rPr>
      <w:fldChar w:fldCharType="end"/>
    </w:r>
  </w:p>
  <w:p w14:paraId="492E337B">
    <w:pPr>
      <w:pStyle w:val="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C33EA">
    <w:pPr>
      <w:pStyle w:val="2"/>
      <w:ind w:firstLine="42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144AF"/>
    <w:multiLevelType w:val="singleLevel"/>
    <w:tmpl w:val="8DE144AF"/>
    <w:lvl w:ilvl="0" w:tentative="0">
      <w:start w:val="1"/>
      <w:numFmt w:val="decimal"/>
      <w:suff w:val="space"/>
      <w:lvlText w:val="%1."/>
      <w:lvlJc w:val="left"/>
    </w:lvl>
  </w:abstractNum>
  <w:abstractNum w:abstractNumId="1">
    <w:nsid w:val="BC7A4140"/>
    <w:multiLevelType w:val="singleLevel"/>
    <w:tmpl w:val="BC7A4140"/>
    <w:lvl w:ilvl="0" w:tentative="0">
      <w:start w:val="1"/>
      <w:numFmt w:val="decimalEnclosedCircleChinese"/>
      <w:suff w:val="nothing"/>
      <w:lvlText w:val="%1　"/>
      <w:lvlJc w:val="left"/>
      <w:pPr>
        <w:ind w:left="0" w:firstLine="400"/>
      </w:pPr>
      <w:rPr>
        <w:rFonts w:hint="eastAsia"/>
      </w:rPr>
    </w:lvl>
  </w:abstractNum>
  <w:abstractNum w:abstractNumId="2">
    <w:nsid w:val="D977128E"/>
    <w:multiLevelType w:val="singleLevel"/>
    <w:tmpl w:val="D977128E"/>
    <w:lvl w:ilvl="0" w:tentative="0">
      <w:start w:val="4"/>
      <w:numFmt w:val="decimal"/>
      <w:lvlText w:val="%1."/>
      <w:lvlJc w:val="left"/>
      <w:pPr>
        <w:tabs>
          <w:tab w:val="left" w:pos="312"/>
        </w:tabs>
      </w:pPr>
    </w:lvl>
  </w:abstractNum>
  <w:abstractNum w:abstractNumId="3">
    <w:nsid w:val="EC88D576"/>
    <w:multiLevelType w:val="singleLevel"/>
    <w:tmpl w:val="EC88D576"/>
    <w:lvl w:ilvl="0" w:tentative="0">
      <w:start w:val="1"/>
      <w:numFmt w:val="decimal"/>
      <w:lvlText w:val="%1."/>
      <w:lvlJc w:val="left"/>
      <w:pPr>
        <w:ind w:left="425" w:hanging="425"/>
      </w:pPr>
      <w:rPr>
        <w:rFonts w:hint="default"/>
      </w:rPr>
    </w:lvl>
  </w:abstractNum>
  <w:abstractNum w:abstractNumId="4">
    <w:nsid w:val="055132CC"/>
    <w:multiLevelType w:val="singleLevel"/>
    <w:tmpl w:val="055132CC"/>
    <w:lvl w:ilvl="0" w:tentative="0">
      <w:start w:val="1"/>
      <w:numFmt w:val="decimalEnclosedCircleChinese"/>
      <w:suff w:val="nothing"/>
      <w:lvlText w:val="%1　"/>
      <w:lvlJc w:val="left"/>
      <w:pPr>
        <w:ind w:left="0" w:firstLine="400"/>
      </w:pPr>
      <w:rPr>
        <w:rFonts w:hint="eastAsia"/>
      </w:rPr>
    </w:lvl>
  </w:abstractNum>
  <w:abstractNum w:abstractNumId="5">
    <w:nsid w:val="0FE02CB0"/>
    <w:multiLevelType w:val="multilevel"/>
    <w:tmpl w:val="0FE02CB0"/>
    <w:lvl w:ilvl="0" w:tentative="0">
      <w:start w:val="1"/>
      <w:numFmt w:val="decimalEnclosedCircle"/>
      <w:lvlText w:val="%1"/>
      <w:lvlJc w:val="left"/>
      <w:pPr>
        <w:ind w:left="782" w:hanging="360"/>
      </w:pPr>
      <w:rPr>
        <w:rFonts w:hint="default"/>
        <w:u w:val="none"/>
      </w:rPr>
    </w:lvl>
    <w:lvl w:ilvl="1" w:tentative="0">
      <w:start w:val="1"/>
      <w:numFmt w:val="lowerLetter"/>
      <w:lvlText w:val="%2)"/>
      <w:lvlJc w:val="left"/>
      <w:pPr>
        <w:ind w:left="1262" w:hanging="420"/>
      </w:pPr>
      <w:rPr>
        <w:rFonts w:hint="default"/>
        <w:u w:val="none"/>
      </w:rPr>
    </w:lvl>
    <w:lvl w:ilvl="2" w:tentative="0">
      <w:start w:val="1"/>
      <w:numFmt w:val="lowerRoman"/>
      <w:lvlText w:val="%3."/>
      <w:lvlJc w:val="right"/>
      <w:pPr>
        <w:ind w:left="1682" w:hanging="420"/>
      </w:pPr>
      <w:rPr>
        <w:rFonts w:hint="default"/>
        <w:u w:val="none"/>
      </w:rPr>
    </w:lvl>
    <w:lvl w:ilvl="3" w:tentative="0">
      <w:start w:val="1"/>
      <w:numFmt w:val="decimal"/>
      <w:lvlText w:val="%4."/>
      <w:lvlJc w:val="left"/>
      <w:pPr>
        <w:ind w:left="2102" w:hanging="420"/>
      </w:pPr>
      <w:rPr>
        <w:rFonts w:hint="default"/>
        <w:u w:val="none"/>
      </w:rPr>
    </w:lvl>
    <w:lvl w:ilvl="4" w:tentative="0">
      <w:start w:val="1"/>
      <w:numFmt w:val="lowerLetter"/>
      <w:lvlText w:val="%5)"/>
      <w:lvlJc w:val="left"/>
      <w:pPr>
        <w:ind w:left="2522" w:hanging="420"/>
      </w:pPr>
      <w:rPr>
        <w:rFonts w:hint="default"/>
        <w:u w:val="none"/>
      </w:rPr>
    </w:lvl>
    <w:lvl w:ilvl="5" w:tentative="0">
      <w:start w:val="1"/>
      <w:numFmt w:val="lowerRoman"/>
      <w:lvlText w:val="%6."/>
      <w:lvlJc w:val="right"/>
      <w:pPr>
        <w:ind w:left="2942" w:hanging="420"/>
      </w:pPr>
      <w:rPr>
        <w:rFonts w:hint="default"/>
        <w:u w:val="none"/>
      </w:rPr>
    </w:lvl>
    <w:lvl w:ilvl="6" w:tentative="0">
      <w:start w:val="1"/>
      <w:numFmt w:val="decimal"/>
      <w:lvlText w:val="%7."/>
      <w:lvlJc w:val="left"/>
      <w:pPr>
        <w:ind w:left="3362" w:hanging="420"/>
      </w:pPr>
      <w:rPr>
        <w:rFonts w:hint="default"/>
        <w:u w:val="none"/>
      </w:rPr>
    </w:lvl>
    <w:lvl w:ilvl="7" w:tentative="0">
      <w:start w:val="1"/>
      <w:numFmt w:val="lowerLetter"/>
      <w:lvlText w:val="%8)"/>
      <w:lvlJc w:val="left"/>
      <w:pPr>
        <w:ind w:left="3782" w:hanging="420"/>
      </w:pPr>
      <w:rPr>
        <w:rFonts w:hint="default"/>
        <w:u w:val="none"/>
      </w:rPr>
    </w:lvl>
    <w:lvl w:ilvl="8" w:tentative="0">
      <w:start w:val="1"/>
      <w:numFmt w:val="lowerRoman"/>
      <w:lvlText w:val="%9."/>
      <w:lvlJc w:val="right"/>
      <w:pPr>
        <w:ind w:left="4202" w:hanging="420"/>
      </w:pPr>
      <w:rPr>
        <w:rFonts w:hint="default"/>
        <w:u w:val="none"/>
      </w:rPr>
    </w:lvl>
  </w:abstractNum>
  <w:abstractNum w:abstractNumId="6">
    <w:nsid w:val="13530155"/>
    <w:multiLevelType w:val="multilevel"/>
    <w:tmpl w:val="13530155"/>
    <w:lvl w:ilvl="0" w:tentative="0">
      <w:start w:val="1"/>
      <w:numFmt w:val="decimal"/>
      <w:pStyle w:val="28"/>
      <w:lvlText w:val="（%1）"/>
      <w:lvlJc w:val="left"/>
      <w:pPr>
        <w:ind w:left="862" w:hanging="720"/>
      </w:pPr>
      <w:rPr>
        <w:rFonts w:hint="default"/>
        <w:u w:val="none"/>
      </w:rPr>
    </w:lvl>
    <w:lvl w:ilvl="1" w:tentative="0">
      <w:start w:val="1"/>
      <w:numFmt w:val="lowerLetter"/>
      <w:lvlText w:val="%2)"/>
      <w:lvlJc w:val="left"/>
      <w:pPr>
        <w:ind w:left="840" w:hanging="420"/>
      </w:pPr>
      <w:rPr>
        <w:rFonts w:hint="default"/>
        <w:u w:val="none"/>
      </w:rPr>
    </w:lvl>
    <w:lvl w:ilvl="2" w:tentative="0">
      <w:start w:val="1"/>
      <w:numFmt w:val="lowerRoman"/>
      <w:lvlText w:val="%3."/>
      <w:lvlJc w:val="right"/>
      <w:pPr>
        <w:ind w:left="1260" w:hanging="420"/>
      </w:pPr>
      <w:rPr>
        <w:rFonts w:hint="default"/>
        <w:u w:val="none"/>
      </w:rPr>
    </w:lvl>
    <w:lvl w:ilvl="3" w:tentative="0">
      <w:start w:val="1"/>
      <w:numFmt w:val="decimal"/>
      <w:lvlText w:val="%4."/>
      <w:lvlJc w:val="left"/>
      <w:pPr>
        <w:ind w:left="1680" w:hanging="420"/>
      </w:pPr>
      <w:rPr>
        <w:rFonts w:hint="default"/>
        <w:u w:val="none"/>
      </w:rPr>
    </w:lvl>
    <w:lvl w:ilvl="4" w:tentative="0">
      <w:start w:val="1"/>
      <w:numFmt w:val="lowerLetter"/>
      <w:lvlText w:val="%5)"/>
      <w:lvlJc w:val="left"/>
      <w:pPr>
        <w:ind w:left="2100" w:hanging="420"/>
      </w:pPr>
      <w:rPr>
        <w:rFonts w:hint="default"/>
        <w:u w:val="none"/>
      </w:rPr>
    </w:lvl>
    <w:lvl w:ilvl="5" w:tentative="0">
      <w:start w:val="1"/>
      <w:numFmt w:val="lowerRoman"/>
      <w:lvlText w:val="%6."/>
      <w:lvlJc w:val="right"/>
      <w:pPr>
        <w:ind w:left="2520" w:hanging="420"/>
      </w:pPr>
      <w:rPr>
        <w:rFonts w:hint="default"/>
        <w:u w:val="none"/>
      </w:rPr>
    </w:lvl>
    <w:lvl w:ilvl="6" w:tentative="0">
      <w:start w:val="1"/>
      <w:numFmt w:val="decimal"/>
      <w:lvlText w:val="%7."/>
      <w:lvlJc w:val="left"/>
      <w:pPr>
        <w:ind w:left="2940" w:hanging="420"/>
      </w:pPr>
      <w:rPr>
        <w:rFonts w:hint="default"/>
        <w:u w:val="none"/>
      </w:rPr>
    </w:lvl>
    <w:lvl w:ilvl="7" w:tentative="0">
      <w:start w:val="1"/>
      <w:numFmt w:val="lowerLetter"/>
      <w:lvlText w:val="%8)"/>
      <w:lvlJc w:val="left"/>
      <w:pPr>
        <w:ind w:left="3360" w:hanging="420"/>
      </w:pPr>
      <w:rPr>
        <w:rFonts w:hint="default"/>
        <w:u w:val="none"/>
      </w:rPr>
    </w:lvl>
    <w:lvl w:ilvl="8" w:tentative="0">
      <w:start w:val="1"/>
      <w:numFmt w:val="lowerRoman"/>
      <w:lvlText w:val="%9."/>
      <w:lvlJc w:val="right"/>
      <w:pPr>
        <w:ind w:left="3780" w:hanging="420"/>
      </w:pPr>
      <w:rPr>
        <w:rFonts w:hint="default"/>
        <w:u w:val="none"/>
      </w:rPr>
    </w:lvl>
  </w:abstractNum>
  <w:abstractNum w:abstractNumId="7">
    <w:nsid w:val="33185E75"/>
    <w:multiLevelType w:val="multilevel"/>
    <w:tmpl w:val="33185E75"/>
    <w:lvl w:ilvl="0" w:tentative="0">
      <w:start w:val="1"/>
      <w:numFmt w:val="japaneseCounting"/>
      <w:lvlText w:val="第%1条"/>
      <w:lvlJc w:val="left"/>
      <w:pPr>
        <w:ind w:left="768" w:hanging="768"/>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589F86E"/>
    <w:multiLevelType w:val="singleLevel"/>
    <w:tmpl w:val="7589F86E"/>
    <w:lvl w:ilvl="0" w:tentative="0">
      <w:start w:val="1"/>
      <w:numFmt w:val="decimal"/>
      <w:lvlText w:val="(%1)"/>
      <w:lvlJc w:val="left"/>
      <w:pPr>
        <w:tabs>
          <w:tab w:val="left" w:pos="312"/>
        </w:tabs>
      </w:pPr>
    </w:lvl>
  </w:abstractNum>
  <w:abstractNum w:abstractNumId="9">
    <w:nsid w:val="7EF1B124"/>
    <w:multiLevelType w:val="singleLevel"/>
    <w:tmpl w:val="7EF1B124"/>
    <w:lvl w:ilvl="0" w:tentative="0">
      <w:start w:val="1"/>
      <w:numFmt w:val="decimal"/>
      <w:suff w:val="nothing"/>
      <w:lvlText w:val="（%1）"/>
      <w:lvlJc w:val="left"/>
    </w:lvl>
  </w:abstractNum>
  <w:num w:numId="1">
    <w:abstractNumId w:val="6"/>
  </w:num>
  <w:num w:numId="2">
    <w:abstractNumId w:val="8"/>
  </w:num>
  <w:num w:numId="3">
    <w:abstractNumId w:val="0"/>
  </w:num>
  <w:num w:numId="4">
    <w:abstractNumId w:val="4"/>
  </w:num>
  <w:num w:numId="5">
    <w:abstractNumId w:val="9"/>
  </w:num>
  <w:num w:numId="6">
    <w:abstractNumId w:val="7"/>
  </w:num>
  <w:num w:numId="7">
    <w:abstractNumId w:val="5"/>
  </w:num>
  <w:num w:numId="8">
    <w:abstractNumId w:val="2"/>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40D0"/>
    <w:rsid w:val="00086D0A"/>
    <w:rsid w:val="00092B64"/>
    <w:rsid w:val="000A67B6"/>
    <w:rsid w:val="000C382E"/>
    <w:rsid w:val="000E41F9"/>
    <w:rsid w:val="00113CE7"/>
    <w:rsid w:val="0012527A"/>
    <w:rsid w:val="00127A43"/>
    <w:rsid w:val="00140824"/>
    <w:rsid w:val="00150F22"/>
    <w:rsid w:val="00172A27"/>
    <w:rsid w:val="00177782"/>
    <w:rsid w:val="00184FFA"/>
    <w:rsid w:val="00190C6B"/>
    <w:rsid w:val="001B08B8"/>
    <w:rsid w:val="001C0251"/>
    <w:rsid w:val="001D50A9"/>
    <w:rsid w:val="001E2CB8"/>
    <w:rsid w:val="002068EE"/>
    <w:rsid w:val="00206D31"/>
    <w:rsid w:val="00222323"/>
    <w:rsid w:val="00225DBA"/>
    <w:rsid w:val="00230F88"/>
    <w:rsid w:val="0025317E"/>
    <w:rsid w:val="00292D0C"/>
    <w:rsid w:val="002C535B"/>
    <w:rsid w:val="002E545E"/>
    <w:rsid w:val="002E7054"/>
    <w:rsid w:val="002F0D37"/>
    <w:rsid w:val="00311C19"/>
    <w:rsid w:val="00344083"/>
    <w:rsid w:val="00345343"/>
    <w:rsid w:val="003524B2"/>
    <w:rsid w:val="0035466C"/>
    <w:rsid w:val="00390696"/>
    <w:rsid w:val="003A5179"/>
    <w:rsid w:val="003A6C19"/>
    <w:rsid w:val="003B255D"/>
    <w:rsid w:val="003B4EF8"/>
    <w:rsid w:val="004270F0"/>
    <w:rsid w:val="00435D8E"/>
    <w:rsid w:val="00450127"/>
    <w:rsid w:val="004C17DD"/>
    <w:rsid w:val="004C5142"/>
    <w:rsid w:val="004D0498"/>
    <w:rsid w:val="004F7A79"/>
    <w:rsid w:val="004F7D07"/>
    <w:rsid w:val="00515E73"/>
    <w:rsid w:val="0057701E"/>
    <w:rsid w:val="005834C5"/>
    <w:rsid w:val="00584855"/>
    <w:rsid w:val="005C4D94"/>
    <w:rsid w:val="00613A46"/>
    <w:rsid w:val="006235E0"/>
    <w:rsid w:val="00637F6A"/>
    <w:rsid w:val="00661BDB"/>
    <w:rsid w:val="00671E0A"/>
    <w:rsid w:val="00697C36"/>
    <w:rsid w:val="006B19E9"/>
    <w:rsid w:val="006B5B1C"/>
    <w:rsid w:val="006C3C53"/>
    <w:rsid w:val="006C7D19"/>
    <w:rsid w:val="006E3127"/>
    <w:rsid w:val="0070674F"/>
    <w:rsid w:val="00725049"/>
    <w:rsid w:val="00755E62"/>
    <w:rsid w:val="00770195"/>
    <w:rsid w:val="00796927"/>
    <w:rsid w:val="007A3018"/>
    <w:rsid w:val="007A4362"/>
    <w:rsid w:val="007B0BEC"/>
    <w:rsid w:val="007E092D"/>
    <w:rsid w:val="007E7934"/>
    <w:rsid w:val="0083042C"/>
    <w:rsid w:val="00853AD7"/>
    <w:rsid w:val="00866E46"/>
    <w:rsid w:val="00892EB9"/>
    <w:rsid w:val="00892FD1"/>
    <w:rsid w:val="008B2193"/>
    <w:rsid w:val="008C0B3B"/>
    <w:rsid w:val="008C7A4D"/>
    <w:rsid w:val="008F3D4F"/>
    <w:rsid w:val="008F6FC3"/>
    <w:rsid w:val="0091621B"/>
    <w:rsid w:val="009246AC"/>
    <w:rsid w:val="0093570F"/>
    <w:rsid w:val="00940804"/>
    <w:rsid w:val="00940F93"/>
    <w:rsid w:val="00953631"/>
    <w:rsid w:val="0097283D"/>
    <w:rsid w:val="009D06B7"/>
    <w:rsid w:val="009D288E"/>
    <w:rsid w:val="009D38F7"/>
    <w:rsid w:val="009E07D1"/>
    <w:rsid w:val="009E1412"/>
    <w:rsid w:val="009E25C6"/>
    <w:rsid w:val="009F0D65"/>
    <w:rsid w:val="009F418A"/>
    <w:rsid w:val="00A1024B"/>
    <w:rsid w:val="00A15D08"/>
    <w:rsid w:val="00A2794A"/>
    <w:rsid w:val="00A70402"/>
    <w:rsid w:val="00A9484A"/>
    <w:rsid w:val="00A9543A"/>
    <w:rsid w:val="00AC34B7"/>
    <w:rsid w:val="00AF0224"/>
    <w:rsid w:val="00AF3492"/>
    <w:rsid w:val="00AF5350"/>
    <w:rsid w:val="00B017B3"/>
    <w:rsid w:val="00B115A8"/>
    <w:rsid w:val="00B14105"/>
    <w:rsid w:val="00B21B54"/>
    <w:rsid w:val="00B561ED"/>
    <w:rsid w:val="00B6424E"/>
    <w:rsid w:val="00B707F0"/>
    <w:rsid w:val="00BC5E3A"/>
    <w:rsid w:val="00BD5F23"/>
    <w:rsid w:val="00BE4686"/>
    <w:rsid w:val="00C04150"/>
    <w:rsid w:val="00C05EDF"/>
    <w:rsid w:val="00C37350"/>
    <w:rsid w:val="00C4534D"/>
    <w:rsid w:val="00C50C72"/>
    <w:rsid w:val="00C53742"/>
    <w:rsid w:val="00C90EE0"/>
    <w:rsid w:val="00C93E09"/>
    <w:rsid w:val="00CD74D9"/>
    <w:rsid w:val="00CE3FD1"/>
    <w:rsid w:val="00D37283"/>
    <w:rsid w:val="00D545BE"/>
    <w:rsid w:val="00D90443"/>
    <w:rsid w:val="00DE1B5D"/>
    <w:rsid w:val="00DF1F4D"/>
    <w:rsid w:val="00DF5774"/>
    <w:rsid w:val="00E1182C"/>
    <w:rsid w:val="00E13188"/>
    <w:rsid w:val="00E80035"/>
    <w:rsid w:val="00ED4F2C"/>
    <w:rsid w:val="00EE417B"/>
    <w:rsid w:val="00EF04AE"/>
    <w:rsid w:val="00F20B67"/>
    <w:rsid w:val="00F50386"/>
    <w:rsid w:val="00F82894"/>
    <w:rsid w:val="00F96D06"/>
    <w:rsid w:val="00FA0BC1"/>
    <w:rsid w:val="00FA117C"/>
    <w:rsid w:val="00FB674C"/>
    <w:rsid w:val="00FD7C97"/>
    <w:rsid w:val="00FF2DB4"/>
    <w:rsid w:val="00FF323B"/>
    <w:rsid w:val="00FF7A55"/>
    <w:rsid w:val="03461186"/>
    <w:rsid w:val="03AF5070"/>
    <w:rsid w:val="04C024E9"/>
    <w:rsid w:val="09AA793D"/>
    <w:rsid w:val="09AE436B"/>
    <w:rsid w:val="0A477499"/>
    <w:rsid w:val="0C35558D"/>
    <w:rsid w:val="0C4C51C5"/>
    <w:rsid w:val="0C80768D"/>
    <w:rsid w:val="0CD957A2"/>
    <w:rsid w:val="115E0D82"/>
    <w:rsid w:val="148518F7"/>
    <w:rsid w:val="14F61B66"/>
    <w:rsid w:val="15C11D4D"/>
    <w:rsid w:val="164B7A0B"/>
    <w:rsid w:val="16E969CD"/>
    <w:rsid w:val="17410D0D"/>
    <w:rsid w:val="1778677A"/>
    <w:rsid w:val="179B1249"/>
    <w:rsid w:val="193E01AD"/>
    <w:rsid w:val="19832F11"/>
    <w:rsid w:val="1A153B4F"/>
    <w:rsid w:val="1A6900E2"/>
    <w:rsid w:val="1C211FDF"/>
    <w:rsid w:val="1CAB253E"/>
    <w:rsid w:val="22746E93"/>
    <w:rsid w:val="228927DD"/>
    <w:rsid w:val="23C47FE2"/>
    <w:rsid w:val="23F377D6"/>
    <w:rsid w:val="24AE6970"/>
    <w:rsid w:val="24D50BFC"/>
    <w:rsid w:val="25490132"/>
    <w:rsid w:val="25B3084B"/>
    <w:rsid w:val="26D04191"/>
    <w:rsid w:val="27004A09"/>
    <w:rsid w:val="2CFC18FC"/>
    <w:rsid w:val="2D3858AE"/>
    <w:rsid w:val="2DD846C1"/>
    <w:rsid w:val="2E5806B6"/>
    <w:rsid w:val="2FBD3720"/>
    <w:rsid w:val="312C3164"/>
    <w:rsid w:val="33DA5E7C"/>
    <w:rsid w:val="380E3E07"/>
    <w:rsid w:val="3A0E7DFC"/>
    <w:rsid w:val="3EB40485"/>
    <w:rsid w:val="3F0244EE"/>
    <w:rsid w:val="42802118"/>
    <w:rsid w:val="43AE4585"/>
    <w:rsid w:val="46ED2AE9"/>
    <w:rsid w:val="4A49144C"/>
    <w:rsid w:val="4C6B37E7"/>
    <w:rsid w:val="4D224BDA"/>
    <w:rsid w:val="4FD060AD"/>
    <w:rsid w:val="507247E4"/>
    <w:rsid w:val="51E14F93"/>
    <w:rsid w:val="52B74744"/>
    <w:rsid w:val="57B52EA4"/>
    <w:rsid w:val="5AF764D6"/>
    <w:rsid w:val="5C1124AF"/>
    <w:rsid w:val="5C46158B"/>
    <w:rsid w:val="5DA46C2D"/>
    <w:rsid w:val="5ED91A45"/>
    <w:rsid w:val="637E3E78"/>
    <w:rsid w:val="64413F98"/>
    <w:rsid w:val="66E9050F"/>
    <w:rsid w:val="69A91CCA"/>
    <w:rsid w:val="6B5535AB"/>
    <w:rsid w:val="6CA67AE7"/>
    <w:rsid w:val="6E1226F7"/>
    <w:rsid w:val="7022430D"/>
    <w:rsid w:val="72394A08"/>
    <w:rsid w:val="7548393C"/>
    <w:rsid w:val="763977D8"/>
    <w:rsid w:val="76C9011F"/>
    <w:rsid w:val="791F05AB"/>
    <w:rsid w:val="7A84522E"/>
    <w:rsid w:val="7BFA5916"/>
    <w:rsid w:val="7C594C70"/>
    <w:rsid w:val="7CC72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wordWrap w:val="0"/>
      <w:adjustRightInd w:val="0"/>
      <w:snapToGrid w:val="0"/>
      <w:spacing w:line="500" w:lineRule="exact"/>
      <w:ind w:firstLine="1044" w:firstLineChars="200"/>
      <w:jc w:val="both"/>
    </w:pPr>
    <w:rPr>
      <w:rFonts w:ascii="Times New Roman" w:hAnsi="Times New Roman" w:eastAsia="华文宋体" w:cs="Times New Roman"/>
      <w:kern w:val="2"/>
      <w:sz w:val="24"/>
      <w:lang w:val="en-US" w:eastAsia="zh-CN" w:bidi="ar-SA"/>
    </w:rPr>
  </w:style>
  <w:style w:type="paragraph" w:styleId="3">
    <w:name w:val="heading 1"/>
    <w:basedOn w:val="1"/>
    <w:next w:val="1"/>
    <w:link w:val="27"/>
    <w:qFormat/>
    <w:uiPriority w:val="0"/>
    <w:pPr>
      <w:keepNext/>
      <w:keepLines/>
      <w:spacing w:before="560" w:after="560" w:line="600" w:lineRule="exact"/>
      <w:ind w:firstLine="0" w:firstLineChars="0"/>
      <w:jc w:val="center"/>
      <w:outlineLvl w:val="0"/>
    </w:pPr>
    <w:rPr>
      <w:rFonts w:ascii="华文宋体" w:hAnsi="华文宋体" w:eastAsia="方正公文黑体"/>
      <w:bCs/>
      <w:kern w:val="44"/>
      <w:sz w:val="44"/>
      <w:szCs w:val="44"/>
    </w:rPr>
  </w:style>
  <w:style w:type="paragraph" w:styleId="4">
    <w:name w:val="heading 2"/>
    <w:basedOn w:val="3"/>
    <w:next w:val="1"/>
    <w:qFormat/>
    <w:uiPriority w:val="0"/>
    <w:pPr>
      <w:adjustRightInd/>
      <w:snapToGrid/>
      <w:spacing w:before="100" w:beforeLines="100" w:after="100" w:afterLines="100"/>
      <w:jc w:val="left"/>
      <w:textAlignment w:val="baseline"/>
      <w:outlineLvl w:val="1"/>
    </w:pPr>
    <w:rPr>
      <w:rFonts w:ascii="Times New Roman Bold" w:hAnsi="Times New Roman Bold"/>
      <w:b/>
      <w:sz w:val="32"/>
    </w:rPr>
  </w:style>
  <w:style w:type="paragraph" w:styleId="5">
    <w:name w:val="heading 3"/>
    <w:basedOn w:val="1"/>
    <w:next w:val="1"/>
    <w:qFormat/>
    <w:uiPriority w:val="0"/>
    <w:pPr>
      <w:keepNext/>
      <w:keepLines/>
      <w:spacing w:before="400" w:after="400"/>
      <w:jc w:val="left"/>
      <w:textAlignment w:val="baseline"/>
      <w:outlineLvl w:val="2"/>
    </w:pPr>
    <w:rPr>
      <w:b/>
      <w:sz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jc w:val="left"/>
    </w:pPr>
    <w:rPr>
      <w:sz w:val="18"/>
      <w:szCs w:val="18"/>
    </w:rPr>
  </w:style>
  <w:style w:type="paragraph" w:styleId="6">
    <w:name w:val="Normal Indent"/>
    <w:basedOn w:val="1"/>
    <w:qFormat/>
    <w:uiPriority w:val="99"/>
    <w:pPr>
      <w:spacing w:line="360" w:lineRule="atLeast"/>
      <w:ind w:firstLine="420"/>
      <w:jc w:val="left"/>
      <w:textAlignment w:val="baseline"/>
    </w:pPr>
    <w:rPr>
      <w:kern w:val="0"/>
    </w:rPr>
  </w:style>
  <w:style w:type="paragraph" w:styleId="7">
    <w:name w:val="annotation text"/>
    <w:basedOn w:val="1"/>
    <w:link w:val="31"/>
    <w:qFormat/>
    <w:uiPriority w:val="0"/>
    <w:pPr>
      <w:jc w:val="left"/>
    </w:pPr>
  </w:style>
  <w:style w:type="paragraph" w:styleId="8">
    <w:name w:val="Body Text 3"/>
    <w:basedOn w:val="1"/>
    <w:qFormat/>
    <w:uiPriority w:val="0"/>
    <w:rPr>
      <w:rFonts w:ascii="华文宋体"/>
    </w:rPr>
  </w:style>
  <w:style w:type="paragraph" w:styleId="9">
    <w:name w:val="Body Text"/>
    <w:basedOn w:val="1"/>
    <w:qFormat/>
    <w:uiPriority w:val="0"/>
    <w:pPr>
      <w:spacing w:after="120"/>
    </w:pPr>
  </w:style>
  <w:style w:type="paragraph" w:styleId="10">
    <w:name w:val="Body Text Indent"/>
    <w:basedOn w:val="1"/>
    <w:qFormat/>
    <w:uiPriority w:val="0"/>
    <w:pPr>
      <w:ind w:left="1" w:firstLine="563" w:firstLineChars="201"/>
    </w:pPr>
    <w:rPr>
      <w:sz w:val="28"/>
    </w:rPr>
  </w:style>
  <w:style w:type="paragraph" w:styleId="11">
    <w:name w:val="Block Text"/>
    <w:basedOn w:val="1"/>
    <w:qFormat/>
    <w:uiPriority w:val="0"/>
    <w:pPr>
      <w:spacing w:beforeLines="50"/>
      <w:ind w:left="516" w:leftChars="215" w:right="199" w:rightChars="83" w:firstLine="461" w:firstLineChars="192"/>
    </w:pPr>
    <w:rPr>
      <w:color w:val="000000"/>
    </w:rPr>
  </w:style>
  <w:style w:type="paragraph" w:styleId="12">
    <w:name w:val="toc 3"/>
    <w:basedOn w:val="1"/>
    <w:next w:val="1"/>
    <w:qFormat/>
    <w:uiPriority w:val="39"/>
    <w:pPr>
      <w:ind w:left="840" w:leftChars="400"/>
    </w:pPr>
  </w:style>
  <w:style w:type="paragraph" w:styleId="13">
    <w:name w:val="header"/>
    <w:basedOn w:val="1"/>
    <w:next w:val="1"/>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toc 2"/>
    <w:basedOn w:val="1"/>
    <w:next w:val="1"/>
    <w:qFormat/>
    <w:uiPriority w:val="39"/>
    <w:pPr>
      <w:ind w:left="420" w:leftChars="200"/>
    </w:pPr>
  </w:style>
  <w:style w:type="paragraph" w:styleId="16">
    <w:name w:val="Body Text 2"/>
    <w:basedOn w:val="1"/>
    <w:qFormat/>
    <w:uiPriority w:val="0"/>
    <w:pPr>
      <w:widowControl/>
      <w:autoSpaceDE w:val="0"/>
      <w:autoSpaceDN w:val="0"/>
      <w:spacing w:line="240" w:lineRule="auto"/>
      <w:ind w:firstLine="0" w:firstLineChars="0"/>
      <w:jc w:val="left"/>
    </w:pPr>
    <w:rPr>
      <w:kern w:val="0"/>
    </w:rPr>
  </w:style>
  <w:style w:type="paragraph" w:styleId="17">
    <w:name w:val="Normal (Web)"/>
    <w:basedOn w:val="1"/>
    <w:next w:val="1"/>
    <w:qFormat/>
    <w:uiPriority w:val="0"/>
  </w:style>
  <w:style w:type="paragraph" w:styleId="18">
    <w:name w:val="annotation subject"/>
    <w:basedOn w:val="7"/>
    <w:next w:val="7"/>
    <w:link w:val="32"/>
    <w:qFormat/>
    <w:uiPriority w:val="0"/>
    <w:pPr>
      <w:spacing w:line="240" w:lineRule="auto"/>
      <w:jc w:val="both"/>
    </w:pPr>
    <w:rPr>
      <w:b/>
      <w:bCs/>
      <w:sz w:val="20"/>
    </w:rPr>
  </w:style>
  <w:style w:type="paragraph" w:styleId="19">
    <w:name w:val="Body Text First Indent 2"/>
    <w:basedOn w:val="10"/>
    <w:qFormat/>
    <w:uiPriority w:val="0"/>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qFormat/>
    <w:uiPriority w:val="0"/>
    <w:rPr>
      <w:color w:val="0000FF"/>
      <w:u w:val="single"/>
    </w:rPr>
  </w:style>
  <w:style w:type="character" w:styleId="25">
    <w:name w:val="annotation reference"/>
    <w:basedOn w:val="22"/>
    <w:qFormat/>
    <w:uiPriority w:val="0"/>
    <w:rPr>
      <w:sz w:val="21"/>
      <w:szCs w:val="21"/>
    </w:rPr>
  </w:style>
  <w:style w:type="paragraph" w:customStyle="1" w:styleId="26">
    <w:name w:val="无间隔1"/>
    <w:unhideWhenUsed/>
    <w:qFormat/>
    <w:uiPriority w:val="1"/>
    <w:pPr>
      <w:widowControl w:val="0"/>
      <w:ind w:firstLine="200" w:firstLineChars="200"/>
      <w:jc w:val="both"/>
    </w:pPr>
    <w:rPr>
      <w:rFonts w:ascii="Arial Rounded MT Bold" w:hAnsi="Arial Rounded MT Bold" w:eastAsia="宋体" w:cs="Times New Roman"/>
      <w:kern w:val="2"/>
      <w:sz w:val="21"/>
      <w:szCs w:val="22"/>
      <w:lang w:val="en-US" w:eastAsia="zh-CN" w:bidi="ar-SA"/>
    </w:rPr>
  </w:style>
  <w:style w:type="character" w:customStyle="1" w:styleId="27">
    <w:name w:val="标题 1 字符"/>
    <w:basedOn w:val="22"/>
    <w:link w:val="3"/>
    <w:qFormat/>
    <w:uiPriority w:val="0"/>
    <w:rPr>
      <w:rFonts w:ascii="华文宋体" w:hAnsi="华文宋体" w:eastAsia="方正公文黑体"/>
      <w:bCs/>
      <w:kern w:val="44"/>
      <w:sz w:val="44"/>
      <w:szCs w:val="44"/>
    </w:rPr>
  </w:style>
  <w:style w:type="paragraph" w:styleId="28">
    <w:name w:val="List Paragraph"/>
    <w:basedOn w:val="1"/>
    <w:unhideWhenUsed/>
    <w:qFormat/>
    <w:uiPriority w:val="34"/>
    <w:pPr>
      <w:numPr>
        <w:ilvl w:val="0"/>
        <w:numId w:val="1"/>
      </w:numPr>
      <w:spacing w:line="360" w:lineRule="auto"/>
      <w:jc w:val="left"/>
    </w:pPr>
    <w:rPr>
      <w:sz w:val="21"/>
      <w:szCs w:val="24"/>
    </w:rPr>
  </w:style>
  <w:style w:type="paragraph" w:customStyle="1" w:styleId="29">
    <w:name w:val="81-正文"/>
    <w:basedOn w:val="1"/>
    <w:unhideWhenUsed/>
    <w:qFormat/>
    <w:uiPriority w:val="0"/>
    <w:pPr>
      <w:spacing w:after="156" w:afterLines="50"/>
      <w:ind w:firstLine="480"/>
    </w:pPr>
    <w:rPr>
      <w:szCs w:val="24"/>
    </w:rPr>
  </w:style>
  <w:style w:type="paragraph" w:customStyle="1" w:styleId="30">
    <w:name w:val="Default"/>
    <w:unhideWhenUsed/>
    <w:qFormat/>
    <w:uiPriority w:val="0"/>
    <w:pPr>
      <w:widowControl w:val="0"/>
      <w:autoSpaceDE w:val="0"/>
      <w:autoSpaceDN w:val="0"/>
      <w:adjustRightInd w:val="0"/>
    </w:pPr>
    <w:rPr>
      <w:rFonts w:hint="eastAsia" w:ascii="......." w:hAnsi="......." w:eastAsia="......." w:cs="......."/>
      <w:color w:val="000000"/>
      <w:sz w:val="24"/>
      <w:szCs w:val="24"/>
      <w:lang w:val="en-US" w:eastAsia="zh-CN" w:bidi="ar-SA"/>
    </w:rPr>
  </w:style>
  <w:style w:type="character" w:customStyle="1" w:styleId="31">
    <w:name w:val="批注文字 字符"/>
    <w:basedOn w:val="22"/>
    <w:link w:val="7"/>
    <w:qFormat/>
    <w:uiPriority w:val="0"/>
    <w:rPr>
      <w:rFonts w:eastAsia="华文宋体"/>
      <w:kern w:val="2"/>
      <w:sz w:val="24"/>
      <w:lang w:val="en-US"/>
    </w:rPr>
  </w:style>
  <w:style w:type="character" w:customStyle="1" w:styleId="32">
    <w:name w:val="批注主题 字符"/>
    <w:basedOn w:val="31"/>
    <w:link w:val="18"/>
    <w:qFormat/>
    <w:uiPriority w:val="0"/>
    <w:rPr>
      <w:rFonts w:eastAsia="华文宋体"/>
      <w:b/>
      <w:bCs/>
      <w:kern w:val="2"/>
      <w:sz w:val="24"/>
      <w:lang w:val="en-US"/>
    </w:rPr>
  </w:style>
  <w:style w:type="character" w:customStyle="1" w:styleId="33">
    <w:name w:val="_animating_muyve_10"/>
    <w:basedOn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6BE11-0752-5D47-9187-D49193A36905}">
  <ds:schemaRefs/>
</ds:datastoreItem>
</file>

<file path=docProps/app.xml><?xml version="1.0" encoding="utf-8"?>
<Properties xmlns="http://schemas.openxmlformats.org/officeDocument/2006/extended-properties" xmlns:vt="http://schemas.openxmlformats.org/officeDocument/2006/docPropsVTypes">
  <Template>Normal</Template>
  <Pages>127</Pages>
  <Words>10400</Words>
  <Characters>11894</Characters>
  <Lines>396</Lines>
  <Paragraphs>111</Paragraphs>
  <TotalTime>0</TotalTime>
  <ScaleCrop>false</ScaleCrop>
  <LinksUpToDate>false</LinksUpToDate>
  <CharactersWithSpaces>12152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2026-06-24T03:31:00Z</dcterms:created>
  <dc:creator>Molly</dc:creator>
  <cp:lastModifiedBy>Molly</cp:lastModifiedBy>
  <dcterms:modified xsi:type="dcterms:W3CDTF">2026-09-15T07:35:14Z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C865BF2DD9724AA8952670CE08B00437</vt:lpwstr>
  </property>
  <property fmtid="{D5CDD505-2E9C-101B-9397-08002B2CF9AE}" pid="4" name="KSOTemplateDocerSaveRecord">
    <vt:lpwstr>eyJoZGlkIjoiZGE2Mjg2YTZkZTMyMTYwY2M1OTQ5YzJlN2MyYmRjOGEiLCJ1c2VySWQiOiIzOTY5NjM1NDkifQ==</vt:lpwstr>
  </property>
</Properties>
</file>