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24E" w:rsidRPr="00B3188D" w:rsidRDefault="00485BBE">
      <w:pPr>
        <w:rPr>
          <w:rFonts w:ascii="Times New Roman" w:hAnsi="Times New Roman" w:cs="Times New Roman"/>
          <w:sz w:val="24"/>
          <w:szCs w:val="24"/>
        </w:rPr>
      </w:pPr>
      <w:r>
        <w:rPr>
          <w:rFonts w:ascii="Times New Roman" w:hAnsi="Times New Roman" w:cs="Times New Roman"/>
          <w:sz w:val="24"/>
          <w:szCs w:val="24"/>
        </w:rPr>
        <w:t>Response to Referee #2</w:t>
      </w:r>
      <w:r w:rsidR="00B3188D" w:rsidRPr="00B3188D">
        <w:rPr>
          <w:rFonts w:ascii="Times New Roman" w:hAnsi="Times New Roman" w:cs="Times New Roman"/>
          <w:sz w:val="24"/>
          <w:szCs w:val="24"/>
        </w:rPr>
        <w:t>:</w:t>
      </w:r>
    </w:p>
    <w:p w:rsidR="00485BBE" w:rsidRDefault="00485BBE" w:rsidP="00B3188D">
      <w:pPr>
        <w:rPr>
          <w:rFonts w:ascii="Times New Roman" w:hAnsi="Times New Roman" w:cs="Times New Roman"/>
          <w:sz w:val="24"/>
          <w:szCs w:val="24"/>
        </w:rPr>
      </w:pPr>
      <w:r>
        <w:rPr>
          <w:rFonts w:ascii="Times New Roman" w:hAnsi="Times New Roman" w:cs="Times New Roman"/>
          <w:sz w:val="24"/>
          <w:szCs w:val="24"/>
        </w:rPr>
        <w:t xml:space="preserve">We appreciate the </w:t>
      </w:r>
      <w:r w:rsidR="00A56381">
        <w:rPr>
          <w:rFonts w:ascii="Times New Roman" w:hAnsi="Times New Roman" w:cs="Times New Roman"/>
          <w:sz w:val="24"/>
          <w:szCs w:val="24"/>
        </w:rPr>
        <w:t>very helpful feedback</w:t>
      </w:r>
      <w:r>
        <w:rPr>
          <w:rFonts w:ascii="Times New Roman" w:hAnsi="Times New Roman" w:cs="Times New Roman"/>
          <w:sz w:val="24"/>
          <w:szCs w:val="24"/>
        </w:rPr>
        <w:t xml:space="preserve"> from the referee. The referee’s comments are listed in </w:t>
      </w:r>
      <w:r w:rsidRPr="00485BBE">
        <w:rPr>
          <w:rFonts w:ascii="Times New Roman" w:hAnsi="Times New Roman" w:cs="Times New Roman"/>
          <w:i/>
          <w:sz w:val="24"/>
          <w:szCs w:val="24"/>
        </w:rPr>
        <w:t>italics</w:t>
      </w:r>
      <w:r>
        <w:rPr>
          <w:rFonts w:ascii="Times New Roman" w:hAnsi="Times New Roman" w:cs="Times New Roman"/>
          <w:sz w:val="24"/>
          <w:szCs w:val="24"/>
        </w:rPr>
        <w:t xml:space="preserve">, followed by our response in </w:t>
      </w:r>
      <w:r w:rsidRPr="00485BBE">
        <w:rPr>
          <w:rFonts w:ascii="Times New Roman" w:hAnsi="Times New Roman" w:cs="Times New Roman"/>
          <w:color w:val="2E74B5" w:themeColor="accent1" w:themeShade="BF"/>
          <w:sz w:val="24"/>
          <w:szCs w:val="24"/>
        </w:rPr>
        <w:t>blue</w:t>
      </w:r>
      <w:r>
        <w:rPr>
          <w:rFonts w:ascii="Times New Roman" w:hAnsi="Times New Roman" w:cs="Times New Roman"/>
          <w:sz w:val="24"/>
          <w:szCs w:val="24"/>
        </w:rPr>
        <w:t xml:space="preserve">. New/modified text in the manuscript is in </w:t>
      </w:r>
      <w:r w:rsidRPr="00C12DD0">
        <w:rPr>
          <w:rFonts w:ascii="Times New Roman" w:hAnsi="Times New Roman" w:cs="Times New Roman"/>
          <w:b/>
          <w:color w:val="2E74B5" w:themeColor="accent1" w:themeShade="BF"/>
          <w:sz w:val="24"/>
          <w:szCs w:val="24"/>
        </w:rPr>
        <w:t>bold</w:t>
      </w:r>
      <w:r>
        <w:rPr>
          <w:rFonts w:ascii="Times New Roman" w:hAnsi="Times New Roman" w:cs="Times New Roman"/>
          <w:sz w:val="24"/>
          <w:szCs w:val="24"/>
        </w:rPr>
        <w:t>.</w:t>
      </w:r>
    </w:p>
    <w:p w:rsidR="00D82688" w:rsidRDefault="00485BBE" w:rsidP="00485BBE">
      <w:pPr>
        <w:rPr>
          <w:rFonts w:ascii="Times New Roman" w:hAnsi="Times New Roman" w:cs="Times New Roman"/>
          <w:i/>
          <w:sz w:val="24"/>
          <w:szCs w:val="24"/>
        </w:rPr>
      </w:pPr>
      <w:r w:rsidRPr="00485BBE">
        <w:rPr>
          <w:rFonts w:ascii="Times New Roman" w:hAnsi="Times New Roman" w:cs="Times New Roman"/>
          <w:i/>
          <w:sz w:val="24"/>
          <w:szCs w:val="24"/>
        </w:rPr>
        <w:t>1. The introduction is quite vague with respect to previous satellite missions. For</w:t>
      </w:r>
      <w:r>
        <w:rPr>
          <w:rFonts w:ascii="Times New Roman" w:hAnsi="Times New Roman" w:cs="Times New Roman"/>
          <w:i/>
          <w:sz w:val="24"/>
          <w:szCs w:val="24"/>
        </w:rPr>
        <w:t xml:space="preserve"> </w:t>
      </w:r>
      <w:r w:rsidRPr="00485BBE">
        <w:rPr>
          <w:rFonts w:ascii="Times New Roman" w:hAnsi="Times New Roman" w:cs="Times New Roman"/>
          <w:i/>
          <w:sz w:val="24"/>
          <w:szCs w:val="24"/>
        </w:rPr>
        <w:t>instance, to what "existing satellite instruments" (page 1, line 17) do you refer? TOMS?</w:t>
      </w:r>
      <w:r>
        <w:rPr>
          <w:rFonts w:ascii="Times New Roman" w:hAnsi="Times New Roman" w:cs="Times New Roman"/>
          <w:i/>
          <w:sz w:val="24"/>
          <w:szCs w:val="24"/>
        </w:rPr>
        <w:t xml:space="preserve"> </w:t>
      </w:r>
      <w:r w:rsidRPr="00485BBE">
        <w:rPr>
          <w:rFonts w:ascii="Times New Roman" w:hAnsi="Times New Roman" w:cs="Times New Roman"/>
          <w:i/>
          <w:sz w:val="24"/>
          <w:szCs w:val="24"/>
        </w:rPr>
        <w:t xml:space="preserve">GOME? OMI? GOSAT? Please extend the description </w:t>
      </w:r>
      <w:r>
        <w:rPr>
          <w:rFonts w:ascii="Times New Roman" w:hAnsi="Times New Roman" w:cs="Times New Roman"/>
          <w:i/>
          <w:sz w:val="24"/>
          <w:szCs w:val="24"/>
        </w:rPr>
        <w:t xml:space="preserve">of existing instruments relevant </w:t>
      </w:r>
      <w:r w:rsidRPr="00485BBE">
        <w:rPr>
          <w:rFonts w:ascii="Times New Roman" w:hAnsi="Times New Roman" w:cs="Times New Roman"/>
          <w:i/>
          <w:sz w:val="24"/>
          <w:szCs w:val="24"/>
        </w:rPr>
        <w:t>for this study, and show the improvement of OCO-2 design in direct comparison to e.g.</w:t>
      </w:r>
      <w:r>
        <w:rPr>
          <w:rFonts w:ascii="Times New Roman" w:hAnsi="Times New Roman" w:cs="Times New Roman"/>
          <w:i/>
          <w:sz w:val="24"/>
          <w:szCs w:val="24"/>
        </w:rPr>
        <w:t xml:space="preserve"> </w:t>
      </w:r>
      <w:r w:rsidRPr="00485BBE">
        <w:rPr>
          <w:rFonts w:ascii="Times New Roman" w:hAnsi="Times New Roman" w:cs="Times New Roman"/>
          <w:i/>
          <w:sz w:val="24"/>
          <w:szCs w:val="24"/>
        </w:rPr>
        <w:t xml:space="preserve">GOSAT. </w:t>
      </w:r>
    </w:p>
    <w:p w:rsidR="00D82688" w:rsidRPr="00813ACC" w:rsidRDefault="00A1349D" w:rsidP="00485BBE">
      <w:pPr>
        <w:rPr>
          <w:rFonts w:ascii="Times New Roman" w:hAnsi="Times New Roman" w:cs="Times New Roman"/>
          <w:color w:val="2E74B5" w:themeColor="accent1" w:themeShade="BF"/>
          <w:sz w:val="24"/>
          <w:szCs w:val="24"/>
        </w:rPr>
      </w:pPr>
      <w:r w:rsidRPr="00813ACC">
        <w:rPr>
          <w:rFonts w:ascii="Times New Roman" w:hAnsi="Times New Roman" w:cs="Times New Roman"/>
          <w:color w:val="2E74B5" w:themeColor="accent1" w:themeShade="BF"/>
          <w:sz w:val="24"/>
          <w:szCs w:val="24"/>
        </w:rPr>
        <w:t>Following the referee’s suggestion, previous satellite missions that measure CO2 column abundance are included and compared with OCO-2. The sentence</w:t>
      </w:r>
      <w:r w:rsidR="00813ACC" w:rsidRPr="00813ACC">
        <w:rPr>
          <w:rFonts w:ascii="Times New Roman" w:hAnsi="Times New Roman" w:cs="Times New Roman"/>
          <w:color w:val="2E74B5" w:themeColor="accent1" w:themeShade="BF"/>
          <w:sz w:val="24"/>
          <w:szCs w:val="24"/>
        </w:rPr>
        <w:t>s</w:t>
      </w:r>
      <w:r w:rsidRPr="00813ACC">
        <w:rPr>
          <w:rFonts w:ascii="Times New Roman" w:hAnsi="Times New Roman" w:cs="Times New Roman"/>
          <w:color w:val="2E74B5" w:themeColor="accent1" w:themeShade="BF"/>
          <w:sz w:val="24"/>
          <w:szCs w:val="24"/>
        </w:rPr>
        <w:t xml:space="preserve"> at page 1, line 1</w:t>
      </w:r>
      <w:r w:rsidR="00813ACC" w:rsidRPr="00813ACC">
        <w:rPr>
          <w:rFonts w:ascii="Times New Roman" w:hAnsi="Times New Roman" w:cs="Times New Roman"/>
          <w:color w:val="2E74B5" w:themeColor="accent1" w:themeShade="BF"/>
          <w:sz w:val="24"/>
          <w:szCs w:val="24"/>
        </w:rPr>
        <w:t>6</w:t>
      </w:r>
      <w:r w:rsidRPr="00813ACC">
        <w:rPr>
          <w:rFonts w:ascii="Times New Roman" w:hAnsi="Times New Roman" w:cs="Times New Roman"/>
          <w:color w:val="2E74B5" w:themeColor="accent1" w:themeShade="BF"/>
          <w:sz w:val="24"/>
          <w:szCs w:val="24"/>
        </w:rPr>
        <w:t xml:space="preserve"> </w:t>
      </w:r>
      <w:r w:rsidR="00813ACC" w:rsidRPr="00813ACC">
        <w:rPr>
          <w:rFonts w:ascii="Times New Roman" w:hAnsi="Times New Roman" w:cs="Times New Roman"/>
          <w:color w:val="2E74B5" w:themeColor="accent1" w:themeShade="BF"/>
          <w:sz w:val="24"/>
          <w:szCs w:val="24"/>
        </w:rPr>
        <w:t>are</w:t>
      </w:r>
      <w:r w:rsidRPr="00813ACC">
        <w:rPr>
          <w:rFonts w:ascii="Times New Roman" w:hAnsi="Times New Roman" w:cs="Times New Roman"/>
          <w:color w:val="2E74B5" w:themeColor="accent1" w:themeShade="BF"/>
          <w:sz w:val="24"/>
          <w:szCs w:val="24"/>
        </w:rPr>
        <w:t xml:space="preserve"> modified to:</w:t>
      </w:r>
    </w:p>
    <w:p w:rsidR="00A1349D" w:rsidRPr="00C12DD0" w:rsidRDefault="00813ACC" w:rsidP="00485BBE">
      <w:pPr>
        <w:rPr>
          <w:rFonts w:ascii="Times New Roman" w:hAnsi="Times New Roman" w:cs="Times New Roman"/>
          <w:color w:val="2E74B5" w:themeColor="accent1" w:themeShade="BF"/>
          <w:sz w:val="24"/>
          <w:szCs w:val="24"/>
        </w:rPr>
      </w:pPr>
      <w:r w:rsidRPr="00C12DD0">
        <w:rPr>
          <w:rFonts w:ascii="Times New Roman" w:hAnsi="Times New Roman" w:cs="Times New Roman"/>
          <w:color w:val="2E74B5" w:themeColor="accent1" w:themeShade="BF"/>
          <w:sz w:val="24"/>
          <w:szCs w:val="24"/>
        </w:rPr>
        <w:t>“</w:t>
      </w:r>
      <w:r w:rsidRPr="00C12DD0">
        <w:rPr>
          <w:rFonts w:ascii="Times New Roman" w:hAnsi="Times New Roman" w:cs="Times New Roman"/>
          <w:b/>
          <w:color w:val="2E74B5" w:themeColor="accent1" w:themeShade="BF"/>
          <w:sz w:val="24"/>
          <w:szCs w:val="24"/>
        </w:rPr>
        <w:t>To achieve its mission goal, OCO-2 was designed to measure the reflected sunlight in near infrared O</w:t>
      </w:r>
      <w:r w:rsidRPr="00C12DD0">
        <w:rPr>
          <w:rFonts w:ascii="Times New Roman" w:hAnsi="Times New Roman" w:cs="Times New Roman"/>
          <w:b/>
          <w:color w:val="2E74B5" w:themeColor="accent1" w:themeShade="BF"/>
          <w:sz w:val="24"/>
          <w:szCs w:val="24"/>
          <w:vertAlign w:val="subscript"/>
        </w:rPr>
        <w:t>2</w:t>
      </w:r>
      <w:r w:rsidRPr="00C12DD0">
        <w:rPr>
          <w:rFonts w:ascii="Times New Roman" w:hAnsi="Times New Roman" w:cs="Times New Roman"/>
          <w:b/>
          <w:color w:val="2E74B5" w:themeColor="accent1" w:themeShade="BF"/>
          <w:sz w:val="24"/>
          <w:szCs w:val="24"/>
        </w:rPr>
        <w:t xml:space="preserve"> and CO</w:t>
      </w:r>
      <w:r w:rsidRPr="00C12DD0">
        <w:rPr>
          <w:rFonts w:ascii="Times New Roman" w:hAnsi="Times New Roman" w:cs="Times New Roman"/>
          <w:b/>
          <w:color w:val="2E74B5" w:themeColor="accent1" w:themeShade="BF"/>
          <w:sz w:val="24"/>
          <w:szCs w:val="24"/>
          <w:vertAlign w:val="subscript"/>
        </w:rPr>
        <w:t>2</w:t>
      </w:r>
      <w:r w:rsidRPr="00C12DD0">
        <w:rPr>
          <w:rFonts w:ascii="Times New Roman" w:hAnsi="Times New Roman" w:cs="Times New Roman"/>
          <w:b/>
          <w:color w:val="2E74B5" w:themeColor="accent1" w:themeShade="BF"/>
          <w:sz w:val="24"/>
          <w:szCs w:val="24"/>
        </w:rPr>
        <w:t xml:space="preserve"> bands with significantly higher sensitivity, spectral and spatial resolution, and spatial coverage requirements than previous satellite CO</w:t>
      </w:r>
      <w:r w:rsidRPr="00C12DD0">
        <w:rPr>
          <w:rFonts w:ascii="Times New Roman" w:hAnsi="Times New Roman" w:cs="Times New Roman"/>
          <w:b/>
          <w:color w:val="2E74B5" w:themeColor="accent1" w:themeShade="BF"/>
          <w:sz w:val="24"/>
          <w:szCs w:val="24"/>
          <w:vertAlign w:val="subscript"/>
        </w:rPr>
        <w:t>2</w:t>
      </w:r>
      <w:r w:rsidRPr="00C12DD0">
        <w:rPr>
          <w:rFonts w:ascii="Times New Roman" w:hAnsi="Times New Roman" w:cs="Times New Roman"/>
          <w:b/>
          <w:color w:val="2E74B5" w:themeColor="accent1" w:themeShade="BF"/>
          <w:sz w:val="24"/>
          <w:szCs w:val="24"/>
        </w:rPr>
        <w:t xml:space="preserve"> measurements. For example, the nadir resolution of OCO-2 is less than 1.3×2.3 km</w:t>
      </w:r>
      <w:r w:rsidRPr="00C12DD0">
        <w:rPr>
          <w:rFonts w:ascii="Times New Roman" w:hAnsi="Times New Roman" w:cs="Times New Roman"/>
          <w:b/>
          <w:color w:val="2E74B5" w:themeColor="accent1" w:themeShade="BF"/>
          <w:sz w:val="24"/>
          <w:szCs w:val="24"/>
          <w:vertAlign w:val="superscript"/>
        </w:rPr>
        <w:t>2</w:t>
      </w:r>
      <w:r w:rsidRPr="00C12DD0">
        <w:rPr>
          <w:rFonts w:ascii="Times New Roman" w:hAnsi="Times New Roman" w:cs="Times New Roman"/>
          <w:b/>
          <w:color w:val="2E74B5" w:themeColor="accent1" w:themeShade="BF"/>
          <w:sz w:val="24"/>
          <w:szCs w:val="24"/>
        </w:rPr>
        <w:t xml:space="preserve">, much finer than </w:t>
      </w:r>
      <w:r w:rsidR="00A56381">
        <w:rPr>
          <w:rFonts w:ascii="Times New Roman" w:hAnsi="Times New Roman" w:cs="Times New Roman"/>
          <w:b/>
          <w:color w:val="2E74B5" w:themeColor="accent1" w:themeShade="BF"/>
          <w:sz w:val="24"/>
          <w:szCs w:val="24"/>
        </w:rPr>
        <w:t xml:space="preserve">those of </w:t>
      </w:r>
      <w:r w:rsidRPr="00C12DD0">
        <w:rPr>
          <w:rFonts w:ascii="Times New Roman" w:hAnsi="Times New Roman" w:cs="Times New Roman"/>
          <w:b/>
          <w:color w:val="2E74B5" w:themeColor="accent1" w:themeShade="BF"/>
          <w:sz w:val="24"/>
          <w:szCs w:val="24"/>
        </w:rPr>
        <w:t>SCIAMACHY (30 × 60 km</w:t>
      </w:r>
      <w:r w:rsidRPr="00C12DD0">
        <w:rPr>
          <w:rFonts w:ascii="Times New Roman" w:hAnsi="Times New Roman" w:cs="Times New Roman"/>
          <w:b/>
          <w:color w:val="2E74B5" w:themeColor="accent1" w:themeShade="BF"/>
          <w:sz w:val="24"/>
          <w:szCs w:val="24"/>
          <w:vertAlign w:val="superscript"/>
        </w:rPr>
        <w:t>2</w:t>
      </w:r>
      <w:r w:rsidRPr="00C12DD0">
        <w:rPr>
          <w:rFonts w:ascii="Times New Roman" w:hAnsi="Times New Roman" w:cs="Times New Roman"/>
          <w:b/>
          <w:color w:val="2E74B5" w:themeColor="accent1" w:themeShade="BF"/>
          <w:sz w:val="24"/>
          <w:szCs w:val="24"/>
        </w:rPr>
        <w:t>) and GOSAT/TANSO-FTS (diameter of 10.5 km). The OCO-2 instrument aims to measure the column-averaged CO</w:t>
      </w:r>
      <w:r w:rsidRPr="00C12DD0">
        <w:rPr>
          <w:rFonts w:ascii="Times New Roman" w:hAnsi="Times New Roman" w:cs="Times New Roman"/>
          <w:b/>
          <w:color w:val="2E74B5" w:themeColor="accent1" w:themeShade="BF"/>
          <w:sz w:val="24"/>
          <w:szCs w:val="24"/>
          <w:vertAlign w:val="subscript"/>
        </w:rPr>
        <w:t>2</w:t>
      </w:r>
      <w:r w:rsidRPr="00C12DD0">
        <w:rPr>
          <w:rFonts w:ascii="Times New Roman" w:hAnsi="Times New Roman" w:cs="Times New Roman"/>
          <w:b/>
          <w:color w:val="2E74B5" w:themeColor="accent1" w:themeShade="BF"/>
          <w:sz w:val="24"/>
          <w:szCs w:val="24"/>
        </w:rPr>
        <w:t xml:space="preserve"> dry air mole fraction, XCO</w:t>
      </w:r>
      <w:r w:rsidRPr="00C12DD0">
        <w:rPr>
          <w:rFonts w:ascii="Times New Roman" w:hAnsi="Times New Roman" w:cs="Times New Roman"/>
          <w:b/>
          <w:color w:val="2E74B5" w:themeColor="accent1" w:themeShade="BF"/>
          <w:sz w:val="24"/>
          <w:szCs w:val="24"/>
          <w:vertAlign w:val="subscript"/>
        </w:rPr>
        <w:t>2</w:t>
      </w:r>
      <w:r w:rsidRPr="00C12DD0">
        <w:rPr>
          <w:rFonts w:ascii="Times New Roman" w:hAnsi="Times New Roman" w:cs="Times New Roman"/>
          <w:b/>
          <w:color w:val="2E74B5" w:themeColor="accent1" w:themeShade="BF"/>
          <w:sz w:val="24"/>
          <w:szCs w:val="24"/>
        </w:rPr>
        <w:t xml:space="preserve">, with uncertainties near 1 </w:t>
      </w:r>
      <w:proofErr w:type="spellStart"/>
      <w:r w:rsidRPr="00C12DD0">
        <w:rPr>
          <w:rFonts w:ascii="Times New Roman" w:hAnsi="Times New Roman" w:cs="Times New Roman"/>
          <w:b/>
          <w:color w:val="2E74B5" w:themeColor="accent1" w:themeShade="BF"/>
          <w:sz w:val="24"/>
          <w:szCs w:val="24"/>
        </w:rPr>
        <w:t>ppmv</w:t>
      </w:r>
      <w:proofErr w:type="spellEnd"/>
      <w:r w:rsidRPr="00C12DD0">
        <w:rPr>
          <w:rFonts w:ascii="Times New Roman" w:hAnsi="Times New Roman" w:cs="Times New Roman"/>
          <w:b/>
          <w:color w:val="2E74B5" w:themeColor="accent1" w:themeShade="BF"/>
          <w:sz w:val="24"/>
          <w:szCs w:val="24"/>
        </w:rPr>
        <w:t xml:space="preserve"> (0.25 % of current XCO</w:t>
      </w:r>
      <w:r w:rsidRPr="00C12DD0">
        <w:rPr>
          <w:rFonts w:ascii="Times New Roman" w:hAnsi="Times New Roman" w:cs="Times New Roman"/>
          <w:b/>
          <w:color w:val="2E74B5" w:themeColor="accent1" w:themeShade="BF"/>
          <w:sz w:val="24"/>
          <w:szCs w:val="24"/>
          <w:vertAlign w:val="subscript"/>
        </w:rPr>
        <w:t>2</w:t>
      </w:r>
      <w:r w:rsidRPr="00C12DD0">
        <w:rPr>
          <w:rFonts w:ascii="Times New Roman" w:hAnsi="Times New Roman" w:cs="Times New Roman"/>
          <w:b/>
          <w:color w:val="2E74B5" w:themeColor="accent1" w:themeShade="BF"/>
          <w:sz w:val="24"/>
          <w:szCs w:val="24"/>
        </w:rPr>
        <w:t>) on regional-to-continental scales (Crisp et al., 2004; Crisp, 2008; Frankenberg et al., 2015), also significantly smaller than what achieved by SCIAMACHY and GOSAT</w:t>
      </w:r>
      <w:r w:rsidR="00025B9A" w:rsidRPr="00C12DD0">
        <w:rPr>
          <w:rFonts w:ascii="Times New Roman" w:hAnsi="Times New Roman" w:cs="Times New Roman"/>
          <w:b/>
          <w:color w:val="2E74B5" w:themeColor="accent1" w:themeShade="BF"/>
          <w:sz w:val="24"/>
          <w:szCs w:val="24"/>
        </w:rPr>
        <w:t xml:space="preserve"> (</w:t>
      </w:r>
      <w:proofErr w:type="spellStart"/>
      <w:r w:rsidR="00025B9A" w:rsidRPr="00C12DD0">
        <w:rPr>
          <w:rFonts w:ascii="Times New Roman" w:hAnsi="Times New Roman" w:cs="Times New Roman"/>
          <w:b/>
          <w:color w:val="2E74B5" w:themeColor="accent1" w:themeShade="BF"/>
          <w:sz w:val="24"/>
          <w:szCs w:val="24"/>
        </w:rPr>
        <w:t>Buchwitz</w:t>
      </w:r>
      <w:proofErr w:type="spellEnd"/>
      <w:r w:rsidR="00025B9A" w:rsidRPr="00C12DD0">
        <w:rPr>
          <w:rFonts w:ascii="Times New Roman" w:hAnsi="Times New Roman" w:cs="Times New Roman"/>
          <w:b/>
          <w:color w:val="2E74B5" w:themeColor="accent1" w:themeShade="BF"/>
          <w:sz w:val="24"/>
          <w:szCs w:val="24"/>
        </w:rPr>
        <w:t xml:space="preserve"> et al., 2005, </w:t>
      </w:r>
      <w:proofErr w:type="spellStart"/>
      <w:r w:rsidR="00025B9A" w:rsidRPr="00C12DD0">
        <w:rPr>
          <w:rFonts w:ascii="Times New Roman" w:hAnsi="Times New Roman" w:cs="Times New Roman"/>
          <w:b/>
          <w:color w:val="2E74B5" w:themeColor="accent1" w:themeShade="BF"/>
          <w:sz w:val="24"/>
          <w:szCs w:val="24"/>
        </w:rPr>
        <w:t>Butz</w:t>
      </w:r>
      <w:proofErr w:type="spellEnd"/>
      <w:r w:rsidR="00025B9A" w:rsidRPr="00C12DD0">
        <w:rPr>
          <w:rFonts w:ascii="Times New Roman" w:hAnsi="Times New Roman" w:cs="Times New Roman"/>
          <w:b/>
          <w:color w:val="2E74B5" w:themeColor="accent1" w:themeShade="BF"/>
          <w:sz w:val="24"/>
          <w:szCs w:val="24"/>
        </w:rPr>
        <w:t xml:space="preserve"> et al., 2011)</w:t>
      </w:r>
      <w:r w:rsidRPr="00C12DD0">
        <w:rPr>
          <w:rFonts w:ascii="Times New Roman" w:hAnsi="Times New Roman" w:cs="Times New Roman"/>
          <w:b/>
          <w:color w:val="2E74B5" w:themeColor="accent1" w:themeShade="BF"/>
          <w:sz w:val="24"/>
          <w:szCs w:val="24"/>
        </w:rPr>
        <w:t>.</w:t>
      </w:r>
      <w:r w:rsidR="00A1349D" w:rsidRPr="00C12DD0">
        <w:rPr>
          <w:rFonts w:ascii="Times New Roman" w:hAnsi="Times New Roman" w:cs="Times New Roman"/>
          <w:color w:val="2E74B5" w:themeColor="accent1" w:themeShade="BF"/>
          <w:sz w:val="24"/>
          <w:szCs w:val="24"/>
        </w:rPr>
        <w:t>”</w:t>
      </w:r>
    </w:p>
    <w:p w:rsidR="00813ACC" w:rsidRDefault="00485BBE" w:rsidP="00485BBE">
      <w:pPr>
        <w:rPr>
          <w:rFonts w:ascii="Times New Roman" w:hAnsi="Times New Roman" w:cs="Times New Roman"/>
          <w:i/>
          <w:sz w:val="24"/>
          <w:szCs w:val="24"/>
        </w:rPr>
      </w:pPr>
      <w:r w:rsidRPr="00485BBE">
        <w:rPr>
          <w:rFonts w:ascii="Times New Roman" w:hAnsi="Times New Roman" w:cs="Times New Roman"/>
          <w:i/>
          <w:sz w:val="24"/>
          <w:szCs w:val="24"/>
        </w:rPr>
        <w:t>Also the "species measured by existing satellite instruments" (page 2, line</w:t>
      </w:r>
      <w:r>
        <w:rPr>
          <w:rFonts w:ascii="Times New Roman" w:hAnsi="Times New Roman" w:cs="Times New Roman"/>
          <w:i/>
          <w:sz w:val="24"/>
          <w:szCs w:val="24"/>
        </w:rPr>
        <w:t xml:space="preserve"> </w:t>
      </w:r>
      <w:r w:rsidRPr="00485BBE">
        <w:rPr>
          <w:rFonts w:ascii="Times New Roman" w:hAnsi="Times New Roman" w:cs="Times New Roman"/>
          <w:i/>
          <w:sz w:val="24"/>
          <w:szCs w:val="24"/>
        </w:rPr>
        <w:t xml:space="preserve">21) are quite general; please specify, </w:t>
      </w:r>
    </w:p>
    <w:p w:rsidR="00813ACC" w:rsidRDefault="00F401D6" w:rsidP="00485BBE">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This sentence was modified to:</w:t>
      </w:r>
    </w:p>
    <w:p w:rsidR="00F401D6" w:rsidRPr="00C12DD0" w:rsidRDefault="00F401D6" w:rsidP="00485BBE">
      <w:pPr>
        <w:rPr>
          <w:rFonts w:ascii="Times New Roman" w:hAnsi="Times New Roman" w:cs="Times New Roman"/>
          <w:i/>
          <w:color w:val="2E74B5" w:themeColor="accent1" w:themeShade="BF"/>
          <w:sz w:val="24"/>
          <w:szCs w:val="24"/>
        </w:rPr>
      </w:pPr>
      <w:r w:rsidRPr="00C12DD0">
        <w:rPr>
          <w:rFonts w:ascii="Times New Roman" w:hAnsi="Times New Roman" w:cs="Times New Roman"/>
          <w:color w:val="2E74B5" w:themeColor="accent1" w:themeShade="BF"/>
          <w:sz w:val="24"/>
          <w:szCs w:val="24"/>
        </w:rPr>
        <w:t>“</w:t>
      </w:r>
      <w:r w:rsidR="009B0B40" w:rsidRPr="00C12DD0">
        <w:rPr>
          <w:rFonts w:ascii="Times New Roman" w:hAnsi="Times New Roman" w:cs="Times New Roman"/>
          <w:b/>
          <w:color w:val="2E74B5" w:themeColor="accent1" w:themeShade="BF"/>
          <w:sz w:val="24"/>
          <w:szCs w:val="24"/>
        </w:rPr>
        <w:t>The retrieval accuracy requirement for OCO-2 (~0.25% for XC</w:t>
      </w:r>
      <w:r w:rsidR="00A56381">
        <w:rPr>
          <w:rFonts w:ascii="Times New Roman" w:hAnsi="Times New Roman" w:cs="Times New Roman"/>
          <w:b/>
          <w:color w:val="2E74B5" w:themeColor="accent1" w:themeShade="BF"/>
          <w:sz w:val="24"/>
          <w:szCs w:val="24"/>
        </w:rPr>
        <w:t>O2) is also much higher than those</w:t>
      </w:r>
      <w:r w:rsidR="009B0B40" w:rsidRPr="00C12DD0">
        <w:rPr>
          <w:rFonts w:ascii="Times New Roman" w:hAnsi="Times New Roman" w:cs="Times New Roman"/>
          <w:b/>
          <w:color w:val="2E74B5" w:themeColor="accent1" w:themeShade="BF"/>
          <w:sz w:val="24"/>
          <w:szCs w:val="24"/>
        </w:rPr>
        <w:t xml:space="preserve"> for the species measured </w:t>
      </w:r>
      <w:r w:rsidR="00C12DD0" w:rsidRPr="00C12DD0">
        <w:rPr>
          <w:rFonts w:ascii="Times New Roman" w:hAnsi="Times New Roman" w:cs="Times New Roman"/>
          <w:b/>
          <w:color w:val="2E74B5" w:themeColor="accent1" w:themeShade="BF"/>
          <w:sz w:val="24"/>
          <w:szCs w:val="24"/>
        </w:rPr>
        <w:t>in the UV/visible range</w:t>
      </w:r>
      <w:r w:rsidR="009B0B40" w:rsidRPr="00C12DD0">
        <w:rPr>
          <w:rFonts w:ascii="Times New Roman" w:hAnsi="Times New Roman" w:cs="Times New Roman"/>
          <w:b/>
          <w:color w:val="2E74B5" w:themeColor="accent1" w:themeShade="BF"/>
          <w:sz w:val="24"/>
          <w:szCs w:val="24"/>
        </w:rPr>
        <w:t xml:space="preserve"> (e.g., the required precision for air quality species is usually &gt;10% (</w:t>
      </w:r>
      <w:proofErr w:type="spellStart"/>
      <w:r w:rsidR="009B0B40" w:rsidRPr="00C12DD0">
        <w:rPr>
          <w:rFonts w:ascii="Times New Roman" w:hAnsi="Times New Roman" w:cs="Times New Roman"/>
          <w:b/>
          <w:color w:val="2E74B5" w:themeColor="accent1" w:themeShade="BF"/>
          <w:sz w:val="24"/>
          <w:szCs w:val="24"/>
        </w:rPr>
        <w:t>Zoogman</w:t>
      </w:r>
      <w:proofErr w:type="spellEnd"/>
      <w:r w:rsidR="009B0B40" w:rsidRPr="00C12DD0">
        <w:rPr>
          <w:rFonts w:ascii="Times New Roman" w:hAnsi="Times New Roman" w:cs="Times New Roman"/>
          <w:b/>
          <w:color w:val="2E74B5" w:themeColor="accent1" w:themeShade="BF"/>
          <w:sz w:val="24"/>
          <w:szCs w:val="24"/>
        </w:rPr>
        <w:t xml:space="preserve"> et al., 2017)), so small ILS differences that may be tolerated in other instruments may jeopardize the XCO2 retrieval.</w:t>
      </w:r>
      <w:r w:rsidRPr="00C12DD0">
        <w:rPr>
          <w:rFonts w:ascii="Times New Roman" w:hAnsi="Times New Roman" w:cs="Times New Roman"/>
          <w:color w:val="2E74B5" w:themeColor="accent1" w:themeShade="BF"/>
          <w:sz w:val="24"/>
          <w:szCs w:val="24"/>
        </w:rPr>
        <w:t>”</w:t>
      </w:r>
    </w:p>
    <w:p w:rsidR="00485BBE" w:rsidRDefault="00485BBE" w:rsidP="00485BBE">
      <w:pPr>
        <w:rPr>
          <w:rFonts w:ascii="Times New Roman" w:hAnsi="Times New Roman" w:cs="Times New Roman"/>
          <w:i/>
          <w:sz w:val="24"/>
          <w:szCs w:val="24"/>
        </w:rPr>
      </w:pPr>
      <w:proofErr w:type="gramStart"/>
      <w:r w:rsidRPr="00485BBE">
        <w:rPr>
          <w:rFonts w:ascii="Times New Roman" w:hAnsi="Times New Roman" w:cs="Times New Roman"/>
          <w:i/>
          <w:sz w:val="24"/>
          <w:szCs w:val="24"/>
        </w:rPr>
        <w:t>and</w:t>
      </w:r>
      <w:proofErr w:type="gramEnd"/>
      <w:r w:rsidRPr="00485BBE">
        <w:rPr>
          <w:rFonts w:ascii="Times New Roman" w:hAnsi="Times New Roman" w:cs="Times New Roman"/>
          <w:i/>
          <w:sz w:val="24"/>
          <w:szCs w:val="24"/>
        </w:rPr>
        <w:t xml:space="preserve"> note that OCO-2 is not the first instrument</w:t>
      </w:r>
      <w:r>
        <w:rPr>
          <w:rFonts w:ascii="Times New Roman" w:hAnsi="Times New Roman" w:cs="Times New Roman"/>
          <w:i/>
          <w:sz w:val="24"/>
          <w:szCs w:val="24"/>
        </w:rPr>
        <w:t xml:space="preserve"> measuring CO2.</w:t>
      </w:r>
    </w:p>
    <w:p w:rsidR="00B3188D" w:rsidRPr="00B3188D" w:rsidRDefault="00813ACC" w:rsidP="00485BBE">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Two previous missions (SCIAMACHY and GOSAT) that measure column CO</w:t>
      </w:r>
      <w:r w:rsidRPr="009B0B40">
        <w:rPr>
          <w:rFonts w:ascii="Times New Roman" w:hAnsi="Times New Roman" w:cs="Times New Roman"/>
          <w:color w:val="2E74B5" w:themeColor="accent1" w:themeShade="BF"/>
          <w:sz w:val="24"/>
          <w:szCs w:val="24"/>
          <w:vertAlign w:val="subscript"/>
        </w:rPr>
        <w:t>2</w:t>
      </w:r>
      <w:r>
        <w:rPr>
          <w:rFonts w:ascii="Times New Roman" w:hAnsi="Times New Roman" w:cs="Times New Roman"/>
          <w:color w:val="2E74B5" w:themeColor="accent1" w:themeShade="BF"/>
          <w:sz w:val="24"/>
          <w:szCs w:val="24"/>
        </w:rPr>
        <w:t xml:space="preserve"> have been added</w:t>
      </w:r>
      <w:r w:rsidR="00B3188D" w:rsidRPr="00B3188D">
        <w:rPr>
          <w:rFonts w:ascii="Times New Roman" w:hAnsi="Times New Roman" w:cs="Times New Roman"/>
          <w:color w:val="2E74B5" w:themeColor="accent1" w:themeShade="BF"/>
          <w:sz w:val="24"/>
          <w:szCs w:val="24"/>
        </w:rPr>
        <w:t>.</w:t>
      </w:r>
    </w:p>
    <w:p w:rsidR="00485BBE" w:rsidRDefault="00485BBE" w:rsidP="00B3188D">
      <w:pPr>
        <w:rPr>
          <w:rFonts w:ascii="Times New Roman" w:hAnsi="Times New Roman" w:cs="Times New Roman"/>
          <w:i/>
          <w:sz w:val="24"/>
          <w:szCs w:val="24"/>
        </w:rPr>
      </w:pPr>
      <w:r w:rsidRPr="00485BBE">
        <w:rPr>
          <w:rFonts w:ascii="Times New Roman" w:hAnsi="Times New Roman" w:cs="Times New Roman"/>
          <w:i/>
          <w:sz w:val="24"/>
          <w:szCs w:val="24"/>
        </w:rPr>
        <w:t>2. In section 3, various ILS parameterizations are listed which are applied in the following analysis. Later in section 5, the Super Gaussian is introduced and applied as well. Please introduce the Super Gaussian earlier and add it to the list of parameterizations from section 3 on</w:t>
      </w:r>
      <w:r>
        <w:rPr>
          <w:rFonts w:ascii="Times New Roman" w:hAnsi="Times New Roman" w:cs="Times New Roman"/>
          <w:i/>
          <w:sz w:val="24"/>
          <w:szCs w:val="24"/>
        </w:rPr>
        <w:t>.</w:t>
      </w:r>
    </w:p>
    <w:p w:rsidR="00B3188D" w:rsidRDefault="00C12DD0" w:rsidP="00B3188D">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Revised as suggested.</w:t>
      </w:r>
      <w:r w:rsidR="00A56381">
        <w:rPr>
          <w:rFonts w:ascii="Times New Roman" w:hAnsi="Times New Roman" w:cs="Times New Roman"/>
          <w:color w:val="2E74B5" w:themeColor="accent1" w:themeShade="BF"/>
          <w:sz w:val="24"/>
          <w:szCs w:val="24"/>
        </w:rPr>
        <w:t xml:space="preserve"> Th</w:t>
      </w:r>
      <w:r w:rsidR="00105566">
        <w:rPr>
          <w:rFonts w:ascii="Times New Roman" w:hAnsi="Times New Roman" w:cs="Times New Roman"/>
          <w:color w:val="2E74B5" w:themeColor="accent1" w:themeShade="BF"/>
          <w:sz w:val="24"/>
          <w:szCs w:val="24"/>
        </w:rPr>
        <w:t>e Super Gaussian is defined in Section 2.2 with the other ILS function forms and included in the discussion from section 3 on</w:t>
      </w:r>
      <w:bookmarkStart w:id="0" w:name="_GoBack"/>
      <w:bookmarkEnd w:id="0"/>
      <w:r w:rsidR="00105566">
        <w:rPr>
          <w:rFonts w:ascii="Times New Roman" w:hAnsi="Times New Roman" w:cs="Times New Roman"/>
          <w:color w:val="2E74B5" w:themeColor="accent1" w:themeShade="BF"/>
          <w:sz w:val="24"/>
          <w:szCs w:val="24"/>
        </w:rPr>
        <w:t>:</w:t>
      </w:r>
    </w:p>
    <w:p w:rsidR="00105566" w:rsidRPr="00105566" w:rsidRDefault="00105566" w:rsidP="00105566">
      <w:pPr>
        <w:rPr>
          <w:rFonts w:ascii="Times New Roman" w:hAnsi="Times New Roman" w:cs="Times New Roman"/>
          <w:b/>
          <w:color w:val="2E74B5" w:themeColor="accent1" w:themeShade="BF"/>
          <w:sz w:val="24"/>
          <w:szCs w:val="24"/>
        </w:rPr>
      </w:pPr>
      <w:r>
        <w:rPr>
          <w:rFonts w:ascii="Times New Roman" w:hAnsi="Times New Roman" w:cs="Times New Roman"/>
          <w:color w:val="2E74B5" w:themeColor="accent1" w:themeShade="BF"/>
          <w:sz w:val="24"/>
          <w:szCs w:val="24"/>
        </w:rPr>
        <w:t>“</w:t>
      </w:r>
      <w:r w:rsidRPr="00105566">
        <w:rPr>
          <w:rFonts w:ascii="Times New Roman" w:hAnsi="Times New Roman" w:cs="Times New Roman"/>
          <w:b/>
          <w:color w:val="2E74B5" w:themeColor="accent1" w:themeShade="BF"/>
          <w:sz w:val="24"/>
          <w:szCs w:val="24"/>
        </w:rPr>
        <w:t>A ‘Super Gaussian’</w:t>
      </w:r>
      <w:r w:rsidRPr="00105566">
        <w:rPr>
          <w:rFonts w:ascii="Times New Roman" w:hAnsi="Times New Roman" w:cs="Times New Roman"/>
          <w:b/>
          <w:color w:val="2E74B5" w:themeColor="accent1" w:themeShade="BF"/>
          <w:sz w:val="24"/>
          <w:szCs w:val="24"/>
        </w:rPr>
        <w:t xml:space="preserve"> is also tested</w:t>
      </w:r>
      <w:r w:rsidRPr="00105566">
        <w:rPr>
          <w:rFonts w:ascii="Times New Roman" w:hAnsi="Times New Roman" w:cs="Times New Roman"/>
          <w:b/>
          <w:color w:val="2E74B5" w:themeColor="accent1" w:themeShade="BF"/>
          <w:sz w:val="24"/>
          <w:szCs w:val="24"/>
        </w:rPr>
        <w:t xml:space="preserve"> as proposed recently by </w:t>
      </w:r>
      <w:proofErr w:type="spellStart"/>
      <w:r w:rsidRPr="00105566">
        <w:rPr>
          <w:rFonts w:ascii="Times New Roman" w:hAnsi="Times New Roman" w:cs="Times New Roman"/>
          <w:b/>
          <w:color w:val="2E74B5" w:themeColor="accent1" w:themeShade="BF"/>
          <w:sz w:val="24"/>
          <w:szCs w:val="24"/>
        </w:rPr>
        <w:t>Beirle</w:t>
      </w:r>
      <w:proofErr w:type="spellEnd"/>
      <w:r w:rsidRPr="00105566">
        <w:rPr>
          <w:rFonts w:ascii="Times New Roman" w:hAnsi="Times New Roman" w:cs="Times New Roman"/>
          <w:b/>
          <w:color w:val="2E74B5" w:themeColor="accent1" w:themeShade="BF"/>
          <w:sz w:val="24"/>
          <w:szCs w:val="24"/>
        </w:rPr>
        <w:t xml:space="preserve"> et al. (</w:t>
      </w:r>
      <w:r w:rsidRPr="00105566">
        <w:rPr>
          <w:rFonts w:ascii="Times New Roman" w:hAnsi="Times New Roman" w:cs="Times New Roman"/>
          <w:b/>
          <w:color w:val="2E74B5" w:themeColor="accent1" w:themeShade="BF"/>
          <w:sz w:val="24"/>
          <w:szCs w:val="24"/>
        </w:rPr>
        <w:t>2016</w:t>
      </w:r>
      <w:r w:rsidRPr="00105566">
        <w:rPr>
          <w:rFonts w:ascii="Times New Roman" w:hAnsi="Times New Roman" w:cs="Times New Roman"/>
          <w:b/>
          <w:color w:val="2E74B5" w:themeColor="accent1" w:themeShade="BF"/>
          <w:sz w:val="24"/>
          <w:szCs w:val="24"/>
        </w:rPr>
        <w:t>)</w:t>
      </w:r>
      <w:r w:rsidRPr="00105566">
        <w:rPr>
          <w:rFonts w:ascii="Times New Roman" w:hAnsi="Times New Roman" w:cs="Times New Roman"/>
          <w:b/>
          <w:color w:val="2E74B5" w:themeColor="accent1" w:themeShade="BF"/>
          <w:sz w:val="24"/>
          <w:szCs w:val="24"/>
        </w:rPr>
        <w:t>:</w:t>
      </w:r>
    </w:p>
    <w:p w:rsidR="00105566" w:rsidRPr="00105566" w:rsidRDefault="00105566" w:rsidP="00105566">
      <w:pPr>
        <w:rPr>
          <w:rFonts w:ascii="Times New Roman" w:hAnsi="Times New Roman" w:cs="Times New Roman"/>
          <w:b/>
          <w:color w:val="2E74B5" w:themeColor="accent1" w:themeShade="BF"/>
          <w:sz w:val="24"/>
          <w:szCs w:val="24"/>
        </w:rPr>
      </w:pPr>
      <w:r w:rsidRPr="00105566">
        <w:rPr>
          <w:b/>
          <w:noProof/>
        </w:rPr>
        <w:lastRenderedPageBreak/>
        <w:drawing>
          <wp:inline distT="0" distB="0" distL="0" distR="0" wp14:anchorId="21874302" wp14:editId="7779C5C4">
            <wp:extent cx="1699260" cy="4989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02765" cy="529323"/>
                    </a:xfrm>
                    <a:prstGeom prst="rect">
                      <a:avLst/>
                    </a:prstGeom>
                  </pic:spPr>
                </pic:pic>
              </a:graphicData>
            </a:graphic>
          </wp:inline>
        </w:drawing>
      </w:r>
    </w:p>
    <w:p w:rsidR="00105566" w:rsidRPr="00087D50" w:rsidRDefault="00105566" w:rsidP="00105566">
      <w:pPr>
        <w:rPr>
          <w:rFonts w:ascii="Times New Roman" w:hAnsi="Times New Roman" w:cs="Times New Roman"/>
          <w:color w:val="2E74B5" w:themeColor="accent1" w:themeShade="BF"/>
          <w:sz w:val="24"/>
          <w:szCs w:val="24"/>
        </w:rPr>
      </w:pPr>
      <w:proofErr w:type="gramStart"/>
      <w:r w:rsidRPr="00105566">
        <w:rPr>
          <w:rFonts w:ascii="Times New Roman" w:hAnsi="Times New Roman" w:cs="Times New Roman"/>
          <w:b/>
          <w:color w:val="2E74B5" w:themeColor="accent1" w:themeShade="BF"/>
          <w:sz w:val="24"/>
          <w:szCs w:val="24"/>
        </w:rPr>
        <w:t>where</w:t>
      </w:r>
      <w:proofErr w:type="gramEnd"/>
      <w:r w:rsidRPr="00105566">
        <w:rPr>
          <w:rFonts w:ascii="Times New Roman" w:hAnsi="Times New Roman" w:cs="Times New Roman"/>
          <w:b/>
          <w:color w:val="2E74B5" w:themeColor="accent1" w:themeShade="BF"/>
          <w:sz w:val="24"/>
          <w:szCs w:val="24"/>
        </w:rPr>
        <w:t xml:space="preserve"> </w:t>
      </w:r>
      <w:proofErr w:type="spellStart"/>
      <w:r w:rsidRPr="00105566">
        <w:rPr>
          <w:rFonts w:ascii="Times New Roman" w:hAnsi="Times New Roman" w:cs="Times New Roman"/>
          <w:b/>
          <w:color w:val="2E74B5" w:themeColor="accent1" w:themeShade="BF"/>
          <w:sz w:val="24"/>
          <w:szCs w:val="24"/>
        </w:rPr>
        <w:t>h</w:t>
      </w:r>
      <w:r w:rsidRPr="00105566">
        <w:rPr>
          <w:rFonts w:ascii="Times New Roman" w:hAnsi="Times New Roman" w:cs="Times New Roman"/>
          <w:b/>
          <w:color w:val="2E74B5" w:themeColor="accent1" w:themeShade="BF"/>
          <w:sz w:val="24"/>
          <w:szCs w:val="24"/>
          <w:vertAlign w:val="subscript"/>
        </w:rPr>
        <w:t>sg</w:t>
      </w:r>
      <w:proofErr w:type="spellEnd"/>
      <w:r w:rsidRPr="00105566">
        <w:rPr>
          <w:rFonts w:ascii="Times New Roman" w:hAnsi="Times New Roman" w:cs="Times New Roman"/>
          <w:b/>
          <w:color w:val="2E74B5" w:themeColor="accent1" w:themeShade="BF"/>
          <w:sz w:val="24"/>
          <w:szCs w:val="24"/>
        </w:rPr>
        <w:t xml:space="preserve"> is the half-width at </w:t>
      </w:r>
      <w:r w:rsidRPr="00105566">
        <w:rPr>
          <w:rFonts w:ascii="Times New Roman" w:hAnsi="Times New Roman" w:cs="Times New Roman"/>
          <w:b/>
          <w:color w:val="2E74B5" w:themeColor="accent1" w:themeShade="BF"/>
          <w:sz w:val="24"/>
          <w:szCs w:val="24"/>
        </w:rPr>
        <w:t>1/e</w:t>
      </w:r>
      <w:r w:rsidRPr="00105566">
        <w:rPr>
          <w:rFonts w:ascii="Times New Roman" w:hAnsi="Times New Roman" w:cs="Times New Roman"/>
          <w:b/>
          <w:color w:val="2E74B5" w:themeColor="accent1" w:themeShade="BF"/>
          <w:sz w:val="24"/>
          <w:szCs w:val="24"/>
        </w:rPr>
        <w:t xml:space="preserve"> of the maximum, and k is a shape factor (k=2 gives standard Gaussian;  k=4</w:t>
      </w:r>
      <w:r w:rsidRPr="00105566">
        <w:rPr>
          <w:rFonts w:ascii="Times New Roman" w:hAnsi="Times New Roman" w:cs="Times New Roman"/>
          <w:b/>
          <w:color w:val="2E74B5" w:themeColor="accent1" w:themeShade="BF"/>
          <w:sz w:val="24"/>
          <w:szCs w:val="24"/>
        </w:rPr>
        <w:t xml:space="preserve"> gives flat-top Gaussian; see Fig.</w:t>
      </w:r>
      <w:r w:rsidRPr="00105566">
        <w:rPr>
          <w:rFonts w:ascii="Times New Roman" w:hAnsi="Times New Roman" w:cs="Times New Roman"/>
          <w:b/>
          <w:color w:val="2E74B5" w:themeColor="accent1" w:themeShade="BF"/>
          <w:sz w:val="24"/>
          <w:szCs w:val="24"/>
        </w:rPr>
        <w:t xml:space="preserve"> 3</w:t>
      </w:r>
      <w:r w:rsidRPr="00105566">
        <w:rPr>
          <w:rFonts w:ascii="Times New Roman" w:hAnsi="Times New Roman" w:cs="Times New Roman"/>
          <w:b/>
          <w:color w:val="2E74B5" w:themeColor="accent1" w:themeShade="BF"/>
          <w:sz w:val="24"/>
          <w:szCs w:val="24"/>
        </w:rPr>
        <w:t>b for their shapes). The Super Gaussian function decouples the homogeneous stretch and change i</w:t>
      </w:r>
      <w:r w:rsidRPr="00105566">
        <w:rPr>
          <w:rFonts w:ascii="Times New Roman" w:hAnsi="Times New Roman" w:cs="Times New Roman"/>
          <w:b/>
          <w:color w:val="2E74B5" w:themeColor="accent1" w:themeShade="BF"/>
          <w:sz w:val="24"/>
          <w:szCs w:val="24"/>
        </w:rPr>
        <w:t xml:space="preserve">n ILS shape; the full-width at </w:t>
      </w:r>
      <w:r w:rsidRPr="00105566">
        <w:rPr>
          <w:rFonts w:ascii="Times New Roman" w:hAnsi="Times New Roman" w:cs="Times New Roman"/>
          <w:b/>
          <w:color w:val="2E74B5" w:themeColor="accent1" w:themeShade="BF"/>
          <w:sz w:val="24"/>
          <w:szCs w:val="24"/>
        </w:rPr>
        <w:t>1/e</w:t>
      </w:r>
      <w:r w:rsidRPr="00105566">
        <w:rPr>
          <w:rFonts w:ascii="Times New Roman" w:hAnsi="Times New Roman" w:cs="Times New Roman"/>
          <w:b/>
          <w:color w:val="2E74B5" w:themeColor="accent1" w:themeShade="BF"/>
          <w:sz w:val="24"/>
          <w:szCs w:val="24"/>
        </w:rPr>
        <w:t xml:space="preserve"> is equal to </w:t>
      </w:r>
      <w:proofErr w:type="spellStart"/>
      <w:r w:rsidRPr="00105566">
        <w:rPr>
          <w:rFonts w:ascii="Times New Roman" w:hAnsi="Times New Roman" w:cs="Times New Roman"/>
          <w:b/>
          <w:color w:val="2E74B5" w:themeColor="accent1" w:themeShade="BF"/>
          <w:sz w:val="24"/>
          <w:szCs w:val="24"/>
        </w:rPr>
        <w:t>h</w:t>
      </w:r>
      <w:r w:rsidRPr="00105566">
        <w:rPr>
          <w:rFonts w:ascii="Times New Roman" w:hAnsi="Times New Roman" w:cs="Times New Roman"/>
          <w:b/>
          <w:color w:val="2E74B5" w:themeColor="accent1" w:themeShade="BF"/>
          <w:sz w:val="24"/>
          <w:szCs w:val="24"/>
          <w:vertAlign w:val="subscript"/>
        </w:rPr>
        <w:t>sg</w:t>
      </w:r>
      <w:proofErr w:type="spellEnd"/>
      <w:r w:rsidRPr="00105566">
        <w:rPr>
          <w:rFonts w:ascii="Times New Roman" w:hAnsi="Times New Roman" w:cs="Times New Roman"/>
          <w:b/>
          <w:color w:val="2E74B5" w:themeColor="accent1" w:themeShade="BF"/>
          <w:sz w:val="24"/>
          <w:szCs w:val="24"/>
        </w:rPr>
        <w:t xml:space="preserve"> and i</w:t>
      </w:r>
      <w:r w:rsidRPr="00105566">
        <w:rPr>
          <w:rFonts w:ascii="Times New Roman" w:hAnsi="Times New Roman" w:cs="Times New Roman"/>
          <w:b/>
          <w:color w:val="2E74B5" w:themeColor="accent1" w:themeShade="BF"/>
          <w:sz w:val="24"/>
          <w:szCs w:val="24"/>
        </w:rPr>
        <w:t>ndependent of the shape factor k</w:t>
      </w:r>
      <w:r w:rsidRPr="00105566">
        <w:rPr>
          <w:rFonts w:ascii="Times New Roman" w:hAnsi="Times New Roman" w:cs="Times New Roman"/>
          <w:b/>
          <w:color w:val="2E74B5" w:themeColor="accent1" w:themeShade="BF"/>
          <w:sz w:val="24"/>
          <w:szCs w:val="24"/>
        </w:rPr>
        <w:t>.</w:t>
      </w:r>
      <w:r>
        <w:rPr>
          <w:rFonts w:ascii="Times New Roman" w:hAnsi="Times New Roman" w:cs="Times New Roman"/>
          <w:color w:val="2E74B5" w:themeColor="accent1" w:themeShade="BF"/>
          <w:sz w:val="24"/>
          <w:szCs w:val="24"/>
        </w:rPr>
        <w:t>”</w:t>
      </w:r>
    </w:p>
    <w:p w:rsidR="00087D50" w:rsidRPr="00087D50" w:rsidRDefault="00485BBE" w:rsidP="00087D50">
      <w:pPr>
        <w:rPr>
          <w:rFonts w:ascii="Times New Roman" w:hAnsi="Times New Roman" w:cs="Times New Roman"/>
          <w:i/>
          <w:sz w:val="24"/>
          <w:szCs w:val="24"/>
        </w:rPr>
      </w:pPr>
      <w:r w:rsidRPr="00485BBE">
        <w:rPr>
          <w:rFonts w:ascii="Times New Roman" w:hAnsi="Times New Roman" w:cs="Times New Roman"/>
          <w:i/>
          <w:sz w:val="24"/>
          <w:szCs w:val="24"/>
        </w:rPr>
        <w:t>3. Page 1, line 12: "induced"</w:t>
      </w:r>
    </w:p>
    <w:p w:rsidR="00294EBE" w:rsidRPr="00485BBE" w:rsidRDefault="00485BBE" w:rsidP="00B3188D">
      <w:pP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Revised</w:t>
      </w:r>
      <w:r w:rsidR="00087D50" w:rsidRPr="00087D50">
        <w:rPr>
          <w:rFonts w:ascii="Times New Roman" w:hAnsi="Times New Roman" w:cs="Times New Roman"/>
          <w:color w:val="2E74B5" w:themeColor="accent1" w:themeShade="BF"/>
          <w:sz w:val="24"/>
          <w:szCs w:val="24"/>
        </w:rPr>
        <w:t>.</w:t>
      </w:r>
    </w:p>
    <w:sectPr w:rsidR="00294EBE" w:rsidRPr="00485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88D"/>
    <w:rsid w:val="00025B9A"/>
    <w:rsid w:val="00087D50"/>
    <w:rsid w:val="00105566"/>
    <w:rsid w:val="00110B6A"/>
    <w:rsid w:val="00294EBE"/>
    <w:rsid w:val="002A24FB"/>
    <w:rsid w:val="00485BBE"/>
    <w:rsid w:val="005F1758"/>
    <w:rsid w:val="006F2AC6"/>
    <w:rsid w:val="00813ACC"/>
    <w:rsid w:val="009B0B40"/>
    <w:rsid w:val="00A1349D"/>
    <w:rsid w:val="00A56381"/>
    <w:rsid w:val="00B3188D"/>
    <w:rsid w:val="00C12DD0"/>
    <w:rsid w:val="00D82688"/>
    <w:rsid w:val="00D9524E"/>
    <w:rsid w:val="00EE29D3"/>
    <w:rsid w:val="00F40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285AEB-1EE4-4573-8858-AB1F0A937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ksun</dc:creator>
  <cp:keywords/>
  <dc:description/>
  <cp:lastModifiedBy>ksun</cp:lastModifiedBy>
  <cp:revision>3</cp:revision>
  <dcterms:created xsi:type="dcterms:W3CDTF">2017-01-22T17:17:00Z</dcterms:created>
  <dcterms:modified xsi:type="dcterms:W3CDTF">2017-02-12T21:25:00Z</dcterms:modified>
</cp:coreProperties>
</file>