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507105"/>
            <wp:effectExtent l="0" t="0" r="889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  <w:bdr w:val="none" w:color="auto" w:sz="0" w:space="0"/>
        </w:rPr>
        <w:t>The Dragon Food Temple</w:t>
      </w:r>
    </w:p>
    <w:p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454545"/>
          <w:spacing w:val="0"/>
          <w:sz w:val="32"/>
          <w:szCs w:val="32"/>
          <w:bdr w:val="none" w:color="auto" w:sz="0" w:space="0"/>
          <w:shd w:val="clear" w:fill="F1F5F7"/>
        </w:rPr>
        <w:t>“Nested in the Dragon Park, Dragon’s Food Temple is assigned to stunning architecture and can accommodate up to 400 guests. The restaurant offers both menu sets and à la carte foods, and sometimes buffets on weekend midday from June to August.</w:t>
      </w:r>
    </w:p>
    <w:p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CECE3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5FCECE36"/>
    <w:rsid w:val="9C1E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56"/>
      <w:szCs w:val="56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2022-12-28T10:38:00Z</dcterms:created>
  <dc:creator>Pham An Hao</dc:creator>
  <cp:lastModifiedBy>Pham An Hao</cp:lastModifiedBy>
  <dcterms:modified xsi:type="dcterms:W3CDTF">2022-12-28T10:39:03Z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