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454545"/>
          <w:sz w:val="50"/>
          <w:szCs w:val="50"/>
        </w:rPr>
      </w:pPr>
      <w:bookmarkStart w:colFirst="0" w:colLast="0" w:name="_alpbdtn44mze" w:id="0"/>
      <w:bookmarkEnd w:id="0"/>
      <w:r w:rsidDel="00000000" w:rsidR="00000000" w:rsidRPr="00000000">
        <w:rPr>
          <w:b w:val="1"/>
          <w:color w:val="454545"/>
          <w:sz w:val="50"/>
          <w:szCs w:val="50"/>
          <w:rtl w:val="0"/>
        </w:rPr>
        <w:t xml:space="preserve">CORPORATE BOND ISSUANCE PLAN OF HA LONG SUN LIMITED LIABILITY COMPANY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339966"/>
          <w:sz w:val="30"/>
          <w:szCs w:val="30"/>
        </w:rPr>
      </w:pPr>
      <w:r w:rsidDel="00000000" w:rsidR="00000000" w:rsidRPr="00000000">
        <w:rPr>
          <w:b w:val="1"/>
          <w:color w:val="339966"/>
          <w:sz w:val="30"/>
          <w:szCs w:val="30"/>
          <w:rtl w:val="0"/>
        </w:rPr>
        <w:t xml:space="preserve">Ha Long Sun Limited Liability Company announced information about corporate bond issuance plan with summary information as follows: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Name of Bond: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HLC112020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Estimated total value of bonds issued: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Maximum VND 2,000 billion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Expected issuance date: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No later than December 31, 2019</w:t>
      </w:r>
      <w:r w:rsidDel="00000000" w:rsidR="00000000" w:rsidRPr="00000000">
        <w:rPr>
          <w:color w:val="45454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(minimum 10 working days after Information disclosure date November 7)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Bond term: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1 year 1 day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Face value: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VND 100,000/Bond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Method of issuing: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Issuing privately under Decree No. 163/2018/ND-CP dated December 4, 2018 of the Government on issuing corporate bonds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Type of bonds: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Bonds are not convertible, not accompanied by warrants, and are guaranteed with assets.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b w:val="1"/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+ Bond interest rate: </w:t>
      </w:r>
      <w:r w:rsidDel="00000000" w:rsidR="00000000" w:rsidRPr="00000000">
        <w:rPr>
          <w:b w:val="1"/>
          <w:color w:val="454545"/>
          <w:sz w:val="26"/>
          <w:szCs w:val="26"/>
          <w:rtl w:val="0"/>
        </w:rPr>
        <w:t xml:space="preserve">Interest rate is a combination of fixed and floating interest rates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