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spacing w:after="160"/>
        <w:jc w:val="center"/>
      </w:pPr>
      <w:r>
        <w:rPr>
          <w:rFonts w:ascii="Times New Roman" w:hAnsi="Times New Roman" w:eastAsia="黑体"/>
          <w:b/>
          <w:i w:val="0"/>
          <w:color w:val="000000"/>
          <w:sz w:val="32"/>
        </w:rPr>
        <w:t>硕士学位论文开题报告（结构完整性测试模板）</w:t>
      </w:r>
    </w:p>
    <w:p>
      <w:pPr>
        <w:spacing w:before="200" w:after="280"/>
        <w:jc w:val="center"/>
      </w:pPr>
      <w:r>
        <w:rPr>
          <w:rFonts w:ascii="Times New Roman" w:hAnsi="Times New Roman" w:eastAsia="黑体"/>
          <w:b/>
          <w:i w:val="0"/>
          <w:color w:val="000000"/>
          <w:sz w:val="30"/>
        </w:rPr>
        <w:t>【待补充：论文题目】</w:t>
      </w:r>
    </w:p>
    <w:p>
      <w:pPr>
        <w:jc w:val="center"/>
      </w:pPr>
      <w:r>
        <w:rPr>
          <w:rFonts w:ascii="Times New Roman" w:hAnsi="Times New Roman" w:eastAsia="宋体"/>
          <w:b w:val="0"/>
          <w:i w:val="0"/>
          <w:color w:val="000000"/>
          <w:sz w:val="18"/>
        </w:rPr>
        <w:t>结构完整性测试模板：含显式占位符和测试填充，不得用于学院归档</w:t>
      </w:r>
    </w:p>
    <w:p>
      <w:pPr>
        <w:keepNext/>
        <w:spacing w:before="60" w:after="60"/>
        <w:jc w:val="center"/>
      </w:pPr>
      <w:r>
        <w:rPr>
          <w:rFonts w:ascii="Times New Roman" w:hAnsi="Times New Roman" w:eastAsia="宋体"/>
          <w:b w:val="0"/>
          <w:i w:val="0"/>
          <w:color w:val="000000"/>
          <w:sz w:val="18"/>
        </w:rPr>
        <w:t>表 1　基本信息与测试边界</w:t>
      </w:r>
    </w:p>
    <w:tbl>
      <w:tblPr>
        <w:tblW w:type="auto" w:w="0"/>
        <w:jc w:val="center"/>
        <w:tblLayout w:type="fixed"/>
        <w:tblLook w:firstColumn="1" w:firstRow="1" w:lastColumn="0" w:lastRow="0" w:noHBand="0" w:noVBand="1" w:val="04A0"/>
      </w:tblPr>
      <w:tblGrid>
        <w:gridCol w:w="2154"/>
        <w:gridCol w:w="6690"/>
      </w:tblGrid>
      <w:tr>
        <w:tc>
          <w:tcPr>
            <w:tcW w:type="dxa" w:w="215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9"/>
              </w:rPr>
              <w:t>项目</w:t>
            </w:r>
          </w:p>
        </w:tc>
        <w:tc>
          <w:tcPr>
            <w:tcW w:type="dxa" w:w="6690"/>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9"/>
              </w:rPr>
              <w:t>内容</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学位层次</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【待补充：硕士或博士】</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专业与方向</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【待补充：专业、研究方向】</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作者与导师</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【待补充：作者、学号、导师】</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研究设计</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平行组随机对照研究</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模板状态</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【待补充：学校或院系当前官方模板及版本】</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篇幅校准</w:t>
            </w:r>
          </w:p>
        </w:tc>
        <w:tc>
          <w:tcPr>
            <w:tcW w:type="dxa" w:w="6690"/>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按逐节预算模拟约 20–30 页 A4 完整报告</w:t>
            </w:r>
          </w:p>
        </w:tc>
      </w:tr>
      <w:tr>
        <w:tc>
          <w:tcPr>
            <w:tcW w:type="dxa" w:w="215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9"/>
              </w:rPr>
              <w:t>测试用途</w:t>
            </w:r>
          </w:p>
        </w:tc>
        <w:tc>
          <w:tcPr>
            <w:tcW w:type="dxa" w:w="6690"/>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9"/>
              </w:rPr>
              <w:t>验证完整章节、设计分支、篇幅、表格和 DOCX 装配</w:t>
            </w:r>
          </w:p>
        </w:tc>
      </w:tr>
    </w:tbl>
    <w:p>
      <w:pPr>
        <w:spacing w:after="40"/>
      </w:pPr>
    </w:p>
    <w:p>
      <w:r>
        <w:br w:type="page"/>
      </w:r>
    </w:p>
    <w:p>
      <w:pPr>
        <w:pStyle w:val="Heading1"/>
        <w:keepNext/>
      </w:pPr>
      <w:r>
        <w:rPr>
          <w:rFonts w:ascii="Times New Roman" w:hAnsi="Times New Roman" w:eastAsia="黑体"/>
          <w:b/>
          <w:i w:val="0"/>
          <w:color w:val="000000"/>
          <w:sz w:val="24"/>
        </w:rPr>
        <w:t>目录</w:t>
      </w:r>
    </w:p>
    <w:p>
      <w:pPr>
        <w:spacing w:after="120"/>
        <w:jc w:val="left"/>
      </w:pPr>
      <w:r>
        <w:rPr>
          <w:rFonts w:ascii="Times New Roman" w:hAnsi="Times New Roman" w:eastAsia="宋体"/>
          <w:b w:val="0"/>
          <w:i w:val="0"/>
          <w:color w:val="000000"/>
          <w:sz w:val="20"/>
        </w:rPr>
        <w:fldChar w:fldCharType="begin"/>
        <w:instrText xml:space="preserve"> TOC \o "1-2" \h \z \u </w:instrText>
        <w:fldChar w:fldCharType="separate"/>
        <w:t>打开 Word 后更新目录字段</w:t>
        <w:fldChar w:fldCharType="end"/>
      </w:r>
    </w:p>
    <w:p>
      <w:pPr>
        <w:spacing w:line="300" w:lineRule="auto" w:after="100"/>
        <w:jc w:val="both"/>
      </w:pPr>
      <w:r>
        <w:rPr>
          <w:rFonts w:ascii="Times New Roman" w:hAnsi="Times New Roman" w:eastAsia="宋体"/>
          <w:b w:val="0"/>
          <w:i w:val="0"/>
          <w:color w:val="000000"/>
          <w:sz w:val="18"/>
        </w:rPr>
        <w:t>目录字段仅用于测试 Word 装配；正式提交前应在目标模板中更新并核对页码。</w:t>
      </w:r>
    </w:p>
    <w:p>
      <w:r>
        <w:br w:type="page"/>
      </w:r>
    </w:p>
    <w:p>
      <w:pPr>
        <w:pStyle w:val="Heading1"/>
        <w:keepNext/>
      </w:pPr>
      <w:r>
        <w:rPr>
          <w:rFonts w:ascii="Times New Roman" w:hAnsi="Times New Roman" w:eastAsia="黑体"/>
          <w:b/>
          <w:i w:val="0"/>
          <w:color w:val="000000"/>
          <w:sz w:val="24"/>
        </w:rPr>
        <w:t>一、立题背景及依据</w:t>
      </w:r>
    </w:p>
    <w:p>
      <w:pPr>
        <w:spacing w:line="300" w:lineRule="auto" w:after="100"/>
        <w:ind w:firstLine="420"/>
        <w:jc w:val="both"/>
      </w:pPr>
      <w:r>
        <w:rPr>
          <w:rFonts w:ascii="Times New Roman" w:hAnsi="Times New Roman" w:eastAsia="宋体"/>
          <w:b w:val="0"/>
          <w:i w:val="0"/>
          <w:color w:val="000000"/>
          <w:sz w:val="21"/>
        </w:rPr>
        <w:t>本节应说明研究问题、疾病或管理负担、已有证据和开展研究的必要性。【引文待核验：本句所述外部事实或方法依据】【结构测试填充：以下 x 仅用于检验本节篇幅、分页与长文装配，不是正式研究内容】【本节正文预算：约 4800 个中文字符；测试填充：24000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二、国内外研究现状与证据缺口</w:t>
      </w:r>
    </w:p>
    <w:p>
      <w:pPr>
        <w:spacing w:line="300" w:lineRule="auto" w:after="100"/>
        <w:ind w:firstLine="420"/>
        <w:jc w:val="both"/>
      </w:pPr>
      <w:r>
        <w:rPr>
          <w:rFonts w:ascii="Times New Roman" w:hAnsi="Times New Roman" w:eastAsia="宋体"/>
          <w:b w:val="0"/>
          <w:i w:val="0"/>
          <w:color w:val="000000"/>
          <w:sz w:val="21"/>
        </w:rPr>
        <w:t>本节应比较国内外证据的人群、设计、测量和结论差异并定位可回答的证据缺口。【引文待核验：本句所述外部事实或方法依据】【结构测试填充：以下 x 仅用于检验本节篇幅、分页与长文装配，不是正式研究内容】【本节正文预算：约 4800 个中文字符；测试填充：24000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三、研究意义</w:t>
      </w:r>
    </w:p>
    <w:p>
      <w:pPr>
        <w:spacing w:line="300" w:lineRule="auto" w:after="100"/>
        <w:ind w:firstLine="420"/>
        <w:jc w:val="both"/>
      </w:pPr>
      <w:r>
        <w:rPr>
          <w:rFonts w:ascii="Times New Roman" w:hAnsi="Times New Roman" w:eastAsia="宋体"/>
          <w:b w:val="0"/>
          <w:i w:val="0"/>
          <w:color w:val="000000"/>
          <w:sz w:val="21"/>
        </w:rPr>
        <w:t>本节应分别说明本研究可核查的理论意义、实践意义和适用边界。【引文待核验：本句所述外部事实或方法依据】【结构测试填充：以下 x 仅用于检验本节篇幅、分页与长文装配，不是正式研究内容】【本节正文预算：约 1200 个中文字符；测试填充：6000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四、研究目的、研究问题与研究假设</w:t>
      </w:r>
    </w:p>
    <w:p>
      <w:pPr>
        <w:spacing w:line="300" w:lineRule="auto" w:after="100"/>
        <w:ind w:firstLine="420"/>
        <w:jc w:val="both"/>
      </w:pPr>
      <w:r>
        <w:rPr>
          <w:rFonts w:ascii="Times New Roman" w:hAnsi="Times New Roman" w:eastAsia="宋体"/>
          <w:b w:val="0"/>
          <w:i w:val="0"/>
          <w:color w:val="000000"/>
          <w:sz w:val="21"/>
        </w:rPr>
        <w:t>本节应写明主要目的、次要目的、研究问题、研究假设和目标 estimand。【结构测试填充：以下 x 仅用于检验本节篇幅、分页与长文装配，不是正式研究内容】【本节正文预算：约 1200 个中文字符；测试填充：6000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1"/>
        <w:keepNext/>
      </w:pPr>
      <w:r>
        <w:rPr>
          <w:rFonts w:ascii="Times New Roman" w:hAnsi="Times New Roman" w:eastAsia="黑体"/>
          <w:b/>
          <w:i w:val="0"/>
          <w:color w:val="000000"/>
          <w:sz w:val="24"/>
        </w:rPr>
        <w:t>五、研究内容</w:t>
      </w:r>
    </w:p>
    <w:p>
      <w:pPr>
        <w:spacing w:line="300" w:lineRule="auto" w:after="100"/>
        <w:ind w:firstLine="420"/>
        <w:jc w:val="both"/>
      </w:pPr>
      <w:r>
        <w:rPr>
          <w:rFonts w:ascii="Times New Roman" w:hAnsi="Times New Roman" w:eastAsia="宋体"/>
          <w:b w:val="0"/>
          <w:i w:val="0"/>
          <w:color w:val="000000"/>
          <w:sz w:val="21"/>
        </w:rPr>
        <w:t>本节应按研究目的列出研究任务、先后依赖、输入、输出和停止条件。【结构测试填充：以下 x 仅用于检验本节篇幅、分页与长文装配，不是正式研究内容】【本节正文预算：约 1500 个中文字符；测试填充：7500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1"/>
        <w:keepNext/>
      </w:pPr>
      <w:r>
        <w:rPr>
          <w:rFonts w:ascii="Times New Roman" w:hAnsi="Times New Roman" w:eastAsia="黑体"/>
          <w:b/>
          <w:i w:val="0"/>
          <w:color w:val="000000"/>
          <w:sz w:val="24"/>
        </w:rPr>
        <w:t>六、研究方法</w:t>
      </w:r>
    </w:p>
    <w:p>
      <w:pPr>
        <w:spacing w:line="300" w:lineRule="auto" w:after="100"/>
        <w:ind w:firstLine="420"/>
        <w:jc w:val="both"/>
      </w:pPr>
      <w:r>
        <w:rPr>
          <w:rFonts w:ascii="Times New Roman" w:hAnsi="Times New Roman" w:eastAsia="宋体"/>
          <w:b w:val="0"/>
          <w:i w:val="0"/>
          <w:color w:val="000000"/>
          <w:sz w:val="21"/>
        </w:rPr>
        <w:t>本节应完整说明研究设计、研究对象、测量、样本量、质量控制、分析和伦理。【结构测试填充：以下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6.1 研究设计、研究对象、研究场景和时间点</w:t>
      </w:r>
    </w:p>
    <w:p>
      <w:pPr>
        <w:spacing w:line="300" w:lineRule="auto" w:after="100"/>
        <w:ind w:firstLine="420"/>
        <w:jc w:val="both"/>
      </w:pPr>
      <w:r>
        <w:rPr>
          <w:rFonts w:ascii="Times New Roman" w:hAnsi="Times New Roman" w:eastAsia="宋体"/>
          <w:b w:val="0"/>
          <w:i w:val="0"/>
          <w:color w:val="000000"/>
          <w:sz w:val="21"/>
        </w:rPr>
        <w:t>本节应定义目标人群、来源场景、招募流程、基线、随机时点和随访窗口。【结构测试填充：以下 x 仅用于检验本节篇幅、分页与长文装配，不是正式研究内容】【本节正文预算：约 1000 个中文字符；测试填充：5000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6.2 纳入标准、排除标准、退出标准和失访定义</w:t>
      </w:r>
    </w:p>
    <w:p>
      <w:pPr>
        <w:spacing w:line="300" w:lineRule="auto" w:after="100"/>
        <w:ind w:firstLine="420"/>
        <w:jc w:val="both"/>
      </w:pPr>
      <w:r>
        <w:rPr>
          <w:rFonts w:ascii="Times New Roman" w:hAnsi="Times New Roman" w:eastAsia="宋体"/>
          <w:b w:val="0"/>
          <w:i w:val="0"/>
          <w:color w:val="000000"/>
          <w:sz w:val="21"/>
        </w:rPr>
        <w:t>本节应给出可操作判断的纳入、排除、退出、失访和分析集标准。【结构测试填充：以下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6.3 随机序列、随机分配、分配隐藏和盲法</w:t>
      </w:r>
    </w:p>
    <w:p>
      <w:pPr>
        <w:spacing w:line="300" w:lineRule="auto" w:after="100"/>
        <w:ind w:firstLine="420"/>
        <w:jc w:val="both"/>
      </w:pPr>
      <w:r>
        <w:rPr>
          <w:rFonts w:ascii="Times New Roman" w:hAnsi="Times New Roman" w:eastAsia="宋体"/>
          <w:b w:val="0"/>
          <w:i w:val="0"/>
          <w:color w:val="000000"/>
          <w:sz w:val="21"/>
        </w:rPr>
        <w:t>本节应说明随机序列生成、分配比例、分配隐藏、盲法或开放标签理由及揭盲记录。【引文待核验：本句所述外部事实或方法依据】【结构测试填充：以下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6.4 干预、对照组和实施忠实度</w:t>
      </w:r>
    </w:p>
    <w:p>
      <w:pPr>
        <w:spacing w:line="300" w:lineRule="auto" w:after="100"/>
        <w:ind w:firstLine="420"/>
        <w:jc w:val="both"/>
      </w:pPr>
      <w:r>
        <w:rPr>
          <w:rFonts w:ascii="Times New Roman" w:hAnsi="Times New Roman" w:eastAsia="宋体"/>
          <w:b w:val="0"/>
          <w:i w:val="0"/>
          <w:color w:val="000000"/>
          <w:sz w:val="21"/>
        </w:rPr>
        <w:t>本节应定义干预剂量、频次、持续时间、对照内容、共同措施、交叉和实施忠实度。【引文待核验：本句所述外部事实或方法依据】【结构测试填充：以下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6.5 主要终点、次要终点和安全性结局</w:t>
      </w:r>
    </w:p>
    <w:p>
      <w:pPr>
        <w:spacing w:line="300" w:lineRule="auto" w:after="100"/>
        <w:ind w:firstLine="420"/>
        <w:jc w:val="both"/>
      </w:pPr>
      <w:r>
        <w:rPr>
          <w:rFonts w:ascii="Times New Roman" w:hAnsi="Times New Roman" w:eastAsia="宋体"/>
          <w:b w:val="0"/>
          <w:i w:val="0"/>
          <w:color w:val="000000"/>
          <w:sz w:val="21"/>
        </w:rPr>
        <w:t>本节应固定主要结局、次要结局、安全性结局、测量工具、时间窗和判定规则。【引文待核验：本句所述外部事实或方法依据】【结构测试填充：以下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6.6 样本量和精度依据</w:t>
      </w:r>
    </w:p>
    <w:p>
      <w:pPr>
        <w:spacing w:line="300" w:lineRule="auto" w:after="100"/>
        <w:ind w:firstLine="420"/>
        <w:jc w:val="both"/>
      </w:pPr>
      <w:r>
        <w:rPr>
          <w:rFonts w:ascii="Times New Roman" w:hAnsi="Times New Roman" w:eastAsia="宋体"/>
          <w:b w:val="0"/>
          <w:i w:val="0"/>
          <w:color w:val="000000"/>
          <w:sz w:val="21"/>
        </w:rPr>
        <w:t>本节应列出样本量计算所需对照风险、目标差异、把握度、失访率和来源。【引文待核验：本句所述外部事实或方法依据】【结构测试填充：以下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2"/>
        <w:keepNext/>
      </w:pPr>
      <w:r>
        <w:rPr>
          <w:rFonts w:ascii="Times New Roman" w:hAnsi="Times New Roman" w:eastAsia="黑体"/>
          <w:b/>
          <w:i w:val="0"/>
          <w:color w:val="000000"/>
          <w:sz w:val="22"/>
        </w:rPr>
        <w:t>6.7 数据来源、质量控制、方案偏离和缺失数据</w:t>
      </w:r>
    </w:p>
    <w:p>
      <w:pPr>
        <w:spacing w:line="300" w:lineRule="auto" w:after="100"/>
        <w:ind w:firstLine="420"/>
        <w:jc w:val="both"/>
      </w:pPr>
      <w:r>
        <w:rPr>
          <w:rFonts w:ascii="Times New Roman" w:hAnsi="Times New Roman" w:eastAsia="宋体"/>
          <w:b w:val="0"/>
          <w:i w:val="0"/>
          <w:color w:val="000000"/>
          <w:sz w:val="21"/>
        </w:rPr>
        <w:t>本节应规定实施记录、数据管理、培训校准、偏离分类、缺失追踪和异常处理。【引文待核验：本句所述外部事实或方法依据】【结构测试填充：以下 x 仅用于检验本节篇幅、分页与长文装配，不是正式研究内容】【本节正文预算：约 1400 个中文字符；测试填充：7000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pStyle w:val="Heading2"/>
        <w:keepNext/>
      </w:pPr>
      <w:r>
        <w:rPr>
          <w:rFonts w:ascii="Times New Roman" w:hAnsi="Times New Roman" w:eastAsia="黑体"/>
          <w:b/>
          <w:i w:val="0"/>
          <w:color w:val="000000"/>
          <w:sz w:val="22"/>
        </w:rPr>
        <w:t>6.8 意向性分析、符合方案分析和分析集</w:t>
      </w:r>
    </w:p>
    <w:p>
      <w:pPr>
        <w:spacing w:line="300" w:lineRule="auto" w:after="100"/>
        <w:ind w:firstLine="420"/>
        <w:jc w:val="both"/>
      </w:pPr>
      <w:r>
        <w:rPr>
          <w:rFonts w:ascii="Times New Roman" w:hAnsi="Times New Roman" w:eastAsia="宋体"/>
          <w:b w:val="0"/>
          <w:i w:val="0"/>
          <w:color w:val="000000"/>
          <w:sz w:val="21"/>
        </w:rPr>
        <w:t>本节应说明意向性分析、符合方案分析、主模型、效应量、置信区间和模型诊断。【引文待核验：本句所述外部事实或方法依据】【结构测试填充：以下 x 仅用于检验本节篇幅、分页与长文装配，不是正式研究内容】【本节正文预算：约 2000 个中文字符；测试填充：10000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pStyle w:val="Heading2"/>
        <w:keepNext/>
      </w:pPr>
      <w:r>
        <w:rPr>
          <w:rFonts w:ascii="Times New Roman" w:hAnsi="Times New Roman" w:eastAsia="黑体"/>
          <w:b/>
          <w:i w:val="0"/>
          <w:color w:val="000000"/>
          <w:sz w:val="22"/>
        </w:rPr>
        <w:t>6.9 敏感性分析、交叉和实施偏差</w:t>
      </w:r>
    </w:p>
    <w:p>
      <w:pPr>
        <w:spacing w:line="300" w:lineRule="auto" w:after="100"/>
        <w:ind w:firstLine="420"/>
        <w:jc w:val="both"/>
      </w:pPr>
      <w:r>
        <w:rPr>
          <w:rFonts w:ascii="Times New Roman" w:hAnsi="Times New Roman" w:eastAsia="宋体"/>
          <w:b w:val="0"/>
          <w:i w:val="0"/>
          <w:color w:val="000000"/>
          <w:sz w:val="21"/>
        </w:rPr>
        <w:t>本节应预设缺失、交叉、方案偏离、依从性和测量假设的敏感性分析。【引文待核验：本句所述外部事实或方法依据】【结构测试填充：以下 x 仅用于检验本节篇幅、分页与长文装配，不是正式研究内容】【本节正文预算：约 1100 个中文字符；测试填充：5500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2"/>
        <w:keepNext/>
      </w:pPr>
      <w:r>
        <w:rPr>
          <w:rFonts w:ascii="Times New Roman" w:hAnsi="Times New Roman" w:eastAsia="黑体"/>
          <w:b/>
          <w:i w:val="0"/>
          <w:color w:val="000000"/>
          <w:sz w:val="22"/>
        </w:rPr>
        <w:t>6.10 伦理、安全性、不良事件和暂停条件</w:t>
      </w:r>
    </w:p>
    <w:p>
      <w:pPr>
        <w:spacing w:line="300" w:lineRule="auto" w:after="100"/>
        <w:ind w:firstLine="420"/>
        <w:jc w:val="both"/>
      </w:pPr>
      <w:r>
        <w:rPr>
          <w:rFonts w:ascii="Times New Roman" w:hAnsi="Times New Roman" w:eastAsia="宋体"/>
          <w:b w:val="0"/>
          <w:i w:val="0"/>
          <w:color w:val="000000"/>
          <w:sz w:val="21"/>
        </w:rPr>
        <w:t>本节应说明伦理、知情同意、隐私、安全性监测、不良事件报告和暂停修订条件。【引文待核验：本句所述外部事实或方法依据】【结构测试填充：以下 x 仅用于检验本节篇幅、分页与长文装配，不是正式研究内容】【本节正文预算：约 1100 个中文字符；测试填充：5500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keepNext/>
        <w:spacing w:before="60" w:after="60"/>
        <w:jc w:val="center"/>
      </w:pPr>
      <w:r>
        <w:rPr>
          <w:rFonts w:ascii="Times New Roman" w:hAnsi="Times New Roman" w:eastAsia="宋体"/>
          <w:b w:val="0"/>
          <w:i w:val="0"/>
          <w:color w:val="000000"/>
          <w:sz w:val="17"/>
        </w:rPr>
        <w:t>表 2　研究问题、estimand 与结局层级</w:t>
      </w:r>
    </w:p>
    <w:tbl>
      <w:tblPr>
        <w:tblW w:type="auto" w:w="0"/>
        <w:jc w:val="center"/>
        <w:tblLayout w:type="fixed"/>
        <w:tblLook w:firstColumn="1" w:firstRow="1" w:lastColumn="0" w:lastRow="0" w:noHBand="0" w:noVBand="1" w:val="04A0"/>
      </w:tblPr>
      <w:tblGrid>
        <w:gridCol w:w="1361"/>
        <w:gridCol w:w="2381"/>
        <w:gridCol w:w="2835"/>
        <w:gridCol w:w="1928"/>
      </w:tblGrid>
      <w:tr>
        <w:trPr>
          <w:tblHeader w:val="true"/>
        </w:trPr>
        <w:tc>
          <w:tcPr>
            <w:tcW w:type="dxa" w:w="136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层级</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研究问题</w:t>
            </w:r>
          </w:p>
        </w:tc>
        <w:tc>
          <w:tcPr>
            <w:tcW w:type="dxa" w:w="283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estimand/结局</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对应分析</w:t>
            </w:r>
          </w:p>
        </w:tc>
      </w:tr>
      <w:tr>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主要</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【待补充：主要研究问题】</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【待补充：人群、比较、结局和时间窗】</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【待补充：主要分析】</w:t>
            </w:r>
          </w:p>
        </w:tc>
      </w:tr>
      <w:tr>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次要</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【待补充：次要研究问题】</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【待补充：次要结局】</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【待补充：次要分析】</w:t>
            </w:r>
          </w:p>
        </w:tc>
      </w:tr>
      <w:tr>
        <w:tc>
          <w:tcPr>
            <w:tcW w:type="dxa" w:w="136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探索性</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【待补充：探索性问题】</w:t>
            </w:r>
          </w:p>
        </w:tc>
        <w:tc>
          <w:tcPr>
            <w:tcW w:type="dxa" w:w="283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【待补充：探索性结局】</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【待补充：与主要分析分开】</w:t>
            </w:r>
          </w:p>
        </w:tc>
      </w:tr>
    </w:tbl>
    <w:p>
      <w:pPr>
        <w:spacing w:after="40"/>
      </w:pPr>
    </w:p>
    <w:p>
      <w:pPr>
        <w:keepNext/>
        <w:spacing w:before="60" w:after="60"/>
        <w:jc w:val="center"/>
      </w:pPr>
      <w:r>
        <w:rPr>
          <w:rFonts w:ascii="Times New Roman" w:hAnsi="Times New Roman" w:eastAsia="宋体"/>
          <w:b w:val="0"/>
          <w:i w:val="0"/>
          <w:color w:val="000000"/>
          <w:sz w:val="17"/>
        </w:rPr>
        <w:t>表 3　纳入、排除、退出和失访判定</w:t>
      </w:r>
    </w:p>
    <w:tbl>
      <w:tblPr>
        <w:tblW w:type="auto" w:w="0"/>
        <w:jc w:val="center"/>
        <w:tblLayout w:type="fixed"/>
        <w:tblLook w:firstColumn="1" w:firstRow="1" w:lastColumn="0" w:lastRow="0" w:noHBand="0" w:noVBand="1" w:val="04A0"/>
      </w:tblPr>
      <w:tblGrid>
        <w:gridCol w:w="1417"/>
        <w:gridCol w:w="3288"/>
        <w:gridCol w:w="1814"/>
        <w:gridCol w:w="1984"/>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类别</w:t>
            </w:r>
          </w:p>
        </w:tc>
        <w:tc>
          <w:tcPr>
            <w:tcW w:type="dxa" w:w="328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操作性标准</w:t>
            </w:r>
          </w:p>
        </w:tc>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判断时点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记录位置</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纳入</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【待补充：逐条纳入标准】</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【待补充：筛查时点】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【待补充：筛查表】</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排除</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【待补充：逐条排除标准】</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【待补充：筛查时点】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【待补充：排除原因表】</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退出</w:t>
            </w:r>
          </w:p>
        </w:tc>
        <w:tc>
          <w:tcPr>
            <w:tcW w:type="dxa" w:w="328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【待补充：撤回和终止定义】</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【待补充：研究期间】</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【待补充：退出记录】</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失访</w:t>
            </w:r>
          </w:p>
        </w:tc>
        <w:tc>
          <w:tcPr>
            <w:tcW w:type="dxa" w:w="328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【待补充：联系次数和窗口】</w:t>
            </w:r>
          </w:p>
        </w:tc>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【待补充：随访截止】</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【待补充：失访表】</w:t>
            </w:r>
          </w:p>
        </w:tc>
      </w:tr>
    </w:tbl>
    <w:p>
      <w:pPr>
        <w:spacing w:after="40"/>
      </w:pPr>
    </w:p>
    <w:p>
      <w:pPr>
        <w:keepNext/>
        <w:spacing w:before="60" w:after="60"/>
        <w:jc w:val="center"/>
      </w:pPr>
      <w:r>
        <w:rPr>
          <w:rFonts w:ascii="Times New Roman" w:hAnsi="Times New Roman" w:eastAsia="宋体"/>
          <w:b w:val="0"/>
          <w:i w:val="0"/>
          <w:color w:val="000000"/>
          <w:sz w:val="17"/>
        </w:rPr>
        <w:t>表 4　随机化、干预、对照和实施忠实度</w:t>
      </w:r>
    </w:p>
    <w:tbl>
      <w:tblPr>
        <w:tblW w:type="auto" w:w="0"/>
        <w:jc w:val="center"/>
        <w:tblLayout w:type="fixed"/>
        <w:tblLook w:firstColumn="1" w:firstRow="1" w:lastColumn="0" w:lastRow="0" w:noHBand="0" w:noVBand="1" w:val="04A0"/>
      </w:tblPr>
      <w:tblGrid>
        <w:gridCol w:w="1587"/>
        <w:gridCol w:w="2835"/>
        <w:gridCol w:w="2154"/>
        <w:gridCol w:w="1928"/>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项目</w:t>
            </w:r>
          </w:p>
        </w:tc>
        <w:tc>
          <w:tcPr>
            <w:tcW w:type="dxa" w:w="283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预设内容</w:t>
            </w:r>
          </w:p>
        </w:tc>
        <w:tc>
          <w:tcPr>
            <w:tcW w:type="dxa" w:w="215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实施证据</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偏离与处理</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随机序列</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【待补充：生成方法和分组比例】</w:t>
            </w:r>
          </w:p>
        </w:tc>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【待补充：保管和分配记录】</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【待补充：错分处理】</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干预组</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【待补充：剂量、频次和持续时间】</w:t>
            </w:r>
          </w:p>
        </w:tc>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【待补充：实施忠实度记录】</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【待补充：未接受或交叉处理】</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对照组</w:t>
            </w:r>
          </w:p>
        </w:tc>
        <w:tc>
          <w:tcPr>
            <w:tcW w:type="dxa" w:w="283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【待补充：对照内容和共同措施】</w:t>
            </w:r>
          </w:p>
        </w:tc>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【待补充：实际接受记录】</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【待补充：污染处理】</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盲法</w:t>
            </w:r>
          </w:p>
        </w:tc>
        <w:tc>
          <w:tcPr>
            <w:tcW w:type="dxa" w:w="283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【待补充：对象、实施者和评估者状态】</w:t>
            </w:r>
          </w:p>
        </w:tc>
        <w:tc>
          <w:tcPr>
            <w:tcW w:type="dxa" w:w="215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【待补充：盲态或揭盲记录】</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【待补充：开放标签偏差控制】</w:t>
            </w:r>
          </w:p>
        </w:tc>
      </w:tr>
    </w:tbl>
    <w:p>
      <w:pPr>
        <w:spacing w:after="40"/>
      </w:pPr>
    </w:p>
    <w:p>
      <w:pPr>
        <w:keepNext/>
        <w:spacing w:before="60" w:after="60"/>
        <w:jc w:val="center"/>
      </w:pPr>
      <w:r>
        <w:rPr>
          <w:rFonts w:ascii="Times New Roman" w:hAnsi="Times New Roman" w:eastAsia="宋体"/>
          <w:b w:val="0"/>
          <w:i w:val="0"/>
          <w:color w:val="000000"/>
          <w:sz w:val="17"/>
        </w:rPr>
        <w:t>表 5　主要、次要和安全性终点定义</w:t>
      </w:r>
    </w:p>
    <w:tbl>
      <w:tblPr>
        <w:tblW w:type="auto" w:w="0"/>
        <w:jc w:val="center"/>
        <w:tblLayout w:type="fixed"/>
        <w:tblLook w:firstColumn="1" w:firstRow="1" w:lastColumn="0" w:lastRow="0" w:noHBand="0" w:noVBand="1" w:val="04A0"/>
      </w:tblPr>
      <w:tblGrid>
        <w:gridCol w:w="1587"/>
        <w:gridCol w:w="2948"/>
        <w:gridCol w:w="1587"/>
        <w:gridCol w:w="2381"/>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终点层级</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操作性定义与单位</w:t>
            </w:r>
          </w:p>
        </w:tc>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时间窗</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工具与缺失处理</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主要终点</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【待补充：主要终点定义】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【待补充：主要时间窗】</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【引文待核验：测量或判定依据】</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次要终点</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【待补充：次要终点定义】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【待补充：次要时间窗】</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【引文待核验：测量或判定依据】</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安全性结局</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【待补充：安全性结局定义】</w:t>
            </w:r>
          </w:p>
        </w:tc>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【待补充：监测期间】</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【待补充：报告与缺失规则】</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探索性终点</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【待补充：探索性终点】</w:t>
            </w:r>
          </w:p>
        </w:tc>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【待补充：测量时间】</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【待补充：与主要终点分开】</w:t>
            </w:r>
          </w:p>
        </w:tc>
      </w:tr>
    </w:tbl>
    <w:p>
      <w:pPr>
        <w:spacing w:after="40"/>
      </w:pPr>
    </w:p>
    <w:p>
      <w:pPr>
        <w:keepNext/>
        <w:spacing w:before="60" w:after="60"/>
        <w:jc w:val="center"/>
      </w:pPr>
      <w:r>
        <w:rPr>
          <w:rFonts w:ascii="Times New Roman" w:hAnsi="Times New Roman" w:eastAsia="宋体"/>
          <w:b w:val="0"/>
          <w:i w:val="0"/>
          <w:color w:val="000000"/>
          <w:sz w:val="17"/>
        </w:rPr>
        <w:t>表 6　样本量或精度输入与核验责任</w:t>
      </w:r>
    </w:p>
    <w:tbl>
      <w:tblPr>
        <w:tblW w:type="auto" w:w="0"/>
        <w:jc w:val="center"/>
        <w:tblLayout w:type="fixed"/>
        <w:tblLook w:firstColumn="1" w:firstRow="1" w:lastColumn="0" w:lastRow="0" w:noHBand="0" w:noVBand="1" w:val="04A0"/>
      </w:tblPr>
      <w:tblGrid>
        <w:gridCol w:w="1814"/>
        <w:gridCol w:w="2381"/>
        <w:gridCol w:w="2381"/>
        <w:gridCol w:w="1928"/>
      </w:tblGrid>
      <w:tr>
        <w:trPr>
          <w:tblHeader w:val="true"/>
        </w:trPr>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输入</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待填内容</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证据来源</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确认责任</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主要结局参数</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【待补充：比例、均值或事件率】</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【引文待核验：先验研究或预实验】</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【待补充：研究负责人】</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效应尺度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【待补充：目标差异或精度】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【引文待核验：临床或方法依据】</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【待补充：方法负责人】</w:t>
            </w:r>
          </w:p>
        </w:tc>
      </w:tr>
      <w:tr>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统计参数</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【待补充：显著性水平和把握度】</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【引文待核验：方案依据】</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【待补充：统计负责人】</w:t>
            </w:r>
          </w:p>
        </w:tc>
      </w:tr>
      <w:tr>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设计修正</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【待补充：失访、聚类或分层】</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【引文待核验：实施依据】</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【待补充：项目负责人】</w:t>
            </w:r>
          </w:p>
        </w:tc>
      </w:tr>
    </w:tbl>
    <w:p>
      <w:pPr>
        <w:spacing w:after="40"/>
      </w:pPr>
    </w:p>
    <w:p>
      <w:pPr>
        <w:keepNext/>
        <w:spacing w:before="60" w:after="60"/>
        <w:jc w:val="center"/>
      </w:pPr>
      <w:r>
        <w:rPr>
          <w:rFonts w:ascii="Times New Roman" w:hAnsi="Times New Roman" w:eastAsia="宋体"/>
          <w:b w:val="0"/>
          <w:i w:val="0"/>
          <w:color w:val="000000"/>
          <w:sz w:val="17"/>
        </w:rPr>
        <w:t>表 7　预设统计分析计划</w:t>
      </w:r>
    </w:p>
    <w:tbl>
      <w:tblPr>
        <w:tblW w:type="auto" w:w="0"/>
        <w:jc w:val="center"/>
        <w:tblLayout w:type="fixed"/>
        <w:tblLook w:firstColumn="1" w:firstRow="1" w:lastColumn="0" w:lastRow="0" w:noHBand="0" w:noVBand="1" w:val="04A0"/>
      </w:tblPr>
      <w:tblGrid>
        <w:gridCol w:w="1417"/>
        <w:gridCol w:w="2721"/>
        <w:gridCol w:w="2381"/>
        <w:gridCol w:w="1984"/>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分析层级</w:t>
            </w:r>
          </w:p>
        </w:tc>
        <w:tc>
          <w:tcPr>
            <w:tcW w:type="dxa" w:w="272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分析集与方法</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效应量和输出</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诊断或敏感性</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【待补充：意向性分析、符合方案分析和安全性报告】</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【待补充：效应量、95% CI 和 P 值】</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【待补充：模型诊断】</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次要</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【待补充：次要结局方法】</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【待补充：估计与区间】</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【待补充：多重性处理】</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分层/交互</w:t>
            </w:r>
          </w:p>
        </w:tc>
        <w:tc>
          <w:tcPr>
            <w:tcW w:type="dxa" w:w="272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【待补充：预设因素】</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【待补充：交互估计】</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【待补充：探索性标记】</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敏感性</w:t>
            </w:r>
          </w:p>
        </w:tc>
        <w:tc>
          <w:tcPr>
            <w:tcW w:type="dxa" w:w="272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【待补充：缺失和偏离假设】</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【待补充：方向与区间比较】</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【待补充：预设纳入条件】</w:t>
            </w:r>
          </w:p>
        </w:tc>
      </w:tr>
    </w:tbl>
    <w:p>
      <w:pPr>
        <w:spacing w:after="40"/>
      </w:pPr>
    </w:p>
    <w:p>
      <w:pPr>
        <w:keepNext/>
        <w:spacing w:before="60" w:after="60"/>
        <w:jc w:val="center"/>
      </w:pPr>
      <w:r>
        <w:rPr>
          <w:rFonts w:ascii="Times New Roman" w:hAnsi="Times New Roman" w:eastAsia="宋体"/>
          <w:b w:val="0"/>
          <w:i w:val="0"/>
          <w:color w:val="000000"/>
          <w:sz w:val="17"/>
        </w:rPr>
        <w:t>表 8　质量控制、偏倚和风险应对</w:t>
      </w:r>
    </w:p>
    <w:tbl>
      <w:tblPr>
        <w:tblW w:type="auto" w:w="0"/>
        <w:jc w:val="center"/>
        <w:tblLayout w:type="fixed"/>
        <w:tblLook w:firstColumn="1" w:firstRow="1" w:lastColumn="0" w:lastRow="0" w:noHBand="0" w:noVBand="1" w:val="04A0"/>
      </w:tblPr>
      <w:tblGrid>
        <w:gridCol w:w="1587"/>
        <w:gridCol w:w="2381"/>
        <w:gridCol w:w="2551"/>
        <w:gridCol w:w="1984"/>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风险</w:t>
            </w:r>
          </w:p>
        </w:tc>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监测证据</w:t>
            </w:r>
          </w:p>
        </w:tc>
        <w:tc>
          <w:tcPr>
            <w:tcW w:type="dxa" w:w="255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控制或应对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停止/修订条件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对象进入</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【待补充：筛查、选择或分配记录】</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【待补充：连续记录和复核】</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【待补充：流程偏离阈值】</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测量质量</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【待补充：培训、校准和重复测量】</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【待补充：回到原始来源核对】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【待补充：测量失效条件】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随访/实施</w:t>
            </w:r>
          </w:p>
        </w:tc>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【待补充：失访或忠实度记录】</w:t>
            </w:r>
          </w:p>
        </w:tc>
        <w:tc>
          <w:tcPr>
            <w:tcW w:type="dxa" w:w="255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【待补充：追踪和偏离处理】</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【待补充：可解释性受损条件】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数据与合规</w:t>
            </w:r>
          </w:p>
        </w:tc>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【待补充：权限、锁库和伦理状态】</w:t>
            </w:r>
          </w:p>
        </w:tc>
        <w:tc>
          <w:tcPr>
            <w:tcW w:type="dxa" w:w="255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【待补充：去标识化和审查】</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【待补充：暂停或报告条件】</w:t>
            </w:r>
          </w:p>
        </w:tc>
      </w:tr>
    </w:tbl>
    <w:p>
      <w:pPr>
        <w:spacing w:after="40"/>
      </w:pPr>
    </w:p>
    <w:p>
      <w:pPr>
        <w:pStyle w:val="Heading1"/>
        <w:keepNext/>
      </w:pPr>
      <w:r>
        <w:rPr>
          <w:rFonts w:ascii="Times New Roman" w:hAnsi="Times New Roman" w:eastAsia="黑体"/>
          <w:b/>
          <w:i w:val="0"/>
          <w:color w:val="000000"/>
          <w:sz w:val="24"/>
        </w:rPr>
        <w:t>七、技术路线与研究流程</w:t>
      </w:r>
    </w:p>
    <w:p>
      <w:pPr>
        <w:spacing w:line="300" w:lineRule="auto" w:after="100"/>
        <w:ind w:firstLine="420"/>
        <w:jc w:val="both"/>
      </w:pPr>
      <w:r>
        <w:rPr>
          <w:rFonts w:ascii="Times New Roman" w:hAnsi="Times New Roman" w:eastAsia="宋体"/>
          <w:b w:val="0"/>
          <w:i w:val="0"/>
          <w:color w:val="000000"/>
          <w:sz w:val="21"/>
        </w:rPr>
        <w:t>本节应把对象进入、资料或干预、质量控制、结局评估、数据锁定、分析和产出连接起来。【结构测试填充：以下 x 仅用于检验本节篇幅、分页与长文装配，不是正式研究内容】【本节正文预算：约 800 个中文字符；测试填充：4000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w:t>
      </w:r>
    </w:p>
    <w:p>
      <w:pPr>
        <w:keepNext/>
        <w:spacing w:before="60" w:after="60"/>
        <w:jc w:val="center"/>
      </w:pPr>
      <w:r>
        <w:rPr>
          <w:rFonts w:ascii="Times New Roman" w:hAnsi="Times New Roman" w:eastAsia="宋体"/>
          <w:b w:val="0"/>
          <w:i w:val="0"/>
          <w:color w:val="000000"/>
          <w:sz w:val="17"/>
        </w:rPr>
        <w:t>表 9　技术路线与停止条件</w:t>
      </w:r>
    </w:p>
    <w:tbl>
      <w:tblPr>
        <w:tblW w:type="auto" w:w="0"/>
        <w:jc w:val="center"/>
        <w:tblLayout w:type="fixed"/>
        <w:tblLook w:firstColumn="1" w:firstRow="1" w:lastColumn="0" w:lastRow="0" w:noHBand="0" w:noVBand="1" w:val="04A0"/>
      </w:tblPr>
      <w:tblGrid>
        <w:gridCol w:w="1587"/>
        <w:gridCol w:w="2948"/>
        <w:gridCol w:w="2268"/>
        <w:gridCol w:w="1701"/>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节点</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主要任务</w:t>
            </w:r>
          </w:p>
        </w:tc>
        <w:tc>
          <w:tcPr>
            <w:tcW w:type="dxa" w:w="226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关键输出</w:t>
            </w:r>
          </w:p>
        </w:tc>
        <w:tc>
          <w:tcPr>
            <w:tcW w:type="dxa" w:w="170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停止/修订条件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对象筛查</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【待补充：对象筛查的停止或修订条件】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随机分组</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【待补充：随机分组的输入与主要动作】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【待补充：随机分组的关键输出】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【待补充：随机分组的停止或修订条件】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干预与对照实施</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【待补充：干预与对照实施的输入与主要动作】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【待补充：干预与对照实施的关键输出】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【待补充：干预与对照实施的停止或修订条件】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随访和安全监测</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【待补充：随访和安全监测的输入与主要动作】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【待补充：随访和安全监测的关键输出】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【待补充：随访和安全监测的停止或修订条件】</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结局评估</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【待补充：结局评估的输入与主要动作】</w:t>
            </w:r>
          </w:p>
        </w:tc>
        <w:tc>
          <w:tcPr>
            <w:tcW w:type="dxa" w:w="226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【待补充：结局评估的关键输出】</w:t>
            </w:r>
          </w:p>
        </w:tc>
        <w:tc>
          <w:tcPr>
            <w:tcW w:type="dxa" w:w="170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【待补充：结局评估的停止或修订条件】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意向性分析与报告</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【待补充：意向性分析与报告的输入与主要动作】</w:t>
            </w:r>
          </w:p>
        </w:tc>
        <w:tc>
          <w:tcPr>
            <w:tcW w:type="dxa" w:w="226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【待补充：意向性分析与报告的关键输出】</w:t>
            </w:r>
          </w:p>
        </w:tc>
        <w:tc>
          <w:tcPr>
            <w:tcW w:type="dxa" w:w="170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【待补充：意向性分析与报告的停止或修订条件】</w:t>
            </w:r>
          </w:p>
        </w:tc>
      </w:tr>
    </w:tbl>
    <w:p>
      <w:pPr>
        <w:spacing w:after="40"/>
      </w:pPr>
    </w:p>
    <w:p>
      <w:pPr>
        <w:pStyle w:val="Heading1"/>
        <w:keepNext/>
      </w:pPr>
      <w:r>
        <w:rPr>
          <w:rFonts w:ascii="Times New Roman" w:hAnsi="Times New Roman" w:eastAsia="黑体"/>
          <w:b/>
          <w:i w:val="0"/>
          <w:color w:val="000000"/>
          <w:sz w:val="24"/>
        </w:rPr>
        <w:t>八、预期结果及预期成果</w:t>
      </w:r>
    </w:p>
    <w:p>
      <w:pPr>
        <w:spacing w:line="300" w:lineRule="auto" w:after="100"/>
        <w:ind w:firstLine="420"/>
        <w:jc w:val="both"/>
      </w:pPr>
      <w:r>
        <w:rPr>
          <w:rFonts w:ascii="Times New Roman" w:hAnsi="Times New Roman" w:eastAsia="宋体"/>
          <w:b w:val="0"/>
          <w:i w:val="0"/>
          <w:color w:val="000000"/>
          <w:sz w:val="21"/>
        </w:rPr>
        <w:t>本节应列出预期形成的结果类型、表格、图件、数据库、论文部件和解释边界。【结构测试填充：以下 x 仅用于检验本节篇幅、分页与长文装配，不是正式研究内容】【本节正文预算：约 700 个中文字符；测试填充：3500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w:t>
      </w:r>
    </w:p>
    <w:p>
      <w:pPr>
        <w:pStyle w:val="Heading1"/>
        <w:keepNext/>
      </w:pPr>
      <w:r>
        <w:rPr>
          <w:rFonts w:ascii="Times New Roman" w:hAnsi="Times New Roman" w:eastAsia="黑体"/>
          <w:b/>
          <w:i w:val="0"/>
          <w:color w:val="000000"/>
          <w:sz w:val="24"/>
        </w:rPr>
        <w:t>九、研究亮点及创新性</w:t>
      </w:r>
    </w:p>
    <w:p>
      <w:pPr>
        <w:spacing w:line="300" w:lineRule="auto" w:after="100"/>
        <w:ind w:firstLine="420"/>
        <w:jc w:val="both"/>
      </w:pPr>
      <w:r>
        <w:rPr>
          <w:rFonts w:ascii="Times New Roman" w:hAnsi="Times New Roman" w:eastAsia="宋体"/>
          <w:b w:val="0"/>
          <w:i w:val="0"/>
          <w:color w:val="000000"/>
          <w:sz w:val="21"/>
        </w:rPr>
        <w:t>本节应依据真实文献和研究方案比较设计、数据、测量、方法、实施或应用层面的可核查差异。【引文待核验：本句所述外部事实或方法依据】【结构测试填充：以下 x 仅用于检验本节篇幅、分页与长文装配，不是正式研究内容】【本节正文预算：约 900 个中文字符；测试填充：4500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pStyle w:val="Heading1"/>
        <w:keepNext/>
      </w:pPr>
      <w:r>
        <w:rPr>
          <w:rFonts w:ascii="Times New Roman" w:hAnsi="Times New Roman" w:eastAsia="黑体"/>
          <w:b/>
          <w:i w:val="0"/>
          <w:color w:val="000000"/>
          <w:sz w:val="24"/>
        </w:rPr>
        <w:t>十、可行性分析与风险应对</w:t>
      </w:r>
    </w:p>
    <w:p>
      <w:pPr>
        <w:spacing w:line="300" w:lineRule="auto" w:after="100"/>
        <w:ind w:firstLine="420"/>
        <w:jc w:val="both"/>
      </w:pPr>
      <w:r>
        <w:rPr>
          <w:rFonts w:ascii="Times New Roman" w:hAnsi="Times New Roman" w:eastAsia="宋体"/>
          <w:b w:val="0"/>
          <w:i w:val="0"/>
          <w:color w:val="000000"/>
          <w:sz w:val="21"/>
        </w:rPr>
        <w:t>本节应区分已经具备、待确认、需要申请和存在风险的条件并给出应对责任。【结构测试填充：以下 x 仅用于检验本节篇幅、分页与长文装配，不是正式研究内容】【本节正文预算：约 1000 个中文字符；测试填充：5000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w:t>
      </w:r>
    </w:p>
    <w:p>
      <w:pPr>
        <w:keepNext/>
        <w:spacing w:before="60" w:after="60"/>
        <w:jc w:val="center"/>
      </w:pPr>
      <w:r>
        <w:rPr>
          <w:rFonts w:ascii="Times New Roman" w:hAnsi="Times New Roman" w:eastAsia="宋体"/>
          <w:b w:val="0"/>
          <w:i w:val="0"/>
          <w:color w:val="000000"/>
          <w:sz w:val="17"/>
        </w:rPr>
        <w:t>表 10　可行性条件与风险应对</w:t>
      </w:r>
    </w:p>
    <w:tbl>
      <w:tblPr>
        <w:tblW w:type="auto" w:w="0"/>
        <w:jc w:val="center"/>
        <w:tblLayout w:type="fixed"/>
        <w:tblLook w:firstColumn="1" w:firstRow="1" w:lastColumn="0" w:lastRow="0" w:noHBand="0" w:noVBand="1" w:val="04A0"/>
      </w:tblPr>
      <w:tblGrid>
        <w:gridCol w:w="1587"/>
        <w:gridCol w:w="1984"/>
        <w:gridCol w:w="2948"/>
        <w:gridCol w:w="1984"/>
      </w:tblGrid>
      <w:tr>
        <w:trPr>
          <w:tblHeader w:val="true"/>
        </w:trPr>
        <w:tc>
          <w:tcPr>
            <w:tcW w:type="dxa" w:w="158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维度</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当前状态</w:t>
            </w:r>
          </w:p>
        </w:tc>
        <w:tc>
          <w:tcPr>
            <w:tcW w:type="dxa" w:w="294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证据或待确认事项</w:t>
            </w:r>
          </w:p>
        </w:tc>
        <w:tc>
          <w:tcPr>
            <w:tcW w:type="dxa" w:w="198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应对与责任</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数据/样本</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【待补充：已具备、待确认或需申请】</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【待补充：来源、授权和进入路径】</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【待补充：责任人和截止时间】</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技术与人员</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【待补充：能力和培训状态】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【待补充：设备、人员和统计能力】</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【待补充：培训或补充方案】</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伦理与隐私</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【待补充：伦理和授权状态】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【待补充：审批、同意和访问权限】</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【待补充：伦理责任人】</w:t>
            </w:r>
          </w:p>
        </w:tc>
      </w:tr>
      <w:tr>
        <w:tc>
          <w:tcPr>
            <w:tcW w:type="dxa" w:w="158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时间与经费</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【待补充：周期和预算状态】</w:t>
            </w:r>
          </w:p>
        </w:tc>
        <w:tc>
          <w:tcPr>
            <w:tcW w:type="dxa" w:w="294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【待补充：关键窗口和资源】</w:t>
            </w:r>
          </w:p>
        </w:tc>
        <w:tc>
          <w:tcPr>
            <w:tcW w:type="dxa" w:w="198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【待补充：调整条件】</w:t>
            </w:r>
          </w:p>
        </w:tc>
      </w:tr>
      <w:tr>
        <w:tc>
          <w:tcPr>
            <w:tcW w:type="dxa" w:w="158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主要风险</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【待补充：风险等级】</w:t>
            </w:r>
          </w:p>
        </w:tc>
        <w:tc>
          <w:tcPr>
            <w:tcW w:type="dxa" w:w="294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【待补充：监测指标】</w:t>
            </w:r>
          </w:p>
        </w:tc>
        <w:tc>
          <w:tcPr>
            <w:tcW w:type="dxa" w:w="198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【待补充：应对和停止条件】</w:t>
            </w:r>
          </w:p>
        </w:tc>
      </w:tr>
    </w:tbl>
    <w:p>
      <w:pPr>
        <w:spacing w:after="40"/>
      </w:pPr>
    </w:p>
    <w:p>
      <w:pPr>
        <w:pStyle w:val="Heading1"/>
        <w:keepNext/>
      </w:pPr>
      <w:r>
        <w:rPr>
          <w:rFonts w:ascii="Times New Roman" w:hAnsi="Times New Roman" w:eastAsia="黑体"/>
          <w:b/>
          <w:i w:val="0"/>
          <w:color w:val="000000"/>
          <w:sz w:val="24"/>
        </w:rPr>
        <w:t>十一、研究工作计划</w:t>
      </w:r>
    </w:p>
    <w:p>
      <w:pPr>
        <w:spacing w:line="300" w:lineRule="auto" w:after="100"/>
        <w:ind w:firstLine="420"/>
        <w:jc w:val="both"/>
      </w:pPr>
      <w:r>
        <w:rPr>
          <w:rFonts w:ascii="Times New Roman" w:hAnsi="Times New Roman" w:eastAsia="宋体"/>
          <w:b w:val="0"/>
          <w:i w:val="0"/>
          <w:color w:val="000000"/>
          <w:sz w:val="21"/>
        </w:rPr>
        <w:t>本节应按真实研究周期排列证据核验、伦理、工具准备、对象进入、实施随访、锁库、分析、写作和提交。【结构测试填充：以下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keepNext/>
        <w:spacing w:before="60" w:after="60"/>
        <w:jc w:val="center"/>
      </w:pPr>
      <w:r>
        <w:rPr>
          <w:rFonts w:ascii="Times New Roman" w:hAnsi="Times New Roman" w:eastAsia="宋体"/>
          <w:b w:val="0"/>
          <w:i w:val="0"/>
          <w:color w:val="000000"/>
          <w:sz w:val="17"/>
        </w:rPr>
        <w:t>表 11　研究工作计划</w:t>
      </w:r>
    </w:p>
    <w:tbl>
      <w:tblPr>
        <w:tblW w:type="auto" w:w="0"/>
        <w:jc w:val="center"/>
        <w:tblLayout w:type="fixed"/>
        <w:tblLook w:firstColumn="1" w:firstRow="1" w:lastColumn="0" w:lastRow="0" w:noHBand="0" w:noVBand="1" w:val="04A0"/>
      </w:tblPr>
      <w:tblGrid>
        <w:gridCol w:w="1417"/>
        <w:gridCol w:w="1814"/>
        <w:gridCol w:w="3402"/>
        <w:gridCol w:w="1871"/>
      </w:tblGrid>
      <w:tr>
        <w:trPr>
          <w:tblHeader w:val="true"/>
        </w:trPr>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阶段</w:t>
            </w:r>
          </w:p>
        </w:tc>
        <w:tc>
          <w:tcPr>
            <w:tcW w:type="dxa" w:w="181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计划时间</w:t>
            </w:r>
          </w:p>
        </w:tc>
        <w:tc>
          <w:tcPr>
            <w:tcW w:type="dxa" w:w="3402"/>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主要工作</w:t>
            </w:r>
          </w:p>
        </w:tc>
        <w:tc>
          <w:tcPr>
            <w:tcW w:type="dxa" w:w="187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阶段性产出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第一阶段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【待补充：文献、方案和伦理】</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第二阶段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【待补充：工具、培训和对象进入】</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第三阶段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【待补充：资料收集、干预或随访】</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第四阶段</w:t>
            </w:r>
          </w:p>
        </w:tc>
        <w:tc>
          <w:tcPr>
            <w:tcW w:type="dxa" w:w="181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【待补充：锁库、分析和结果复核】</w:t>
            </w:r>
          </w:p>
        </w:tc>
        <w:tc>
          <w:tcPr>
            <w:tcW w:type="dxa" w:w="187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r>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第五阶段</w:t>
            </w:r>
          </w:p>
        </w:tc>
        <w:tc>
          <w:tcPr>
            <w:tcW w:type="dxa" w:w="181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【待补充：起止月份】</w:t>
            </w:r>
          </w:p>
        </w:tc>
        <w:tc>
          <w:tcPr>
            <w:tcW w:type="dxa" w:w="3402"/>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【待补充：论文、预答辩和正式提交】</w:t>
            </w:r>
          </w:p>
        </w:tc>
        <w:tc>
          <w:tcPr>
            <w:tcW w:type="dxa" w:w="187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【待补充：阶段产出】</w:t>
            </w:r>
          </w:p>
        </w:tc>
      </w:tr>
    </w:tbl>
    <w:p>
      <w:pPr>
        <w:spacing w:after="40"/>
      </w:pPr>
    </w:p>
    <w:p>
      <w:pPr>
        <w:pStyle w:val="Heading1"/>
        <w:keepNext/>
      </w:pPr>
      <w:r>
        <w:rPr>
          <w:rFonts w:ascii="Times New Roman" w:hAnsi="Times New Roman" w:eastAsia="黑体"/>
          <w:b/>
          <w:i w:val="0"/>
          <w:color w:val="000000"/>
          <w:sz w:val="24"/>
        </w:rPr>
        <w:t>十二、参考文献</w:t>
      </w:r>
    </w:p>
    <w:p>
      <w:pPr>
        <w:spacing w:line="300" w:lineRule="auto" w:after="100"/>
        <w:ind w:firstLine="420"/>
        <w:jc w:val="both"/>
      </w:pPr>
      <w:r>
        <w:rPr>
          <w:rFonts w:ascii="Times New Roman" w:hAnsi="Times New Roman" w:eastAsia="宋体"/>
          <w:b w:val="0"/>
          <w:i w:val="0"/>
          <w:color w:val="000000"/>
          <w:sz w:val="21"/>
        </w:rPr>
        <w:t>本节应列出与正文引文一一对应且完成身份、内容和适用性核验的真实来源。【引文待核验：本句所述外部事实或方法依据】【结构测试填充：以下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spacing w:line="300" w:lineRule="auto" w:after="40"/>
        <w:jc w:val="both"/>
      </w:pPr>
      <w:r>
        <w:rPr>
          <w:rFonts w:ascii="Times New Roman" w:hAnsi="Times New Roman" w:eastAsia="宋体"/>
          <w:b w:val="0"/>
          <w:i w:val="0"/>
          <w:color w:val="000000"/>
          <w:sz w:val="18"/>
        </w:rPr>
        <w:t>[1] 【引文待核验：研究问题与目标人群的背景来源】</w:t>
      </w:r>
    </w:p>
    <w:p>
      <w:pPr>
        <w:spacing w:line="300" w:lineRule="auto" w:after="40"/>
        <w:jc w:val="both"/>
      </w:pPr>
      <w:r>
        <w:rPr>
          <w:rFonts w:ascii="Times New Roman" w:hAnsi="Times New Roman" w:eastAsia="宋体"/>
          <w:b w:val="0"/>
          <w:i w:val="0"/>
          <w:color w:val="000000"/>
          <w:sz w:val="18"/>
        </w:rPr>
        <w:t>[2] 【引文待核验：疾病负担或应用问题的权威来源】</w:t>
      </w:r>
    </w:p>
    <w:p>
      <w:pPr>
        <w:spacing w:line="300" w:lineRule="auto" w:after="40"/>
        <w:jc w:val="both"/>
      </w:pPr>
      <w:r>
        <w:rPr>
          <w:rFonts w:ascii="Times New Roman" w:hAnsi="Times New Roman" w:eastAsia="宋体"/>
          <w:b w:val="0"/>
          <w:i w:val="0"/>
          <w:color w:val="000000"/>
          <w:sz w:val="18"/>
        </w:rPr>
        <w:t>[3] 【引文待核验：国内研究现状的代表性来源】</w:t>
      </w:r>
    </w:p>
    <w:p>
      <w:pPr>
        <w:spacing w:line="300" w:lineRule="auto" w:after="40"/>
        <w:jc w:val="both"/>
      </w:pPr>
      <w:r>
        <w:rPr>
          <w:rFonts w:ascii="Times New Roman" w:hAnsi="Times New Roman" w:eastAsia="宋体"/>
          <w:b w:val="0"/>
          <w:i w:val="0"/>
          <w:color w:val="000000"/>
          <w:sz w:val="18"/>
        </w:rPr>
        <w:t>[4] 【引文待核验：国外研究现状的代表性来源】</w:t>
      </w:r>
    </w:p>
    <w:p>
      <w:pPr>
        <w:spacing w:line="300" w:lineRule="auto" w:after="40"/>
        <w:jc w:val="both"/>
      </w:pPr>
      <w:r>
        <w:rPr>
          <w:rFonts w:ascii="Times New Roman" w:hAnsi="Times New Roman" w:eastAsia="宋体"/>
          <w:b w:val="0"/>
          <w:i w:val="0"/>
          <w:color w:val="000000"/>
          <w:sz w:val="18"/>
        </w:rPr>
        <w:t>[5] 【引文待核验：研究设计与偏倚控制的方法依据】</w:t>
      </w:r>
    </w:p>
    <w:p>
      <w:pPr>
        <w:spacing w:line="300" w:lineRule="auto" w:after="40"/>
        <w:jc w:val="both"/>
      </w:pPr>
      <w:r>
        <w:rPr>
          <w:rFonts w:ascii="Times New Roman" w:hAnsi="Times New Roman" w:eastAsia="宋体"/>
          <w:b w:val="0"/>
          <w:i w:val="0"/>
          <w:color w:val="000000"/>
          <w:sz w:val="18"/>
        </w:rPr>
        <w:t>[6] 【引文待核验：测量工具、终点或量表依据】</w:t>
      </w:r>
    </w:p>
    <w:p>
      <w:pPr>
        <w:spacing w:line="300" w:lineRule="auto" w:after="40"/>
        <w:jc w:val="both"/>
      </w:pPr>
      <w:r>
        <w:rPr>
          <w:rFonts w:ascii="Times New Roman" w:hAnsi="Times New Roman" w:eastAsia="宋体"/>
          <w:b w:val="0"/>
          <w:i w:val="0"/>
          <w:color w:val="000000"/>
          <w:sz w:val="18"/>
        </w:rPr>
        <w:t>[7] 【引文待核验：样本量或统计分析的方法依据】</w:t>
      </w:r>
    </w:p>
    <w:p>
      <w:pPr>
        <w:spacing w:line="300" w:lineRule="auto" w:after="40"/>
        <w:jc w:val="both"/>
      </w:pPr>
      <w:r>
        <w:rPr>
          <w:rFonts w:ascii="Times New Roman" w:hAnsi="Times New Roman" w:eastAsia="宋体"/>
          <w:b w:val="0"/>
          <w:i w:val="0"/>
          <w:color w:val="000000"/>
          <w:sz w:val="18"/>
        </w:rPr>
        <w:t>[8] 【引文待核验：伦理、隐私或报告规范依据】</w:t>
      </w:r>
    </w:p>
    <w:p>
      <w:pPr>
        <w:pStyle w:val="Heading1"/>
        <w:keepNext/>
      </w:pPr>
      <w:r>
        <w:rPr>
          <w:rFonts w:ascii="Times New Roman" w:hAnsi="Times New Roman" w:eastAsia="黑体"/>
          <w:b/>
          <w:i w:val="0"/>
          <w:color w:val="000000"/>
          <w:sz w:val="24"/>
        </w:rPr>
        <w:t>十三、附件、导师意见与专家评议表单</w:t>
      </w:r>
    </w:p>
    <w:p>
      <w:pPr>
        <w:spacing w:line="300" w:lineRule="auto" w:after="100"/>
        <w:ind w:firstLine="420"/>
        <w:jc w:val="both"/>
      </w:pPr>
      <w:r>
        <w:rPr>
          <w:rFonts w:ascii="Times New Roman" w:hAnsi="Times New Roman" w:eastAsia="宋体"/>
          <w:b w:val="0"/>
          <w:i w:val="0"/>
          <w:color w:val="000000"/>
          <w:sz w:val="21"/>
        </w:rPr>
        <w:t>本节应按官方模板保留必要附件、导师意见、专家评议、开题考核、签字和日期空位。【结构测试填充：以下 x 仅用于检验本节篇幅、分页与长文装配，不是正式研究内容】【本节正文预算：约 500 个中文字符；测试填充：2500 个 x】xxxxxxxxxxxxxxxxxxxxxxxxxxxxxxxxxxxxxxxxxxxxxxxxxxxxxxxxxxxxxxxxxxxxxxxxxxxxxxxx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xxxxxxxxxxxxxxxxxxxxxxxxxxxxxxxxxxxxxxxxxxxxxxxxxxxxxxxxxxxxxxxxxxxxxxxxxxxxxxxx xxxxxxxxxxxxxxxxxxxx</w:t>
      </w:r>
    </w:p>
    <w:p>
      <w:pPr>
        <w:keepNext/>
        <w:spacing w:before="60" w:after="60"/>
        <w:jc w:val="center"/>
      </w:pPr>
      <w:r>
        <w:rPr>
          <w:rFonts w:ascii="Times New Roman" w:hAnsi="Times New Roman" w:eastAsia="宋体"/>
          <w:b w:val="0"/>
          <w:i w:val="0"/>
          <w:color w:val="000000"/>
          <w:sz w:val="17"/>
        </w:rPr>
        <w:t>表 12　附件与签字栏清单</w:t>
      </w:r>
    </w:p>
    <w:tbl>
      <w:tblPr>
        <w:tblW w:type="auto" w:w="0"/>
        <w:jc w:val="center"/>
        <w:tblLayout w:type="fixed"/>
        <w:tblLook w:firstColumn="1" w:firstRow="1" w:lastColumn="0" w:lastRow="0" w:noHBand="0" w:noVBand="1" w:val="04A0"/>
      </w:tblPr>
      <w:tblGrid>
        <w:gridCol w:w="2381"/>
        <w:gridCol w:w="4195"/>
        <w:gridCol w:w="1928"/>
      </w:tblGrid>
      <w:tr>
        <w:trPr>
          <w:tblHeader w:val="true"/>
        </w:trPr>
        <w:tc>
          <w:tcPr>
            <w:tcW w:type="dxa" w:w="238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附件/表单</w:t>
            </w:r>
          </w:p>
        </w:tc>
        <w:tc>
          <w:tcPr>
            <w:tcW w:type="dxa" w:w="419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用途</w:t>
            </w:r>
          </w:p>
        </w:tc>
        <w:tc>
          <w:tcPr>
            <w:tcW w:type="dxa" w:w="1928"/>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7"/>
              </w:rPr>
              <w:t>测试状态</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1 变量与终点字典</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统一变量、单位、时间点和操作性定义</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【待补充：正式内容】</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2 技术路线和研究流程</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核对对象、输入、处理、输出和停止条件</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【待补充：正式图表】</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附件 3 研究工具或实施材料</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放置量表、问卷、材料或访谈提纲</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【待补充：实际附件】</w:t>
            </w:r>
          </w:p>
        </w:tc>
      </w:tr>
      <w:tr>
        <w:tc>
          <w:tcPr>
            <w:tcW w:type="dxa" w:w="238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导师意见</w:t>
            </w:r>
          </w:p>
        </w:tc>
        <w:tc>
          <w:tcPr>
            <w:tcW w:type="dxa" w:w="419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保留官方意见正文、签字和日期空位</w:t>
            </w:r>
          </w:p>
        </w:tc>
        <w:tc>
          <w:tcPr>
            <w:tcW w:type="dxa" w:w="1928"/>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不得代填</w:t>
            </w:r>
          </w:p>
        </w:tc>
      </w:tr>
      <w:tr>
        <w:tc>
          <w:tcPr>
            <w:tcW w:type="dxa" w:w="238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专家评议与考核</w:t>
            </w:r>
          </w:p>
        </w:tc>
        <w:tc>
          <w:tcPr>
            <w:tcW w:type="dxa" w:w="419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保留评议、结论、签字和日期字段</w:t>
            </w:r>
          </w:p>
        </w:tc>
        <w:tc>
          <w:tcPr>
            <w:tcW w:type="dxa" w:w="1928"/>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7"/>
              </w:rPr>
              <w:t>不得代填</w:t>
            </w:r>
          </w:p>
        </w:tc>
      </w:tr>
    </w:tbl>
    <w:p>
      <w:pPr>
        <w:spacing w:after="40"/>
      </w:pPr>
    </w:p>
    <w:p>
      <w:pPr>
        <w:spacing w:line="300" w:lineRule="auto" w:after="100"/>
        <w:jc w:val="both"/>
      </w:pPr>
      <w:r>
        <w:rPr>
          <w:rFonts w:ascii="Times New Roman" w:hAnsi="Times New Roman" w:eastAsia="宋体"/>
          <w:b w:val="0"/>
          <w:i w:val="0"/>
          <w:color w:val="000000"/>
          <w:sz w:val="19"/>
        </w:rPr>
        <w:t>本文件只验证结构、篇幅和 DOCX 装配，全部 x、待补充项和引文待核验项必须在正式归档前由真实研究材料替换并通过 archive 模式检查。</w:t>
      </w:r>
    </w:p>
    <w:sectPr w:rsidR="00FC693F" w:rsidRPr="0006063C" w:rsidSect="00034616">
      <w:footerReference w:type="default" r:id="rId9"/>
      <w:head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i w:val="0"/>
        <w:color w:val="000000"/>
        <w:sz w:val="17"/>
      </w:rPr>
      <w:t>研究生学位论文开题报告 · 结构完整性测试模板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黑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研究生学位论文开题报告结构完整性测试模板</dc:title>
  <dc:subject>平行组随机对照研究</dc:subject>
  <dc:creator>结构测试</dc:creator>
  <cp:keywords/>
  <dc:description>generated by python-docx</dc:description>
  <cp:lastModifiedBy/>
  <cp:revision>1</cp:revision>
  <dcterms:created xsi:type="dcterms:W3CDTF">2013-12-23T23:15:00Z</dcterms:created>
  <dcterms:modified xsi:type="dcterms:W3CDTF">2013-12-23T23:15:00Z</dcterms:modified>
  <cp:category/>
</cp:coreProperties>
</file>