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观察性队列稿件同行评审报告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公开演示情景；审查对象为虚构稿件片段，不对应真实作者、机构或未公开研究</w:t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一、审查依据与范围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本报告审查一份用于演示的观察性队列稿件，材料包括摘要、方法、结果正文、表 1 和图 1。稿件描述家庭血压监测频率与 12 个月收缩压变化的关联，但未提供研究方案、注册记录、原始数据、分析代码或补充材料。报告依据稿件内可见信息核对研究问题、时间零点、样本流、变量定义、统计方法、结果与论断；STROBE 仅用于识别报告缺项，不作为研究质量评分。由于未取得原始数据和代码，本报告不能声称数字真实、分析已复现或数据中不存在错误。</w:t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二、总体评价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稿件的问题具有明确的公共卫生意义，暴露、主要结局和随访时长在摘要中可以识别，表 1 也报告了主要组间估计和 95% 置信区间。当前最重要的问题不是语言风格，而是方法中没有清楚定义时间零点和暴露判定窗口，缺失数据处理无法与样本流对应，摘要结论又把观察性关联写成家庭监测改善血压控制的因果效果。这些问题会影响偏倚判断和主要结论的可解释性；作者需要先补充报告、核对分析对象并降低论断强度，之后才能评价现有估计是否足以支持稿件主张。</w:t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三、主要意见</w:t>
      </w:r>
    </w:p>
    <w:p>
      <w:pPr>
        <w:keepNext/>
        <w:spacing w:before="100" w:after="6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M1　时间零点与暴露判定窗口未定义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类型为 reporting gap。位置为方法“研究对象与暴露”第一段。稿件写明按家庭测量频率分组，却未说明从哪一天开始累计测量、暴露窗口是否先于结局随访，也未说明在暴露窗口内发生药物调整或失访时如何处理。读者因此无法判断暴露与结局的时间顺序，也无法排除将必须存活并完成测量的时间错误归入暴露组。请给出统一时间零点、暴露判定窗口、纳入资格和随访起点，并用样本流说明每一步人数；若暴露随时间更新，应说明相应的时间变化分析。核验状态为需作者澄清。</w:t>
      </w:r>
    </w:p>
    <w:p>
      <w:pPr>
        <w:keepNext/>
        <w:spacing w:before="100" w:after="6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M2　缺失数据与模型样本量不能对应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类型为 inconsistency。位置为结果第二段和表 1。正文称主要模型纳入全部 842 名研究对象，表 1 的结局可用人数合计为 801 名，方法只写“缺失值予以排除”，未说明缺失发生在哪些变量、排除顺序或模型实际分母。该差异可能改变估计精度并影响缺失偏倚判断。请按原始、符合资格、暴露可判定、结局可用和主要模型分析集依次报告人数，同时说明各变量缺失量、完全病例或插补方法及其假设；若不同模型使用不同样本，应逐项报告分析人数。核验状态为稿件内已定位、未取得原始数据。</w:t>
      </w:r>
    </w:p>
    <w:p>
      <w:pPr>
        <w:keepNext/>
        <w:spacing w:before="100" w:after="6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M3　摘要结论超过观察性证据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类型为 interpretation。位置为摘要结论和讨论末段。稿件使用“家庭监测可改善血压控制并应推广”的确定性措辞，但设计为非随机观察性队列，现有材料没有说明足以识别因果效应的策略，也没有报告绝对差异、伤害、成本或实施可行性。请将主要结论改为家庭监测频率与收缩压变化之间的调整后关联，明确残余混杂和选择偏倚，并把推广建议限定为需要进一步因果评价的研究问题。若作者坚持因果主张，需要说明 estimand、识别假设、混杂控制依据和相应敏感性分析。核验状态为稿件内已核对。</w:t>
      </w:r>
    </w:p>
    <w:p>
      <w:r>
        <w:br w:type="page"/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四、次要意见</w:t>
      </w:r>
    </w:p>
    <w:p>
      <w:pPr>
        <w:pStyle w:val="ListNumber"/>
        <w:spacing w:line="288" w:lineRule="auto" w:after="60"/>
        <w:jc w:val="both"/>
      </w:pPr>
      <w:r>
        <w:rPr>
          <w:rFonts w:ascii="Times New Roman" w:hAnsi="Times New Roman" w:eastAsia="宋体"/>
          <w:b/>
          <w:i w:val="0"/>
          <w:color w:val="000000"/>
          <w:sz w:val="20"/>
        </w:rPr>
        <w:t>m1　表 1：</w:t>
      </w:r>
      <w:r>
        <w:rPr>
          <w:rFonts w:ascii="Times New Roman" w:hAnsi="Times New Roman" w:eastAsia="宋体"/>
          <w:b w:val="0"/>
          <w:i w:val="0"/>
          <w:color w:val="000000"/>
          <w:sz w:val="20"/>
        </w:rPr>
        <w:t>请在表题或表注中定义调整模型、参照组、分析人数和 95% 置信区间，保持所有单元格白底并使用三线表。</w:t>
      </w:r>
    </w:p>
    <w:p>
      <w:pPr>
        <w:pStyle w:val="ListNumber"/>
        <w:spacing w:line="288" w:lineRule="auto" w:after="60"/>
        <w:jc w:val="both"/>
      </w:pPr>
      <w:r>
        <w:rPr>
          <w:rFonts w:ascii="Times New Roman" w:hAnsi="Times New Roman" w:eastAsia="宋体"/>
          <w:b/>
          <w:i w:val="0"/>
          <w:color w:val="000000"/>
          <w:sz w:val="20"/>
        </w:rPr>
        <w:t>m2　统计符号：</w:t>
      </w:r>
      <w:r>
        <w:rPr>
          <w:rFonts w:ascii="Times New Roman" w:hAnsi="Times New Roman" w:eastAsia="宋体"/>
          <w:b w:val="0"/>
          <w:i w:val="0"/>
          <w:color w:val="000000"/>
          <w:sz w:val="20"/>
        </w:rPr>
        <w:t>英文与数字使用 Times New Roman；</w:t>
      </w:r>
      <w:r>
        <w:rPr>
          <w:rFonts w:ascii="Times New Roman" w:hAnsi="Times New Roman" w:eastAsia="宋体"/>
          <w:b/>
          <w:i/>
          <w:color w:val="000000"/>
          <w:sz w:val="20"/>
        </w:rPr>
        <w:t>P</w:t>
      </w:r>
      <w:r>
        <w:rPr>
          <w:rFonts w:ascii="Times New Roman" w:hAnsi="Times New Roman" w:eastAsia="宋体"/>
          <w:b w:val="0"/>
          <w:i w:val="0"/>
          <w:color w:val="000000"/>
          <w:sz w:val="20"/>
        </w:rPr>
        <w:t xml:space="preserve"> 使用粗斜体，其余拉丁统计符号如 </w:t>
      </w:r>
      <w:r>
        <w:rPr>
          <w:rFonts w:ascii="Times New Roman" w:hAnsi="Times New Roman" w:eastAsia="宋体"/>
          <w:b w:val="0"/>
          <w:i/>
          <w:color w:val="000000"/>
          <w:sz w:val="20"/>
        </w:rPr>
        <w:t>t</w:t>
      </w:r>
      <w:r>
        <w:rPr>
          <w:rFonts w:ascii="Times New Roman" w:hAnsi="Times New Roman" w:eastAsia="宋体"/>
          <w:b w:val="0"/>
          <w:i w:val="0"/>
          <w:color w:val="000000"/>
          <w:sz w:val="20"/>
        </w:rPr>
        <w:t>、</w:t>
      </w:r>
      <w:r>
        <w:rPr>
          <w:rFonts w:ascii="Times New Roman" w:hAnsi="Times New Roman" w:eastAsia="宋体"/>
          <w:b w:val="0"/>
          <w:i/>
          <w:color w:val="000000"/>
          <w:sz w:val="20"/>
        </w:rPr>
        <w:t>F</w:t>
      </w:r>
      <w:r>
        <w:rPr>
          <w:rFonts w:ascii="Times New Roman" w:hAnsi="Times New Roman" w:eastAsia="宋体"/>
          <w:b w:val="0"/>
          <w:i w:val="0"/>
          <w:color w:val="000000"/>
          <w:sz w:val="20"/>
        </w:rPr>
        <w:t>、</w:t>
      </w:r>
      <w:r>
        <w:rPr>
          <w:rFonts w:ascii="Times New Roman" w:hAnsi="Times New Roman" w:eastAsia="宋体"/>
          <w:b w:val="0"/>
          <w:i/>
          <w:color w:val="000000"/>
          <w:sz w:val="20"/>
        </w:rPr>
        <w:t>z</w:t>
      </w:r>
      <w:r>
        <w:rPr>
          <w:rFonts w:ascii="Times New Roman" w:hAnsi="Times New Roman" w:eastAsia="宋体"/>
          <w:b w:val="0"/>
          <w:i w:val="0"/>
          <w:color w:val="000000"/>
          <w:sz w:val="20"/>
        </w:rPr>
        <w:t xml:space="preserve"> 使用斜体，HR、CI 和数值保持正体。</w:t>
      </w:r>
    </w:p>
    <w:p>
      <w:pPr>
        <w:pStyle w:val="ListNumber"/>
        <w:spacing w:line="288" w:lineRule="auto" w:after="60"/>
        <w:jc w:val="both"/>
      </w:pPr>
      <w:r>
        <w:rPr>
          <w:rFonts w:ascii="Times New Roman" w:hAnsi="Times New Roman" w:eastAsia="宋体"/>
          <w:b/>
          <w:i w:val="0"/>
          <w:color w:val="000000"/>
          <w:sz w:val="20"/>
        </w:rPr>
        <w:t>m3　图 1：</w:t>
      </w:r>
      <w:r>
        <w:rPr>
          <w:rFonts w:ascii="Times New Roman" w:hAnsi="Times New Roman" w:eastAsia="宋体"/>
          <w:b w:val="0"/>
          <w:i w:val="0"/>
          <w:color w:val="000000"/>
          <w:sz w:val="20"/>
        </w:rPr>
        <w:t>图内只保留坐标、单位、图例和必要数值，不重复摘要结论或添加教材式解释；完整方法和限制放入正文或图注。</w:t>
      </w: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五、覆盖矩阵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438"/>
        <w:gridCol w:w="1757"/>
        <w:gridCol w:w="3005"/>
      </w:tblGrid>
      <w:tr>
        <w:tc>
          <w:tcPr>
            <w:tcW w:type="dxa" w:w="2211"/>
            <w:tcBorders>
              <w:top w:val="single" w:sz="8" w:space="0" w:color="000000"/>
              <w:left w:val="nil" w:sz="0" w:space="0" w:color="000000"/>
              <w:bottom w:val="single" w:sz="6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7"/>
              </w:rPr>
              <w:t>维度</w:t>
            </w:r>
          </w:p>
        </w:tc>
        <w:tc>
          <w:tcPr>
            <w:tcW w:type="dxa" w:w="2438"/>
            <w:tcBorders>
              <w:top w:val="single" w:sz="8" w:space="0" w:color="000000"/>
              <w:left w:val="nil" w:sz="0" w:space="0" w:color="000000"/>
              <w:bottom w:val="single" w:sz="6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7"/>
              </w:rPr>
              <w:t>当前判断</w:t>
            </w:r>
          </w:p>
        </w:tc>
        <w:tc>
          <w:tcPr>
            <w:tcW w:type="dxa" w:w="1757"/>
            <w:tcBorders>
              <w:top w:val="single" w:sz="8" w:space="0" w:color="000000"/>
              <w:left w:val="nil" w:sz="0" w:space="0" w:color="000000"/>
              <w:bottom w:val="single" w:sz="6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7"/>
              </w:rPr>
              <w:t>问题编号</w:t>
            </w:r>
          </w:p>
        </w:tc>
        <w:tc>
          <w:tcPr>
            <w:tcW w:type="dxa" w:w="3005"/>
            <w:tcBorders>
              <w:top w:val="single" w:sz="8" w:space="0" w:color="000000"/>
              <w:left w:val="nil" w:sz="0" w:space="0" w:color="000000"/>
              <w:bottom w:val="single" w:sz="6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7"/>
              </w:rPr>
              <w:t>未核验边界</w:t>
            </w:r>
          </w:p>
        </w:tc>
      </w:tr>
      <w:tr>
        <w:tc>
          <w:tcPr>
            <w:tcW w:type="dxa" w:w="221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研究问题与贡献</w:t>
            </w:r>
          </w:p>
        </w:tc>
        <w:tc>
          <w:tcPr>
            <w:tcW w:type="dxa" w:w="2438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问题可识别</w:t>
            </w:r>
          </w:p>
        </w:tc>
        <w:tc>
          <w:tcPr>
            <w:tcW w:type="dxa" w:w="1757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M3</w:t>
            </w:r>
          </w:p>
        </w:tc>
        <w:tc>
          <w:tcPr>
            <w:tcW w:type="dxa" w:w="3005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未核验外部创新性</w:t>
            </w:r>
          </w:p>
        </w:tc>
      </w:tr>
      <w:tr>
        <w:tc>
          <w:tcPr>
            <w:tcW w:type="dxa" w:w="221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数据与稿内一致性</w:t>
            </w:r>
          </w:p>
        </w:tc>
        <w:tc>
          <w:tcPr>
            <w:tcW w:type="dxa" w:w="2438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存在分母冲突</w:t>
            </w:r>
          </w:p>
        </w:tc>
        <w:tc>
          <w:tcPr>
            <w:tcW w:type="dxa" w:w="1757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M2</w:t>
            </w:r>
          </w:p>
        </w:tc>
        <w:tc>
          <w:tcPr>
            <w:tcW w:type="dxa" w:w="3005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无原始数据</w:t>
            </w:r>
          </w:p>
        </w:tc>
      </w:tr>
      <w:tr>
        <w:tc>
          <w:tcPr>
            <w:tcW w:type="dxa" w:w="221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研究设计与偏倚</w:t>
            </w:r>
          </w:p>
        </w:tc>
        <w:tc>
          <w:tcPr>
            <w:tcW w:type="dxa" w:w="2438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时间顺序不清</w:t>
            </w:r>
          </w:p>
        </w:tc>
        <w:tc>
          <w:tcPr>
            <w:tcW w:type="dxa" w:w="1757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M1</w:t>
            </w:r>
          </w:p>
        </w:tc>
        <w:tc>
          <w:tcPr>
            <w:tcW w:type="dxa" w:w="3005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无方案与注册</w:t>
            </w:r>
          </w:p>
        </w:tc>
      </w:tr>
      <w:tr>
        <w:tc>
          <w:tcPr>
            <w:tcW w:type="dxa" w:w="221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统计方法与不确定性</w:t>
            </w:r>
          </w:p>
        </w:tc>
        <w:tc>
          <w:tcPr>
            <w:tcW w:type="dxa" w:w="2438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目前无法完整判断</w:t>
            </w:r>
          </w:p>
        </w:tc>
        <w:tc>
          <w:tcPr>
            <w:tcW w:type="dxa" w:w="1757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M1、M2</w:t>
            </w:r>
          </w:p>
        </w:tc>
        <w:tc>
          <w:tcPr>
            <w:tcW w:type="dxa" w:w="3005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无代码与诊断</w:t>
            </w:r>
          </w:p>
        </w:tc>
      </w:tr>
      <w:tr>
        <w:tc>
          <w:tcPr>
            <w:tcW w:type="dxa" w:w="2211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结果、讨论与结论</w:t>
            </w:r>
          </w:p>
        </w:tc>
        <w:tc>
          <w:tcPr>
            <w:tcW w:type="dxa" w:w="2438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论断强度过高</w:t>
            </w:r>
          </w:p>
        </w:tc>
        <w:tc>
          <w:tcPr>
            <w:tcW w:type="dxa" w:w="1757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M3</w:t>
            </w:r>
          </w:p>
        </w:tc>
        <w:tc>
          <w:tcPr>
            <w:tcW w:type="dxa" w:w="3005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未复算结果</w:t>
            </w:r>
          </w:p>
        </w:tc>
      </w:tr>
      <w:tr>
        <w:tc>
          <w:tcPr>
            <w:tcW w:type="dxa" w:w="2211"/>
            <w:tcBorders>
              <w:top w:val="nil" w:sz="0" w:space="0" w:color="000000"/>
              <w:left w:val="nil" w:sz="0" w:space="0" w:color="000000"/>
              <w:bottom w:val="single" w:sz="8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语言、结构与表图</w:t>
            </w:r>
          </w:p>
        </w:tc>
        <w:tc>
          <w:tcPr>
            <w:tcW w:type="dxa" w:w="2438"/>
            <w:tcBorders>
              <w:top w:val="nil" w:sz="0" w:space="0" w:color="000000"/>
              <w:left w:val="nil" w:sz="0" w:space="0" w:color="000000"/>
              <w:bottom w:val="single" w:sz="8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需局部规范化</w:t>
            </w:r>
          </w:p>
        </w:tc>
        <w:tc>
          <w:tcPr>
            <w:tcW w:type="dxa" w:w="1757"/>
            <w:tcBorders>
              <w:top w:val="nil" w:sz="0" w:space="0" w:color="000000"/>
              <w:left w:val="nil" w:sz="0" w:space="0" w:color="000000"/>
              <w:bottom w:val="single" w:sz="8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m1～m3</w:t>
            </w:r>
          </w:p>
        </w:tc>
        <w:tc>
          <w:tcPr>
            <w:tcW w:type="dxa" w:w="3005"/>
            <w:tcBorders>
              <w:top w:val="nil" w:sz="0" w:space="0" w:color="000000"/>
              <w:left w:val="nil" w:sz="0" w:space="0" w:color="000000"/>
              <w:bottom w:val="single" w:sz="8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仅审所给材料</w:t>
            </w:r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六、未核验事项</w:t>
      </w:r>
    </w:p>
    <w:p>
      <w:pPr>
        <w:spacing w:line="300" w:lineRule="auto" w:after="10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报告未核验作者身份、研究机构、伦理批准、原始数据、分析代码、参考文献真实性、期刊最新表单或稿件外的研究实施过程。报告没有给出录用、修改或拒稿建议，因为演示情景未提供目标期刊的决定类别和评价标准。若后续取得方案、数据或代码，应分别核对预设终点、样本流、主要模型、缺失处理和表图数字；只有实际运行授权代码后，才可把相应项目标记为已复算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