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after="160"/>
        <w:jc w:val="center"/>
      </w:pPr>
      <w:r>
        <w:rPr>
          <w:rFonts w:ascii="Times New Roman" w:hAnsi="Times New Roman" w:eastAsia="黑体"/>
          <w:b/>
          <w:i w:val="0"/>
          <w:color w:val="000000"/>
          <w:sz w:val="32"/>
        </w:rPr>
        <w:t>科研内容图空泛问题交接报告</w:t>
      </w:r>
    </w:p>
    <w:p>
      <w:pPr>
        <w:spacing w:after="160"/>
        <w:jc w:val="center"/>
      </w:pPr>
      <w:r>
        <w:rPr>
          <w:rFonts w:ascii="Times New Roman" w:hAnsi="Times New Roman" w:eastAsia="宋体"/>
          <w:b w:val="0"/>
          <w:i w:val="0"/>
          <w:color w:val="000000"/>
          <w:sz w:val="18"/>
        </w:rPr>
        <w:t>workflow.txt 的 Word 展示副本；正式交接内容以同目录 UTF-8 文本为准</w:t>
      </w:r>
    </w:p>
    <w:p>
      <w:pPr>
        <w:keepNext/>
        <w:spacing w:before="160" w:after="60"/>
      </w:pPr>
      <w:r>
        <w:rPr>
          <w:rFonts w:ascii="Times New Roman" w:hAnsi="Times New Roman" w:eastAsia="黑体"/>
          <w:b/>
          <w:i w:val="0"/>
          <w:color w:val="000000"/>
          <w:sz w:val="24"/>
        </w:rPr>
        <w:t>一、结论摘要</w:t>
      </w:r>
    </w:p>
    <w:p>
      <w:pPr>
        <w:spacing w:line="300" w:lineRule="auto" w:after="100"/>
        <w:ind w:firstLine="420"/>
        <w:jc w:val="both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本次问题的共同原因是 README 正文内容图在制作阶段被误当作氛围插图。提示词先描述画风、设备和场景，没有先锁定需要呈现的研究对象、字段、关系与流程状态；第一轮验收又只检查整体观感，没有执行内容删除测试和逐字逐边核对。结果是图片可以充当网页背景，却不能说明 evidence-research 等 skill 的真实输入、判断过程和输出。</w:t>
      </w:r>
    </w:p>
    <w:p>
      <w:pPr>
        <w:keepNext/>
        <w:spacing w:before="160" w:after="60"/>
      </w:pPr>
      <w:r>
        <w:rPr>
          <w:rFonts w:ascii="Times New Roman" w:hAnsi="Times New Roman" w:eastAsia="黑体"/>
          <w:b/>
          <w:i w:val="0"/>
          <w:color w:val="000000"/>
          <w:sz w:val="24"/>
        </w:rPr>
        <w:t>二、证据边界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57"/>
        <w:gridCol w:w="4479"/>
        <w:gridCol w:w="3175"/>
      </w:tblGrid>
      <w:tr>
        <w:tc>
          <w:tcPr>
            <w:tcW w:type="dxa" w:w="1757"/>
            <w:tcBorders>
              <w:top w:val="single" w:sz="8" w:space="0" w:color="000000"/>
              <w:left w:val="nil" w:sz="0" w:space="0" w:color="000000"/>
              <w:bottom w:val="single" w:sz="6" w:space="0" w:color="000000"/>
              <w:right w:val="nil" w:sz="0" w:space="0" w:color="000000"/>
              <w:insideH w:val="nil" w:sz="0" w:space="0" w:color="000000"/>
              <w:insideV w:val="nil" w:sz="0" w:space="0" w:color="000000"/>
            </w:tcBorders>
            <w:vAlign w:val="center"/>
          </w:tcPr>
          <w:p>
            <w:pPr>
              <w:spacing w:after="0" w:line="252" w:lineRule="auto"/>
              <w:jc w:val="left"/>
            </w:pPr>
            <w:r/>
            <w:r>
              <w:rPr>
                <w:rFonts w:ascii="Times New Roman" w:hAnsi="Times New Roman" w:eastAsia="宋体"/>
                <w:b/>
                <w:i w:val="0"/>
                <w:color w:val="000000"/>
                <w:sz w:val="16"/>
              </w:rPr>
              <w:t>证据类型</w:t>
            </w:r>
          </w:p>
        </w:tc>
        <w:tc>
          <w:tcPr>
            <w:tcW w:type="dxa" w:w="4479"/>
            <w:tcBorders>
              <w:top w:val="single" w:sz="8" w:space="0" w:color="000000"/>
              <w:left w:val="nil" w:sz="0" w:space="0" w:color="000000"/>
              <w:bottom w:val="single" w:sz="6" w:space="0" w:color="000000"/>
              <w:right w:val="nil" w:sz="0" w:space="0" w:color="000000"/>
              <w:insideH w:val="nil" w:sz="0" w:space="0" w:color="000000"/>
              <w:insideV w:val="nil" w:sz="0" w:space="0" w:color="000000"/>
            </w:tcBorders>
            <w:vAlign w:val="center"/>
          </w:tcPr>
          <w:p>
            <w:pPr>
              <w:spacing w:after="0" w:line="252" w:lineRule="auto"/>
              <w:jc w:val="left"/>
            </w:pPr>
            <w:r/>
            <w:r>
              <w:rPr>
                <w:rFonts w:ascii="Times New Roman" w:hAnsi="Times New Roman" w:eastAsia="宋体"/>
                <w:b/>
                <w:i w:val="0"/>
                <w:color w:val="000000"/>
                <w:sz w:val="16"/>
              </w:rPr>
              <w:t>内容</w:t>
            </w:r>
          </w:p>
        </w:tc>
        <w:tc>
          <w:tcPr>
            <w:tcW w:type="dxa" w:w="3175"/>
            <w:tcBorders>
              <w:top w:val="single" w:sz="8" w:space="0" w:color="000000"/>
              <w:left w:val="nil" w:sz="0" w:space="0" w:color="000000"/>
              <w:bottom w:val="single" w:sz="6" w:space="0" w:color="000000"/>
              <w:right w:val="nil" w:sz="0" w:space="0" w:color="000000"/>
              <w:insideH w:val="nil" w:sz="0" w:space="0" w:color="000000"/>
              <w:insideV w:val="nil" w:sz="0" w:space="0" w:color="000000"/>
            </w:tcBorders>
            <w:vAlign w:val="center"/>
          </w:tcPr>
          <w:p>
            <w:pPr>
              <w:spacing w:after="0" w:line="252" w:lineRule="auto"/>
              <w:jc w:val="left"/>
            </w:pPr>
            <w:r/>
            <w:r>
              <w:rPr>
                <w:rFonts w:ascii="Times New Roman" w:hAnsi="Times New Roman" w:eastAsia="宋体"/>
                <w:b/>
                <w:i w:val="0"/>
                <w:color w:val="000000"/>
                <w:sz w:val="16"/>
              </w:rPr>
              <w:t>位置或限制</w:t>
            </w:r>
          </w:p>
        </w:tc>
      </w:tr>
      <w:tr>
        <w:tc>
          <w:tcPr>
            <w:tcW w:type="dxa" w:w="1757"/>
            <w:tcBorders>
              <w:top w:val="nil" w:sz="0" w:space="0" w:color="000000"/>
              <w:left w:val="nil" w:sz="0" w:space="0" w:color="000000"/>
              <w:bottom w:val="nil" w:sz="0" w:space="0" w:color="000000"/>
              <w:right w:val="nil" w:sz="0" w:space="0" w:color="000000"/>
              <w:insideH w:val="nil" w:sz="0" w:space="0" w:color="000000"/>
              <w:insideV w:val="nil" w:sz="0" w:space="0" w:color="000000"/>
            </w:tcBorders>
            <w:vAlign w:val="center"/>
          </w:tcPr>
          <w:p>
            <w:pPr>
              <w:spacing w:after="0" w:line="252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6"/>
              </w:rPr>
              <w:t>用户确认</w:t>
            </w:r>
          </w:p>
        </w:tc>
        <w:tc>
          <w:tcPr>
            <w:tcW w:type="dxa" w:w="4479"/>
            <w:tcBorders>
              <w:top w:val="nil" w:sz="0" w:space="0" w:color="000000"/>
              <w:left w:val="nil" w:sz="0" w:space="0" w:color="000000"/>
              <w:bottom w:val="nil" w:sz="0" w:space="0" w:color="000000"/>
              <w:right w:val="nil" w:sz="0" w:space="0" w:color="000000"/>
              <w:insideH w:val="nil" w:sz="0" w:space="0" w:color="000000"/>
              <w:insideV w:val="nil" w:sz="0" w:space="0" w:color="000000"/>
            </w:tcBorders>
            <w:vAlign w:val="center"/>
          </w:tcPr>
          <w:p>
            <w:pPr>
              <w:spacing w:after="0" w:line="252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6"/>
              </w:rPr>
              <w:t>除网页装饰或明确特殊场景外，不接受空泛概念插图</w:t>
            </w:r>
          </w:p>
        </w:tc>
        <w:tc>
          <w:tcPr>
            <w:tcW w:type="dxa" w:w="3175"/>
            <w:tcBorders>
              <w:top w:val="nil" w:sz="0" w:space="0" w:color="000000"/>
              <w:left w:val="nil" w:sz="0" w:space="0" w:color="000000"/>
              <w:bottom w:val="nil" w:sz="0" w:space="0" w:color="000000"/>
              <w:right w:val="nil" w:sz="0" w:space="0" w:color="000000"/>
              <w:insideH w:val="nil" w:sz="0" w:space="0" w:color="000000"/>
              <w:insideV w:val="nil" w:sz="0" w:space="0" w:color="000000"/>
            </w:tcBorders>
            <w:vAlign w:val="center"/>
          </w:tcPr>
          <w:p>
            <w:pPr>
              <w:spacing w:after="0" w:line="252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6"/>
              </w:rPr>
              <w:t>当前会话纠正</w:t>
            </w:r>
          </w:p>
        </w:tc>
      </w:tr>
      <w:tr>
        <w:tc>
          <w:tcPr>
            <w:tcW w:type="dxa" w:w="1757"/>
            <w:tcBorders>
              <w:top w:val="nil" w:sz="0" w:space="0" w:color="000000"/>
              <w:left w:val="nil" w:sz="0" w:space="0" w:color="000000"/>
              <w:bottom w:val="nil" w:sz="0" w:space="0" w:color="000000"/>
              <w:right w:val="nil" w:sz="0" w:space="0" w:color="000000"/>
              <w:insideH w:val="nil" w:sz="0" w:space="0" w:color="000000"/>
              <w:insideV w:val="nil" w:sz="0" w:space="0" w:color="000000"/>
            </w:tcBorders>
            <w:vAlign w:val="center"/>
          </w:tcPr>
          <w:p>
            <w:pPr>
              <w:spacing w:after="0" w:line="252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6"/>
              </w:rPr>
              <w:t>直接观察</w:t>
            </w:r>
          </w:p>
        </w:tc>
        <w:tc>
          <w:tcPr>
            <w:tcW w:type="dxa" w:w="4479"/>
            <w:tcBorders>
              <w:top w:val="nil" w:sz="0" w:space="0" w:color="000000"/>
              <w:left w:val="nil" w:sz="0" w:space="0" w:color="000000"/>
              <w:bottom w:val="nil" w:sz="0" w:space="0" w:color="000000"/>
              <w:right w:val="nil" w:sz="0" w:space="0" w:color="000000"/>
              <w:insideH w:val="nil" w:sz="0" w:space="0" w:color="000000"/>
              <w:insideV w:val="nil" w:sz="0" w:space="0" w:color="000000"/>
            </w:tcBorders>
            <w:vAlign w:val="center"/>
          </w:tcPr>
          <w:p>
            <w:pPr>
              <w:spacing w:after="0" w:line="252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6"/>
              </w:rPr>
              <w:t>修订图包含研究问题、来源、证据矩阵和决策状态</w:t>
            </w:r>
          </w:p>
        </w:tc>
        <w:tc>
          <w:tcPr>
            <w:tcW w:type="dxa" w:w="3175"/>
            <w:tcBorders>
              <w:top w:val="nil" w:sz="0" w:space="0" w:color="000000"/>
              <w:left w:val="nil" w:sz="0" w:space="0" w:color="000000"/>
              <w:bottom w:val="nil" w:sz="0" w:space="0" w:color="000000"/>
              <w:right w:val="nil" w:sz="0" w:space="0" w:color="000000"/>
              <w:insideH w:val="nil" w:sz="0" w:space="0" w:color="000000"/>
              <w:insideV w:val="nil" w:sz="0" w:space="0" w:color="000000"/>
            </w:tcBorders>
            <w:vAlign w:val="center"/>
          </w:tcPr>
          <w:p>
            <w:pPr>
              <w:spacing w:after="0" w:line="252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6"/>
              </w:rPr>
              <w:t>docs/showcase/illustrations/evidence-research.png</w:t>
            </w:r>
          </w:p>
        </w:tc>
      </w:tr>
      <w:tr>
        <w:tc>
          <w:tcPr>
            <w:tcW w:type="dxa" w:w="1757"/>
            <w:tcBorders>
              <w:top w:val="nil" w:sz="0" w:space="0" w:color="000000"/>
              <w:left w:val="nil" w:sz="0" w:space="0" w:color="000000"/>
              <w:bottom w:val="nil" w:sz="0" w:space="0" w:color="000000"/>
              <w:right w:val="nil" w:sz="0" w:space="0" w:color="000000"/>
              <w:insideH w:val="nil" w:sz="0" w:space="0" w:color="000000"/>
              <w:insideV w:val="nil" w:sz="0" w:space="0" w:color="000000"/>
            </w:tcBorders>
            <w:vAlign w:val="center"/>
          </w:tcPr>
          <w:p>
            <w:pPr>
              <w:spacing w:after="0" w:line="252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6"/>
              </w:rPr>
              <w:t>可复核推断</w:t>
            </w:r>
          </w:p>
        </w:tc>
        <w:tc>
          <w:tcPr>
            <w:tcW w:type="dxa" w:w="4479"/>
            <w:tcBorders>
              <w:top w:val="nil" w:sz="0" w:space="0" w:color="000000"/>
              <w:left w:val="nil" w:sz="0" w:space="0" w:color="000000"/>
              <w:bottom w:val="nil" w:sz="0" w:space="0" w:color="000000"/>
              <w:right w:val="nil" w:sz="0" w:space="0" w:color="000000"/>
              <w:insideH w:val="nil" w:sz="0" w:space="0" w:color="000000"/>
              <w:insideV w:val="nil" w:sz="0" w:space="0" w:color="000000"/>
            </w:tcBorders>
            <w:vAlign w:val="center"/>
          </w:tcPr>
          <w:p>
            <w:pPr>
              <w:spacing w:after="0" w:line="252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6"/>
              </w:rPr>
              <w:t>最早失效位于图片类型判定与内容规划</w:t>
            </w:r>
          </w:p>
        </w:tc>
        <w:tc>
          <w:tcPr>
            <w:tcW w:type="dxa" w:w="3175"/>
            <w:tcBorders>
              <w:top w:val="nil" w:sz="0" w:space="0" w:color="000000"/>
              <w:left w:val="nil" w:sz="0" w:space="0" w:color="000000"/>
              <w:bottom w:val="nil" w:sz="0" w:space="0" w:color="000000"/>
              <w:right w:val="nil" w:sz="0" w:space="0" w:color="000000"/>
              <w:insideH w:val="nil" w:sz="0" w:space="0" w:color="000000"/>
              <w:insideV w:val="nil" w:sz="0" w:space="0" w:color="000000"/>
            </w:tcBorders>
            <w:vAlign w:val="center"/>
          </w:tcPr>
          <w:p>
            <w:pPr>
              <w:spacing w:after="0" w:line="252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6"/>
              </w:rPr>
              <w:t>由当前图和规则对照得出</w:t>
            </w:r>
          </w:p>
        </w:tc>
      </w:tr>
      <w:tr>
        <w:tc>
          <w:tcPr>
            <w:tcW w:type="dxa" w:w="1757"/>
            <w:tcBorders>
              <w:top w:val="nil" w:sz="0" w:space="0" w:color="000000"/>
              <w:left w:val="nil" w:sz="0" w:space="0" w:color="000000"/>
              <w:bottom w:val="single" w:sz="8" w:space="0" w:color="000000"/>
              <w:right w:val="nil" w:sz="0" w:space="0" w:color="000000"/>
              <w:insideH w:val="nil" w:sz="0" w:space="0" w:color="000000"/>
              <w:insideV w:val="nil" w:sz="0" w:space="0" w:color="000000"/>
            </w:tcBorders>
            <w:vAlign w:val="center"/>
          </w:tcPr>
          <w:p>
            <w:pPr>
              <w:spacing w:after="0" w:line="252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6"/>
              </w:rPr>
              <w:t>待核验</w:t>
            </w:r>
          </w:p>
        </w:tc>
        <w:tc>
          <w:tcPr>
            <w:tcW w:type="dxa" w:w="4479"/>
            <w:tcBorders>
              <w:top w:val="nil" w:sz="0" w:space="0" w:color="000000"/>
              <w:left w:val="nil" w:sz="0" w:space="0" w:color="000000"/>
              <w:bottom w:val="single" w:sz="8" w:space="0" w:color="000000"/>
              <w:right w:val="nil" w:sz="0" w:space="0" w:color="000000"/>
              <w:insideH w:val="nil" w:sz="0" w:space="0" w:color="000000"/>
              <w:insideV w:val="nil" w:sz="0" w:space="0" w:color="000000"/>
            </w:tcBorders>
            <w:vAlign w:val="center"/>
          </w:tcPr>
          <w:p>
            <w:pPr>
              <w:spacing w:after="0" w:line="252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6"/>
              </w:rPr>
              <w:t>初始空泛候选未作为正式仓库成果保留</w:t>
            </w:r>
          </w:p>
        </w:tc>
        <w:tc>
          <w:tcPr>
            <w:tcW w:type="dxa" w:w="3175"/>
            <w:tcBorders>
              <w:top w:val="nil" w:sz="0" w:space="0" w:color="000000"/>
              <w:left w:val="nil" w:sz="0" w:space="0" w:color="000000"/>
              <w:bottom w:val="single" w:sz="8" w:space="0" w:color="000000"/>
              <w:right w:val="nil" w:sz="0" w:space="0" w:color="000000"/>
              <w:insideH w:val="nil" w:sz="0" w:space="0" w:color="000000"/>
              <w:insideV w:val="nil" w:sz="0" w:space="0" w:color="000000"/>
            </w:tcBorders>
            <w:vAlign w:val="center"/>
          </w:tcPr>
          <w:p>
            <w:pPr>
              <w:spacing w:after="0" w:line="252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6"/>
              </w:rPr>
              <w:t>不能进行像素级前后比较</w:t>
            </w:r>
          </w:p>
        </w:tc>
      </w:tr>
    </w:tbl>
    <w:p>
      <w:pPr>
        <w:spacing w:after="40"/>
      </w:pPr>
    </w:p>
    <w:p>
      <w:pPr>
        <w:keepNext/>
        <w:spacing w:before="160" w:after="60"/>
      </w:pPr>
      <w:r>
        <w:rPr>
          <w:rFonts w:ascii="Times New Roman" w:hAnsi="Times New Roman" w:eastAsia="黑体"/>
          <w:b/>
          <w:i w:val="0"/>
          <w:color w:val="000000"/>
          <w:sz w:val="24"/>
        </w:rPr>
        <w:t>三、问题 WF-001</w:t>
      </w:r>
    </w:p>
    <w:p>
      <w:pPr>
        <w:spacing w:line="300" w:lineRule="auto" w:after="100"/>
        <w:ind w:firstLine="420"/>
        <w:jc w:val="both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涉及的工作项为 evidence-research、consulting-delivery、epiagentkit-maintenance 和 academic-humanizer 的 README image2 展示图，问题发生在图前规划与第一轮验收。正确结果是内容图直接显示具体对象、字段、关系、流程状态或真实截图依据，脱离相邻说明仍能识别图中任务。初始表现则以抽象卡片、设备和背景氛围表达 evidence-research，缺少研究问题、来源身份、偏倚、适用性和决策关系。</w:t>
      </w:r>
    </w:p>
    <w:p>
      <w:pPr>
        <w:spacing w:line="300" w:lineRule="auto" w:after="100"/>
        <w:ind w:firstLine="420"/>
        <w:jc w:val="both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最早失效环节是把 README skill 示例误判为氛围图，导致提示词先锁定审美方向而未先列出最小充分内容。现有流程没有阻止问题，是因为验收没有逐项比较用户要求、图中对象、文字和箭头，也没有把“是否能说明真实任务”作为完成条件。该问题使展示图无法帮助读者理解 skill 的输入、判断和交付结果，README 视觉效果与实际能力发生脱节。共同原因的置信度高，但初始候选未入仓，因此无法做像素级比较。</w:t>
      </w:r>
    </w:p>
    <w:p>
      <w:r>
        <w:br w:type="page"/>
      </w:r>
    </w:p>
    <w:p>
      <w:pPr>
        <w:keepNext/>
        <w:spacing w:before="160" w:after="60"/>
      </w:pPr>
      <w:r>
        <w:rPr>
          <w:rFonts w:ascii="Times New Roman" w:hAnsi="Times New Roman" w:eastAsia="黑体"/>
          <w:b/>
          <w:i w:val="0"/>
          <w:color w:val="000000"/>
          <w:sz w:val="24"/>
        </w:rPr>
        <w:t>四、候选调整</w:t>
      </w:r>
    </w:p>
    <w:p>
      <w:pPr>
        <w:spacing w:line="300" w:lineRule="auto" w:after="100"/>
        <w:ind w:firstLine="420"/>
        <w:jc w:val="both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候选目标行为是让正文内容图先建立最小充分内容清单，再设计视觉系统。research-visuals 应在生成前列出对象、字段、关系和逐字文字，imagegen 返回后逐项核对；修改 skill 时另按维护流程生成两份内容要求不同且分别合格的可打开成果，并用 review/INDEX.md 说明验收重点。真实统计图继续转 publication-figures，真实界面使用截图，科研原始图像不得生成式重绘。</w:t>
      </w:r>
    </w:p>
    <w:p>
      <w:pPr>
        <w:keepNext/>
        <w:spacing w:before="160" w:after="60"/>
      </w:pPr>
      <w:r>
        <w:rPr>
          <w:rFonts w:ascii="Times New Roman" w:hAnsi="Times New Roman" w:eastAsia="黑体"/>
          <w:b/>
          <w:i w:val="0"/>
          <w:color w:val="000000"/>
          <w:sz w:val="24"/>
        </w:rPr>
        <w:t>五、必须保留与合法例外</w:t>
      </w:r>
    </w:p>
    <w:p>
      <w:pPr>
        <w:spacing w:line="300" w:lineRule="auto" w:after="100"/>
        <w:ind w:firstLine="420"/>
        <w:jc w:val="both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封面、网页装饰和用户明确选择的特殊氛围场景仍可使用无字或少字插图，本次调整不能被扩大为所有图片都要密集排版。海军蓝、青绿和白色只属于 README 当前视觉系统，不能要求医学机制图、机器学习架构图和学术汇报都使用同一配色或横向四栏构图。完成维护时应以旧的网页 hero 场景继续通过、新的证据核验内容图能够显示研究问题、来源、证据矩阵和决策状态作为一组新旧回归用例。</w:t>
      </w:r>
    </w:p>
    <w:p>
      <w:pPr>
        <w:keepNext/>
        <w:spacing w:before="160" w:after="60"/>
      </w:pPr>
      <w:r>
        <w:rPr>
          <w:rFonts w:ascii="Times New Roman" w:hAnsi="Times New Roman" w:eastAsia="黑体"/>
          <w:b/>
          <w:i w:val="0"/>
          <w:color w:val="000000"/>
          <w:sz w:val="24"/>
        </w:rPr>
        <w:t>六、尚缺证据</w:t>
      </w:r>
    </w:p>
    <w:p>
      <w:pPr>
        <w:spacing w:line="300" w:lineRule="auto" w:after="100"/>
        <w:ind w:firstLine="420"/>
        <w:jc w:val="both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当前缺少初始空泛候选的仓库内文件，也缺少第三方使用者在窄屏和不同 README 渲染器中的可读性反馈。后续维护者应在完整仓库中核对全局规则、research-visuals 核心流程、scenario-playbook.md、prompt-recipes.md、README 调用位置和相应测试，再决定最终修改位置；本交接报告只提供现场证据和候选机制，不预先指定必须修改或不得修改某个组件。</w:t>
      </w:r>
    </w:p>
    <w:sectPr w:rsidR="00FC693F" w:rsidRPr="0006063C" w:rsidSect="00034616">
      <w:footerReference w:type="default" r:id="rId9"/>
      <w:pgSz w:w="11906" w:h="16838"/>
      <w:pgMar w:top="1134" w:right="1247" w:bottom="1020" w:left="1247" w:header="454" w:footer="45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宋体"/>
        <w:b w:val="0"/>
        <w:i w:val="0"/>
        <w:color w:val="000000"/>
        <w:sz w:val="18"/>
      </w:rP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