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黑体"/>
          <w:b/>
          <w:sz w:val="32"/>
        </w:rPr>
        <w:t>固定模拟队列中强化治疗方案与无事件生存的关联</w:t>
      </w:r>
    </w:p>
    <w:p>
      <w:pPr>
        <w:spacing w:line="288" w:lineRule="auto" w:after="60"/>
        <w:jc w:val="both"/>
      </w:pPr>
      <w:r>
        <w:rPr>
          <w:rFonts w:ascii="Times New Roman" w:hAnsi="Times New Roman" w:eastAsia="宋体"/>
          <w:b/>
          <w:sz w:val="21"/>
        </w:rPr>
        <w:t xml:space="preserve">摘要　</w:t>
      </w:r>
      <w:r>
        <w:rPr>
          <w:rFonts w:ascii="Times New Roman" w:hAnsi="Times New Roman" w:eastAsia="宋体"/>
          <w:b/>
          <w:sz w:val="21"/>
        </w:rPr>
        <w:t>目的：</w:t>
      </w:r>
      <w:r>
        <w:rPr>
          <w:rFonts w:ascii="Times New Roman" w:hAnsi="Times New Roman" w:eastAsia="宋体"/>
          <w:b w:val="0"/>
          <w:sz w:val="21"/>
        </w:rPr>
        <w:t>评估固定模拟队列中强化治疗方案与无事件生存的关联。</w:t>
      </w:r>
      <w:r>
        <w:rPr>
          <w:rFonts w:ascii="Times New Roman" w:hAnsi="Times New Roman" w:eastAsia="宋体"/>
          <w:b/>
          <w:sz w:val="21"/>
        </w:rPr>
        <w:t>方法：</w:t>
      </w:r>
      <w:r>
        <w:rPr>
          <w:rFonts w:ascii="Times New Roman" w:hAnsi="Times New Roman" w:eastAsia="宋体"/>
          <w:b w:val="0"/>
          <w:sz w:val="21"/>
        </w:rPr>
        <w:t>生成 1,200 名研究对象的模拟随访数据，随访上限为 36 个月。采用 Cox 比例风险模型评估治疗方案与无事件生存的关联，并调整年龄、性别、疾病分期和生物标志物。</w:t>
      </w:r>
      <w:r>
        <w:rPr>
          <w:rFonts w:ascii="Times New Roman" w:hAnsi="Times New Roman" w:eastAsia="宋体"/>
          <w:b/>
          <w:sz w:val="21"/>
        </w:rPr>
        <w:t>结果：</w:t>
      </w:r>
      <w:r>
        <w:rPr>
          <w:rFonts w:ascii="Times New Roman" w:hAnsi="Times New Roman" w:eastAsia="宋体"/>
          <w:b w:val="0"/>
          <w:sz w:val="21"/>
        </w:rPr>
        <w:t>共纳入 1,200 名模拟研究对象，随访期间发生 630 个结局事件。调整年龄、性别、疾病分期和标准化生物标志物后，强化方案组的结局发生风险低于常规方案组（风险比 = 0.74，95% 置信区间：0.63～0.87，P &lt; 0.001）。</w:t>
      </w:r>
      <w:r>
        <w:rPr>
          <w:rFonts w:ascii="Times New Roman" w:hAnsi="Times New Roman" w:eastAsia="宋体"/>
          <w:b/>
          <w:sz w:val="21"/>
        </w:rPr>
        <w:t>结论：</w:t>
      </w:r>
      <w:r>
        <w:rPr>
          <w:rFonts w:ascii="Times New Roman" w:hAnsi="Times New Roman" w:eastAsia="宋体"/>
          <w:b w:val="0"/>
          <w:sz w:val="21"/>
        </w:rPr>
        <w:t>在该模拟队列及预设模型条件下，强化方案与较低的结局发生风险相关。模拟结果不构成真实临床证据。</w:t>
      </w:r>
    </w:p>
    <w:p>
      <w:pPr>
        <w:spacing w:line="288" w:lineRule="auto" w:after="80"/>
        <w:jc w:val="both"/>
      </w:pPr>
      <w:r>
        <w:rPr>
          <w:rFonts w:ascii="Times New Roman" w:hAnsi="Times New Roman" w:eastAsia="宋体"/>
          <w:b/>
          <w:sz w:val="21"/>
        </w:rPr>
        <w:t xml:space="preserve">关键词　</w:t>
      </w:r>
      <w:r>
        <w:rPr>
          <w:rFonts w:ascii="Times New Roman" w:hAnsi="Times New Roman" w:eastAsia="宋体"/>
          <w:b w:val="0"/>
          <w:sz w:val="21"/>
        </w:rPr>
        <w:t>模拟队列；无事件生存；Cox 比例风险模型</w:t>
      </w:r>
    </w:p>
    <w:p>
      <w:pPr>
        <w:keepNext/>
        <w:spacing w:before="80" w:after="40"/>
      </w:pPr>
      <w:r>
        <w:rPr>
          <w:rFonts w:ascii="Times New Roman" w:hAnsi="Times New Roman" w:eastAsia="黑体"/>
          <w:b/>
          <w:sz w:val="24"/>
        </w:rPr>
        <w:t>1　资料与方法</w:t>
      </w:r>
    </w:p>
    <w:p>
      <w:pPr>
        <w:spacing w:line="288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本研究采用固定随机过程生成 1,200 名研究对象的队列资料。主要结局为 36 个月内发生的模拟事件，未发生事件者在 36 个月时行政删失。治疗方案分为常规方案和强化方案。Cox 比例风险模型纳入治疗方案、年龄、性别、疾病分期和标准化生物标志物；报告风险比、95% 置信区间和双侧 P 值。调整后生存曲线在共同协变量取值下估计。</w:t>
      </w:r>
    </w:p>
    <w:p>
      <w:pPr>
        <w:keepNext/>
        <w:spacing w:before="80" w:after="40"/>
      </w:pPr>
      <w:r>
        <w:rPr>
          <w:rFonts w:ascii="Times New Roman" w:hAnsi="Times New Roman" w:eastAsia="黑体"/>
          <w:b/>
          <w:sz w:val="24"/>
        </w:rPr>
        <w:t>2　结果</w:t>
      </w:r>
    </w:p>
    <w:p>
      <w:pPr>
        <w:spacing w:line="288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分析共观察到 630 个结局事件。多变量模型显示，强化方案与较低的结局发生风险相关（风险比 = 0.74，95% 置信区间：0.63～0.87，P = 0.0002）。两组调整后无事件生存曲线在随访期内逐渐分离，后期估计的不确定性随风险集减少而增加（图 1）。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443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justed-survival-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4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 w:eastAsia="宋体"/>
          <w:b w:val="0"/>
          <w:sz w:val="18"/>
        </w:rPr>
        <w:t>图 1　不同治疗方案的调整后无事件生存曲线</w:t>
      </w:r>
    </w:p>
    <w:sectPr w:rsidR="00FC693F" w:rsidRPr="0006063C" w:rsidSect="00034616">
      <w:pgSz w:w="11906" w:h="16838"/>
      <w:pgMar w:top="1077" w:right="1191" w:bottom="1020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固定模拟队列中强化治疗方案与无事件生存的关联</dc:title>
  <dc:subject>模拟队列生存分析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