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160"/>
        <w:jc w:val="center"/>
      </w:pPr>
      <w:r>
        <w:rPr>
          <w:rFonts w:ascii="Times New Roman" w:hAnsi="Times New Roman" w:eastAsia="黑体"/>
          <w:b/>
          <w:i w:val="0"/>
          <w:color w:val="000000"/>
          <w:sz w:val="32"/>
        </w:rPr>
        <w:t>观察性队列稿件同行评审报告</w:t>
      </w:r>
    </w:p>
    <w:p>
      <w:pPr>
        <w:spacing w:after="160"/>
        <w:jc w:val="center"/>
      </w:pPr>
      <w:r>
        <w:rPr>
          <w:rFonts w:ascii="Times New Roman" w:hAnsi="Times New Roman" w:eastAsia="宋体"/>
          <w:b w:val="0"/>
          <w:i w:val="0"/>
          <w:color w:val="000000"/>
          <w:sz w:val="18"/>
        </w:rPr>
        <w:t>公开演示情景；审查对象为虚构稿件片段，不对应真实作者、机构或未公开研究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一、审查依据与范围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本报告审查一份用于演示的观察性队列稿件，材料包括摘要、方法、结果正文、表 1 和图 1。稿件描述家庭血压监测频率与 12 个月收缩压变化的关联，但未提供研究方案、注册记录、原始数据、分析代码或补充材料。报告依据稿件内可见信息核对研究问题、时间零点、样本流、变量定义、统计方法、结果与论断；STROBE 仅用于识别报告缺项，不作为研究质量评分。由于未取得原始数据和代码，本报告不能声称数字真实、分析已复现或数据中不存在错误。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二、总体评价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稿件的问题具有明确的公共卫生意义，暴露、主要结局和随访时长在摘要中可以识别，表 1 也报告了主要组间估计和 95% 置信区间。当前最重要的问题不是语言风格，而是方法中没有清楚定义时间零点和暴露判定窗口，缺失数据处理无法与样本流对应，摘要结论又把观察性关联写成家庭监测改善血压控制的因果效果。这些问题会影响偏倚判断和主要结论的可解释性；作者需要先补充报告、核对分析对象并降低论断强度，之后才能评价现有估计是否足以支持稿件主张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三、主要意见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i w:val="0"/>
          <w:color w:val="000000"/>
          <w:sz w:val="22"/>
        </w:rPr>
        <w:t>M1　时间零点与暴露判定窗口未定义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类型为 reporting gap。位置为方法“研究对象与暴露”第一段。稿件写明按家庭测量频率分组，却未说明从哪一天开始累计测量、暴露窗口是否先于结局随访，也未说明在暴露窗口内发生药物调整或失访时如何处理。读者因此无法判断暴露与结局的时间顺序，也无法排除将必须存活并完成测量的时间错误归入暴露组。请给出统一时间零点、暴露判定窗口、纳入资格和随访起点，并用样本流说明每一步人数；若暴露随时间更新，应说明相应的时间变化分析。核验状态为需作者澄清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i w:val="0"/>
          <w:color w:val="000000"/>
          <w:sz w:val="22"/>
        </w:rPr>
        <w:t>M2　缺失数据与模型样本量不能对应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类型为 inconsistency。位置为结果第二段和表 1。正文称主要模型纳入全部 842 名研究对象，表 1 的结局可用人数合计为 801 名，方法只写“缺失值予以排除”，未说明缺失发生在哪些变量、排除顺序或模型实际分母。该差异可能改变估计精度并影响缺失偏倚判断。请按原始、符合资格、暴露可判定、结局可用和主要模型分析集依次报告人数，同时说明各变量缺失量、完全病例或插补方法及其假设；若不同模型使用不同样本，应逐项报告分析人数。核验状态为稿件内已定位、未取得原始数据。</w:t>
      </w:r>
    </w:p>
    <w:p>
      <w:pPr>
        <w:keepNext/>
        <w:spacing w:before="100" w:after="60"/>
      </w:pPr>
      <w:r>
        <w:rPr>
          <w:rFonts w:ascii="Times New Roman" w:hAnsi="Times New Roman" w:eastAsia="黑体"/>
          <w:b/>
          <w:i w:val="0"/>
          <w:color w:val="000000"/>
          <w:sz w:val="22"/>
        </w:rPr>
        <w:t>M3　摘要结论超过观察性证据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类型为 interpretation。位置为摘要结论和讨论末段。稿件使用“家庭监测可改善血压控制并应推广”的确定性措辞，但设计为非随机观察性队列，现有材料没有说明足以识别因果效应的策略，也没有报告绝对差异、伤害、成本或实施可行性。请将主要结论改为家庭监测频率与收缩压变化之间的调整后关联，明确残余混杂和选择偏倚，并把推广建议限定为需要进一步因果评价的研究问题。若作者坚持因果主张，需要说明 estimand、识别假设、混杂控制依据和相应敏感性分析。核验状态为稿件内已核对。</w:t>
      </w:r>
    </w:p>
    <w:p>
      <w:r>
        <w:br w:type="page"/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四、次要意见</w:t>
      </w:r>
    </w:p>
    <w:p>
      <w:pPr>
        <w:pStyle w:val="ListNumber"/>
        <w:spacing w:line="288" w:lineRule="auto" w:after="60"/>
        <w:jc w:val="both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m1　表 1：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请在表题或表注中定义调整模型、参照组、分析人数和 95% 置信区间，保持所有单元格白底并使用三线表。</w:t>
      </w:r>
    </w:p>
    <w:p>
      <w:pPr>
        <w:pStyle w:val="ListNumber"/>
        <w:spacing w:line="288" w:lineRule="auto" w:after="60"/>
        <w:jc w:val="both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m2　P 值写法：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统一 P &lt; 0.001 等写法的间距和保留位数，并与正文、表格和图注保持一致。</w:t>
      </w:r>
    </w:p>
    <w:p>
      <w:pPr>
        <w:pStyle w:val="ListNumber"/>
        <w:spacing w:line="288" w:lineRule="auto" w:after="60"/>
        <w:jc w:val="both"/>
      </w:pPr>
      <w:r>
        <w:rPr>
          <w:rFonts w:ascii="Times New Roman" w:hAnsi="Times New Roman" w:eastAsia="宋体"/>
          <w:b/>
          <w:i w:val="0"/>
          <w:color w:val="000000"/>
          <w:sz w:val="20"/>
        </w:rPr>
        <w:t>m3　图 1：</w:t>
      </w:r>
      <w:r>
        <w:rPr>
          <w:rFonts w:ascii="Times New Roman" w:hAnsi="Times New Roman" w:eastAsia="宋体"/>
          <w:b w:val="0"/>
          <w:i w:val="0"/>
          <w:color w:val="000000"/>
          <w:sz w:val="20"/>
        </w:rPr>
        <w:t>图内只保留坐标、单位、图例和必要数值，不重复摘要结论或添加教材式解释；完整方法和限制放入正文或图注。</w:t>
      </w: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五、覆盖矩阵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11"/>
        <w:gridCol w:w="2438"/>
        <w:gridCol w:w="1757"/>
        <w:gridCol w:w="3005"/>
      </w:tblGrid>
      <w:tr>
        <w:tc>
          <w:tcPr>
            <w:tcW w:type="dxa" w:w="2211"/>
            <w:tcBorders>
              <w:top w:val="single" w:sz="8" w:space="0" w:color="000000"/>
              <w:left w:val="nil" w:sz="0" w:space="0" w:color="000000"/>
              <w:bottom w:val="single" w:sz="6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维度</w:t>
            </w:r>
          </w:p>
        </w:tc>
        <w:tc>
          <w:tcPr>
            <w:tcW w:type="dxa" w:w="2438"/>
            <w:tcBorders>
              <w:top w:val="single" w:sz="8" w:space="0" w:color="000000"/>
              <w:left w:val="nil" w:sz="0" w:space="0" w:color="000000"/>
              <w:bottom w:val="single" w:sz="6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当前判断</w:t>
            </w:r>
          </w:p>
        </w:tc>
        <w:tc>
          <w:tcPr>
            <w:tcW w:type="dxa" w:w="1757"/>
            <w:tcBorders>
              <w:top w:val="single" w:sz="8" w:space="0" w:color="000000"/>
              <w:left w:val="nil" w:sz="0" w:space="0" w:color="000000"/>
              <w:bottom w:val="single" w:sz="6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问题编号</w:t>
            </w:r>
          </w:p>
        </w:tc>
        <w:tc>
          <w:tcPr>
            <w:tcW w:type="dxa" w:w="3005"/>
            <w:tcBorders>
              <w:top w:val="single" w:sz="8" w:space="0" w:color="000000"/>
              <w:left w:val="nil" w:sz="0" w:space="0" w:color="000000"/>
              <w:bottom w:val="single" w:sz="6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/>
                <w:i w:val="0"/>
                <w:color w:val="000000"/>
                <w:sz w:val="17"/>
              </w:rPr>
              <w:t>未核验边界</w:t>
            </w:r>
          </w:p>
        </w:tc>
      </w:tr>
      <w:tr>
        <w:tc>
          <w:tcPr>
            <w:tcW w:type="dxa" w:w="221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研究问题与贡献</w:t>
            </w:r>
          </w:p>
        </w:tc>
        <w:tc>
          <w:tcPr>
            <w:tcW w:type="dxa" w:w="243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问题可识别</w:t>
            </w:r>
          </w:p>
        </w:tc>
        <w:tc>
          <w:tcPr>
            <w:tcW w:type="dxa" w:w="175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M3</w:t>
            </w:r>
          </w:p>
        </w:tc>
        <w:tc>
          <w:tcPr>
            <w:tcW w:type="dxa" w:w="300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未核验外部创新性</w:t>
            </w:r>
          </w:p>
        </w:tc>
      </w:tr>
      <w:tr>
        <w:tc>
          <w:tcPr>
            <w:tcW w:type="dxa" w:w="221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数据与稿内一致性</w:t>
            </w:r>
          </w:p>
        </w:tc>
        <w:tc>
          <w:tcPr>
            <w:tcW w:type="dxa" w:w="243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存在分母冲突</w:t>
            </w:r>
          </w:p>
        </w:tc>
        <w:tc>
          <w:tcPr>
            <w:tcW w:type="dxa" w:w="175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M2</w:t>
            </w:r>
          </w:p>
        </w:tc>
        <w:tc>
          <w:tcPr>
            <w:tcW w:type="dxa" w:w="300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无原始数据</w:t>
            </w:r>
          </w:p>
        </w:tc>
      </w:tr>
      <w:tr>
        <w:tc>
          <w:tcPr>
            <w:tcW w:type="dxa" w:w="221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研究设计与偏倚</w:t>
            </w:r>
          </w:p>
        </w:tc>
        <w:tc>
          <w:tcPr>
            <w:tcW w:type="dxa" w:w="243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时间顺序不清</w:t>
            </w:r>
          </w:p>
        </w:tc>
        <w:tc>
          <w:tcPr>
            <w:tcW w:type="dxa" w:w="175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M1</w:t>
            </w:r>
          </w:p>
        </w:tc>
        <w:tc>
          <w:tcPr>
            <w:tcW w:type="dxa" w:w="300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无方案与注册</w:t>
            </w:r>
          </w:p>
        </w:tc>
      </w:tr>
      <w:tr>
        <w:tc>
          <w:tcPr>
            <w:tcW w:type="dxa" w:w="221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统计方法与不确定性</w:t>
            </w:r>
          </w:p>
        </w:tc>
        <w:tc>
          <w:tcPr>
            <w:tcW w:type="dxa" w:w="243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目前无法完整判断</w:t>
            </w:r>
          </w:p>
        </w:tc>
        <w:tc>
          <w:tcPr>
            <w:tcW w:type="dxa" w:w="175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M1、M2</w:t>
            </w:r>
          </w:p>
        </w:tc>
        <w:tc>
          <w:tcPr>
            <w:tcW w:type="dxa" w:w="300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无代码与诊断</w:t>
            </w:r>
          </w:p>
        </w:tc>
      </w:tr>
      <w:tr>
        <w:tc>
          <w:tcPr>
            <w:tcW w:type="dxa" w:w="2211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结果、讨论与结论</w:t>
            </w:r>
          </w:p>
        </w:tc>
        <w:tc>
          <w:tcPr>
            <w:tcW w:type="dxa" w:w="2438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论断强度过高</w:t>
            </w:r>
          </w:p>
        </w:tc>
        <w:tc>
          <w:tcPr>
            <w:tcW w:type="dxa" w:w="1757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M3</w:t>
            </w:r>
          </w:p>
        </w:tc>
        <w:tc>
          <w:tcPr>
            <w:tcW w:type="dxa" w:w="3005"/>
            <w:tcBorders>
              <w:top w:val="nil" w:sz="0" w:space="0" w:color="000000"/>
              <w:left w:val="nil" w:sz="0" w:space="0" w:color="000000"/>
              <w:bottom w:val="nil" w:sz="0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未复算结果</w:t>
            </w:r>
          </w:p>
        </w:tc>
      </w:tr>
      <w:tr>
        <w:tc>
          <w:tcPr>
            <w:tcW w:type="dxa" w:w="2211"/>
            <w:tcBorders>
              <w:top w:val="nil" w:sz="0" w:space="0" w:color="000000"/>
              <w:left w:val="nil" w:sz="0" w:space="0" w:color="000000"/>
              <w:bottom w:val="single" w:sz="8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语言、结构与表图</w:t>
            </w:r>
          </w:p>
        </w:tc>
        <w:tc>
          <w:tcPr>
            <w:tcW w:type="dxa" w:w="2438"/>
            <w:tcBorders>
              <w:top w:val="nil" w:sz="0" w:space="0" w:color="000000"/>
              <w:left w:val="nil" w:sz="0" w:space="0" w:color="000000"/>
              <w:bottom w:val="single" w:sz="8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需局部规范化</w:t>
            </w:r>
          </w:p>
        </w:tc>
        <w:tc>
          <w:tcPr>
            <w:tcW w:type="dxa" w:w="1757"/>
            <w:tcBorders>
              <w:top w:val="nil" w:sz="0" w:space="0" w:color="000000"/>
              <w:left w:val="nil" w:sz="0" w:space="0" w:color="000000"/>
              <w:bottom w:val="single" w:sz="8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m1～m3</w:t>
            </w:r>
          </w:p>
        </w:tc>
        <w:tc>
          <w:tcPr>
            <w:tcW w:type="dxa" w:w="3005"/>
            <w:tcBorders>
              <w:top w:val="nil" w:sz="0" w:space="0" w:color="000000"/>
              <w:left w:val="nil" w:sz="0" w:space="0" w:color="000000"/>
              <w:bottom w:val="single" w:sz="8" w:space="0" w:color="000000"/>
              <w:right w:val="nil" w:sz="0" w:space="0" w:color="000000"/>
              <w:insideH w:val="nil" w:sz="0" w:space="0" w:color="000000"/>
              <w:insideV w:val="nil" w:sz="0" w:space="0" w:color="000000"/>
            </w:tcBorders>
            <w:vAlign w:val="center"/>
          </w:tcPr>
          <w:p>
            <w:pPr>
              <w:spacing w:after="0" w:line="252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i w:val="0"/>
                <w:color w:val="000000"/>
                <w:sz w:val="17"/>
              </w:rPr>
              <w:t>仅审所给材料</w:t>
            </w:r>
          </w:p>
        </w:tc>
      </w:tr>
    </w:tbl>
    <w:p>
      <w:pPr>
        <w:spacing w:after="40"/>
      </w:pPr>
    </w:p>
    <w:p>
      <w:pPr>
        <w:keepNext/>
        <w:spacing w:before="160" w:after="6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六、未核验事项</w:t>
      </w:r>
    </w:p>
    <w:p>
      <w:pPr>
        <w:spacing w:line="300" w:lineRule="auto" w:after="100"/>
        <w:ind w:firstLine="420"/>
        <w:jc w:val="both"/>
      </w:pPr>
      <w:r>
        <w:rPr>
          <w:rFonts w:ascii="Times New Roman" w:hAnsi="Times New Roman" w:eastAsia="宋体"/>
          <w:b w:val="0"/>
          <w:i w:val="0"/>
          <w:color w:val="000000"/>
          <w:sz w:val="21"/>
        </w:rPr>
        <w:t>本报告未核验作者身份、研究机构、伦理批准、原始数据、分析代码、参考文献真实性、期刊最新表单或稿件外的研究实施过程。报告没有给出录用、修改或拒稿建议，因为演示情景未提供目标期刊的决定类别和评价标准。若后续取得方案、数据或代码，应分别核对预设终点、样本流、主要模型、缺失处理和表图数字；只有实际运行授权代码后，才可把相应项目标记为已复算。</w:t>
      </w:r>
    </w:p>
    <w:sectPr w:rsidR="00FC693F" w:rsidRPr="0006063C" w:rsidSect="00034616">
      <w:footerReference w:type="default" r:id="rId9"/>
      <w:pgSz w:w="11906" w:h="16838"/>
      <w:pgMar w:top="1134" w:right="1247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