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after="160"/>
        <w:jc w:val="center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固定模拟队列成果复现核查备忘录</w:t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i w:val="0"/>
          <w:color w:val="000000"/>
          <w:sz w:val="18"/>
        </w:rPr>
        <w:t>核查对象为仓库公开演示文件，不涉及真实患者资料</w:t>
      </w:r>
    </w:p>
    <w:p>
      <w:pPr>
        <w:keepNext/>
        <w:spacing w:before="160" w:after="60"/>
      </w:pPr>
      <w:r>
        <w:rPr>
          <w:rFonts w:ascii="Times New Roman" w:hAnsi="Times New Roman" w:eastAsia="黑体"/>
          <w:b/>
          <w:i w:val="0"/>
          <w:color w:val="000000"/>
          <w:sz w:val="24"/>
        </w:rPr>
        <w:t>一、核查结论</w:t>
      </w:r>
    </w:p>
    <w:p>
      <w:pPr>
        <w:spacing w:line="300" w:lineRule="auto" w:after="10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固定模拟数据共包含 1,200 条记录和 630 个结局事件，与机器可读结果文件中的样本量和事件数一致。完整森林图结果包含 6 个预设模型项，分析脚本、调整后生存曲线和森林图均位于预期路径。当前核查支持 README 演示文件之间的数量与文件存在性一致，但不把文件存在视为模型科学有效性的充分证据，也不替代对完整标准输出、标准错误、warning、缺失值和模型诊断的审查。</w:t>
      </w:r>
    </w:p>
    <w:p>
      <w:pPr>
        <w:keepNext/>
        <w:spacing w:before="160" w:after="60"/>
      </w:pPr>
      <w:r>
        <w:rPr>
          <w:rFonts w:ascii="Times New Roman" w:hAnsi="Times New Roman" w:eastAsia="黑体"/>
          <w:b/>
          <w:i w:val="0"/>
          <w:color w:val="000000"/>
          <w:sz w:val="24"/>
        </w:rPr>
        <w:t>二、核查范围与方法</w:t>
      </w:r>
    </w:p>
    <w:p>
      <w:pPr>
        <w:spacing w:line="300" w:lineRule="auto" w:after="10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本次核查从固定模拟 CSV 逐行计数样本和 event 字段，再与 survival-demo-results.csv 的 n 与 events 字段比较；同时读取 cox-forest-results.csv 的模型项数量，并检查分析脚本与两张统计图是否存在。核查没有重新拟合 Cox 模型，也没有改变任何数据、结果或图件。若数量或文件状态不一致，生成脚本会停止，不输出显示为“通过”的备忘录。</w:t>
      </w:r>
    </w:p>
    <w:p>
      <w:pPr>
        <w:keepNext/>
        <w:spacing w:before="60" w:after="60"/>
        <w:jc w:val="center"/>
      </w:pPr>
      <w:r>
        <w:rPr>
          <w:rFonts w:ascii="Times New Roman" w:hAnsi="Times New Roman" w:eastAsia="宋体"/>
          <w:b w:val="0"/>
          <w:i w:val="0"/>
          <w:color w:val="000000"/>
          <w:sz w:val="18"/>
        </w:rPr>
        <w:t>表 1　复现核查结果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2381"/>
        <w:gridCol w:w="2381"/>
        <w:gridCol w:w="1531"/>
      </w:tblGrid>
      <w:tr>
        <w:tc>
          <w:tcPr>
            <w:tcW w:type="dxa" w:w="3118"/>
            <w:tcBorders>
              <w:top w:val="single" w:sz="8" w:space="0" w:color="000000"/>
              <w:left w:val="nil" w:sz="0" w:space="0" w:color="000000"/>
              <w:bottom w:val="single" w:sz="6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rFonts w:ascii="Times New Roman" w:hAnsi="Times New Roman" w:eastAsia="宋体"/>
                <w:b/>
                <w:i w:val="0"/>
                <w:color w:val="000000"/>
                <w:sz w:val="18"/>
              </w:rPr>
              <w:t>核查项目</w:t>
            </w:r>
          </w:p>
        </w:tc>
        <w:tc>
          <w:tcPr>
            <w:tcW w:type="dxa" w:w="2381"/>
            <w:tcBorders>
              <w:top w:val="single" w:sz="8" w:space="0" w:color="000000"/>
              <w:left w:val="nil" w:sz="0" w:space="0" w:color="000000"/>
              <w:bottom w:val="single" w:sz="6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000000"/>
                <w:sz w:val="18"/>
              </w:rPr>
              <w:t>实际值</w:t>
            </w:r>
          </w:p>
        </w:tc>
        <w:tc>
          <w:tcPr>
            <w:tcW w:type="dxa" w:w="2381"/>
            <w:tcBorders>
              <w:top w:val="single" w:sz="8" w:space="0" w:color="000000"/>
              <w:left w:val="nil" w:sz="0" w:space="0" w:color="000000"/>
              <w:bottom w:val="single" w:sz="6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000000"/>
                <w:sz w:val="18"/>
              </w:rPr>
              <w:t>预期值</w:t>
            </w:r>
          </w:p>
        </w:tc>
        <w:tc>
          <w:tcPr>
            <w:tcW w:type="dxa" w:w="1531"/>
            <w:tcBorders>
              <w:top w:val="single" w:sz="8" w:space="0" w:color="000000"/>
              <w:left w:val="nil" w:sz="0" w:space="0" w:color="000000"/>
              <w:bottom w:val="single" w:sz="6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000000"/>
                <w:sz w:val="18"/>
              </w:rPr>
              <w:t>状态</w:t>
            </w:r>
          </w:p>
        </w:tc>
      </w:tr>
      <w:tr>
        <w:tc>
          <w:tcPr>
            <w:tcW w:type="dxa" w:w="3118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固定模拟数据</w:t>
            </w:r>
          </w:p>
        </w:tc>
        <w:tc>
          <w:tcPr>
            <w:tcW w:type="dxa" w:w="2381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1200</w:t>
            </w:r>
          </w:p>
        </w:tc>
        <w:tc>
          <w:tcPr>
            <w:tcW w:type="dxa" w:w="2381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1200</w:t>
            </w:r>
          </w:p>
        </w:tc>
        <w:tc>
          <w:tcPr>
            <w:tcW w:type="dxa" w:w="1531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通过</w:t>
            </w:r>
          </w:p>
        </w:tc>
      </w:tr>
      <w:tr>
        <w:tc>
          <w:tcPr>
            <w:tcW w:type="dxa" w:w="3118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结局事件数</w:t>
            </w:r>
          </w:p>
        </w:tc>
        <w:tc>
          <w:tcPr>
            <w:tcW w:type="dxa" w:w="2381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630</w:t>
            </w:r>
          </w:p>
        </w:tc>
        <w:tc>
          <w:tcPr>
            <w:tcW w:type="dxa" w:w="2381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630</w:t>
            </w:r>
          </w:p>
        </w:tc>
        <w:tc>
          <w:tcPr>
            <w:tcW w:type="dxa" w:w="1531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通过</w:t>
            </w:r>
          </w:p>
        </w:tc>
      </w:tr>
      <w:tr>
        <w:tc>
          <w:tcPr>
            <w:tcW w:type="dxa" w:w="3118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完整模型项</w:t>
            </w:r>
          </w:p>
        </w:tc>
        <w:tc>
          <w:tcPr>
            <w:tcW w:type="dxa" w:w="2381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6</w:t>
            </w:r>
          </w:p>
        </w:tc>
        <w:tc>
          <w:tcPr>
            <w:tcW w:type="dxa" w:w="2381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6</w:t>
            </w:r>
          </w:p>
        </w:tc>
        <w:tc>
          <w:tcPr>
            <w:tcW w:type="dxa" w:w="1531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通过</w:t>
            </w:r>
          </w:p>
        </w:tc>
      </w:tr>
      <w:tr>
        <w:tc>
          <w:tcPr>
            <w:tcW w:type="dxa" w:w="3118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分析脚本</w:t>
            </w:r>
          </w:p>
        </w:tc>
        <w:tc>
          <w:tcPr>
            <w:tcW w:type="dxa" w:w="2381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文件存在</w:t>
            </w:r>
          </w:p>
        </w:tc>
        <w:tc>
          <w:tcPr>
            <w:tcW w:type="dxa" w:w="2381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文件存在</w:t>
            </w:r>
          </w:p>
        </w:tc>
        <w:tc>
          <w:tcPr>
            <w:tcW w:type="dxa" w:w="1531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通过</w:t>
            </w:r>
          </w:p>
        </w:tc>
      </w:tr>
      <w:tr>
        <w:tc>
          <w:tcPr>
            <w:tcW w:type="dxa" w:w="3118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调整后生存曲线</w:t>
            </w:r>
          </w:p>
        </w:tc>
        <w:tc>
          <w:tcPr>
            <w:tcW w:type="dxa" w:w="2381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文件存在</w:t>
            </w:r>
          </w:p>
        </w:tc>
        <w:tc>
          <w:tcPr>
            <w:tcW w:type="dxa" w:w="2381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文件存在</w:t>
            </w:r>
          </w:p>
        </w:tc>
        <w:tc>
          <w:tcPr>
            <w:tcW w:type="dxa" w:w="1531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通过</w:t>
            </w:r>
          </w:p>
        </w:tc>
      </w:tr>
      <w:tr>
        <w:tc>
          <w:tcPr>
            <w:tcW w:type="dxa" w:w="3118"/>
            <w:tcBorders>
              <w:top w:val="nil" w:sz="0" w:space="0" w:color="000000"/>
              <w:left w:val="nil" w:sz="0" w:space="0" w:color="000000"/>
              <w:bottom w:val="single" w:sz="8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森林图</w:t>
            </w:r>
          </w:p>
        </w:tc>
        <w:tc>
          <w:tcPr>
            <w:tcW w:type="dxa" w:w="2381"/>
            <w:tcBorders>
              <w:top w:val="nil" w:sz="0" w:space="0" w:color="000000"/>
              <w:left w:val="nil" w:sz="0" w:space="0" w:color="000000"/>
              <w:bottom w:val="single" w:sz="8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文件存在</w:t>
            </w:r>
          </w:p>
        </w:tc>
        <w:tc>
          <w:tcPr>
            <w:tcW w:type="dxa" w:w="2381"/>
            <w:tcBorders>
              <w:top w:val="nil" w:sz="0" w:space="0" w:color="000000"/>
              <w:left w:val="nil" w:sz="0" w:space="0" w:color="000000"/>
              <w:bottom w:val="single" w:sz="8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文件存在</w:t>
            </w:r>
          </w:p>
        </w:tc>
        <w:tc>
          <w:tcPr>
            <w:tcW w:type="dxa" w:w="1531"/>
            <w:tcBorders>
              <w:top w:val="nil" w:sz="0" w:space="0" w:color="000000"/>
              <w:left w:val="nil" w:sz="0" w:space="0" w:color="000000"/>
              <w:bottom w:val="single" w:sz="8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通过</w:t>
            </w:r>
          </w:p>
        </w:tc>
      </w:tr>
    </w:tbl>
    <w:p>
      <w:pPr>
        <w:spacing w:after="40"/>
      </w:pPr>
    </w:p>
    <w:p>
      <w:pPr>
        <w:keepNext/>
        <w:spacing w:before="160" w:after="60"/>
      </w:pPr>
      <w:r>
        <w:rPr>
          <w:rFonts w:ascii="Times New Roman" w:hAnsi="Times New Roman" w:eastAsia="黑体"/>
          <w:b/>
          <w:i w:val="0"/>
          <w:color w:val="000000"/>
          <w:sz w:val="24"/>
        </w:rPr>
        <w:t>三、解释与后续动作</w:t>
      </w:r>
    </w:p>
    <w:p>
      <w:pPr>
        <w:spacing w:line="300" w:lineRule="auto" w:after="10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全部项目通过说明当前展示数据、结果摘要和文件路径可以相互对应。它不能证明没有数据错误、模型设定正确或结论可用于真实医学决策。正式分析仍需从项目根运行既定总脚本，扫描完整输出并检查模型假设、异常记录和实际使用这些数字的文件；任何关键数字变化都应回到生成结果的脚本，再同步更新结果文件、表图、论文、报告和演示文稿。</w:t>
      </w:r>
    </w:p>
    <w:sectPr w:rsidR="00FC693F" w:rsidRPr="0006063C" w:rsidSect="00034616">
      <w:footerReference w:type="default" r:id="rId9"/>
      <w:pgSz w:w="11906" w:h="16838"/>
      <w:pgMar w:top="1134" w:right="1247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i w:val="0"/>
        <w:color w:val="000000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