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60"/>
        <w:jc w:val="center"/>
      </w:pPr>
      <w:r>
        <w:rPr>
          <w:rFonts w:ascii="Times New Roman" w:hAnsi="Times New Roman" w:eastAsia="黑体"/>
          <w:b/>
          <w:i w:val="0"/>
          <w:color w:val="000000"/>
          <w:sz w:val="32"/>
        </w:rPr>
        <w:t>固定模拟队列生存分析报告</w:t>
      </w:r>
    </w:p>
    <w:p>
      <w:pPr>
        <w:spacing w:after="160"/>
        <w:jc w:val="center"/>
      </w:pPr>
      <w:r>
        <w:rPr>
          <w:rFonts w:ascii="Times New Roman" w:hAnsi="Times New Roman" w:eastAsia="宋体"/>
          <w:b w:val="0"/>
          <w:i w:val="0"/>
          <w:color w:val="000000"/>
          <w:sz w:val="18"/>
        </w:rPr>
        <w:t>结果来自仓库固定模拟数据与实际 Cox 模型，仅用于展示可复核报告流程</w:t>
      </w:r>
    </w:p>
    <w:p>
      <w:pPr>
        <w:keepNext/>
        <w:spacing w:before="160" w:after="60"/>
      </w:pPr>
      <w:r>
        <w:rPr>
          <w:rFonts w:ascii="Times New Roman" w:hAnsi="Times New Roman" w:eastAsia="黑体"/>
          <w:b/>
          <w:i w:val="0"/>
          <w:color w:val="000000"/>
          <w:sz w:val="24"/>
        </w:rPr>
        <w:t>一、结论摘要</w:t>
      </w:r>
    </w:p>
    <w:p>
      <w:pPr>
        <w:spacing w:line="300" w:lineRule="auto" w:after="100"/>
        <w:ind w:firstLine="420"/>
        <w:jc w:val="both"/>
      </w:pPr>
      <w:r>
        <w:rPr>
          <w:rFonts w:ascii="Times New Roman" w:hAnsi="Times New Roman" w:eastAsia="宋体"/>
          <w:b w:val="0"/>
          <w:i w:val="0"/>
          <w:color w:val="000000"/>
          <w:sz w:val="21"/>
        </w:rPr>
        <w:t>本次分析纳入 1,200 名固定模拟研究对象并观察到 630 个结局事件。调整年龄、性别、疾病分期和标准化生物标志物后，强化方案组相对于常规方案组的结局发生风险比为 HR 0.74（95% CI 0.63～0.87，P &lt; 0.001）。在该固定模拟数据和预设模型下，强化方案与较低的结局发生风险相关；该结果不构成真实临床证据，也不能被解释为已经证实的治疗因果效应。</w:t>
      </w:r>
    </w:p>
    <w:p>
      <w:pPr>
        <w:keepNext/>
        <w:spacing w:before="160" w:after="60"/>
      </w:pPr>
      <w:r>
        <w:rPr>
          <w:rFonts w:ascii="Times New Roman" w:hAnsi="Times New Roman" w:eastAsia="黑体"/>
          <w:b/>
          <w:i w:val="0"/>
          <w:color w:val="000000"/>
          <w:sz w:val="24"/>
        </w:rPr>
        <w:t>二、数据与方法</w:t>
      </w:r>
    </w:p>
    <w:p>
      <w:pPr>
        <w:spacing w:line="300" w:lineRule="auto" w:after="100"/>
        <w:ind w:firstLine="420"/>
        <w:jc w:val="both"/>
      </w:pPr>
      <w:r>
        <w:rPr>
          <w:rFonts w:ascii="Times New Roman" w:hAnsi="Times New Roman" w:eastAsia="宋体"/>
          <w:b w:val="0"/>
          <w:i w:val="0"/>
          <w:color w:val="000000"/>
          <w:sz w:val="21"/>
        </w:rPr>
        <w:t>分析使用仓库内由固定随机种子生成的模拟队列，最长随访 36 个月。主要结局为首次模拟事件，未发生事件者在随访结束时行政删失。主要模型为 Cox 比例风险模型，治疗方案以常规方案为参照，并同时调整年龄（每增加 10 岁）、性别、疾病分期和标准化生物标志物。所有显示数字均由同一分析脚本输出，报告没有重新计算或手工改写关键结果。</w:t>
      </w:r>
    </w:p>
    <w:p>
      <w:pPr>
        <w:keepNext/>
        <w:spacing w:before="60" w:after="60"/>
        <w:jc w:val="center"/>
      </w:pPr>
      <w:r>
        <w:rPr>
          <w:rFonts w:ascii="Times New Roman" w:hAnsi="Times New Roman" w:eastAsia="宋体"/>
          <w:b w:val="0"/>
          <w:i w:val="0"/>
          <w:color w:val="000000"/>
          <w:sz w:val="18"/>
        </w:rPr>
        <w:t>表 1　主要模型结果</w:t>
      </w:r>
    </w:p>
    <w:tbl>
      <w:tblPr>
        <w:tblW w:type="auto" w:w="0"/>
        <w:jc w:val="center"/>
        <w:tblLayout w:type="fixed"/>
        <w:tblLook w:firstColumn="1" w:firstRow="1" w:lastColumn="0" w:lastRow="0" w:noHBand="0" w:noVBand="1" w:val="04A0"/>
      </w:tblPr>
      <w:tblGrid>
        <w:gridCol w:w="4479"/>
        <w:gridCol w:w="1361"/>
        <w:gridCol w:w="2154"/>
        <w:gridCol w:w="1417"/>
      </w:tblGrid>
      <w:tr>
        <w:tc>
          <w:tcPr>
            <w:tcW w:type="dxa" w:w="4479"/>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8"/>
              </w:rPr>
              <w:t>模型项</w:t>
            </w:r>
          </w:p>
        </w:tc>
        <w:tc>
          <w:tcPr>
            <w:tcW w:type="dxa" w:w="136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8"/>
              </w:rPr>
              <w:t>HR</w:t>
            </w:r>
          </w:p>
        </w:tc>
        <w:tc>
          <w:tcPr>
            <w:tcW w:type="dxa" w:w="215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8"/>
              </w:rPr>
              <w:t>95% CI</w:t>
            </w:r>
          </w:p>
        </w:tc>
        <w:tc>
          <w:tcPr>
            <w:tcW w:type="dxa" w:w="1417"/>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i w:val="0"/>
                <w:color w:val="000000"/>
                <w:sz w:val="18"/>
              </w:rPr>
              <w:t>P 值</w:t>
            </w:r>
          </w:p>
        </w:tc>
      </w:tr>
      <w:tr>
        <w:tc>
          <w:tcPr>
            <w:tcW w:type="dxa" w:w="4479"/>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强化方案（与常规方案比较）</w:t>
            </w:r>
          </w:p>
        </w:tc>
        <w:tc>
          <w:tcPr>
            <w:tcW w:type="dxa" w:w="136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0.74</w:t>
            </w:r>
          </w:p>
        </w:tc>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0.63～0.87</w:t>
            </w:r>
          </w:p>
        </w:tc>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P &lt; 0.001</w:t>
            </w:r>
          </w:p>
        </w:tc>
      </w:tr>
      <w:tr>
        <w:tc>
          <w:tcPr>
            <w:tcW w:type="dxa" w:w="4479"/>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年龄（每增加 10 岁）</w:t>
            </w:r>
          </w:p>
        </w:tc>
        <w:tc>
          <w:tcPr>
            <w:tcW w:type="dxa" w:w="136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1.38</w:t>
            </w:r>
          </w:p>
        </w:tc>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1.28～1.49</w:t>
            </w:r>
          </w:p>
        </w:tc>
        <w:tc>
          <w:tcPr>
            <w:tcW w:type="dxa" w:w="1417"/>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P &lt; 0.001</w:t>
            </w:r>
          </w:p>
        </w:tc>
      </w:tr>
      <w:tr>
        <w:tc>
          <w:tcPr>
            <w:tcW w:type="dxa" w:w="4479"/>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8"/>
              </w:rPr>
              <w:t>男性（与女性比较）</w:t>
            </w:r>
          </w:p>
        </w:tc>
        <w:tc>
          <w:tcPr>
            <w:tcW w:type="dxa" w:w="136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1.29</w:t>
            </w:r>
          </w:p>
        </w:tc>
        <w:tc>
          <w:tcPr>
            <w:tcW w:type="dxa" w:w="215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1.10～1.51</w:t>
            </w:r>
          </w:p>
        </w:tc>
        <w:tc>
          <w:tcPr>
            <w:tcW w:type="dxa" w:w="1417"/>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center"/>
            </w:pPr>
            <w:r/>
            <w:r>
              <w:rPr>
                <w:rFonts w:ascii="Times New Roman" w:hAnsi="Times New Roman" w:eastAsia="宋体"/>
                <w:b w:val="0"/>
                <w:i w:val="0"/>
                <w:color w:val="000000"/>
                <w:sz w:val="18"/>
              </w:rPr>
              <w:t>P = 0.002</w:t>
            </w:r>
          </w:p>
        </w:tc>
      </w:tr>
    </w:tbl>
    <w:p>
      <w:pPr>
        <w:spacing w:after="40"/>
      </w:pPr>
    </w:p>
    <w:p>
      <w:pPr>
        <w:spacing w:line="300" w:lineRule="auto" w:after="100"/>
        <w:ind w:firstLine="420"/>
        <w:jc w:val="both"/>
      </w:pPr>
      <w:r>
        <w:rPr>
          <w:rFonts w:ascii="Times New Roman" w:hAnsi="Times New Roman" w:eastAsia="宋体"/>
          <w:b w:val="0"/>
          <w:i w:val="0"/>
          <w:color w:val="000000"/>
          <w:sz w:val="21"/>
        </w:rPr>
        <w:t>表中强化方案、年龄和男性三项结果分别呈现效应方向、估计值和不确定性。其余疾病分期及生物标志物模型项保留在完整森林图和机器可读结果中，正文不逐格重复。模型项的参照水平、计量单位和 95% 置信区间与分析输出一致；报告没有在图内额外烧录解释性段落或教材式效应尺度说明。</w:t>
      </w:r>
    </w:p>
    <w:p>
      <w:pPr>
        <w:keepNext/>
        <w:spacing w:before="160" w:after="60"/>
      </w:pPr>
      <w:r>
        <w:rPr>
          <w:rFonts w:ascii="Times New Roman" w:hAnsi="Times New Roman" w:eastAsia="黑体"/>
          <w:b/>
          <w:i w:val="0"/>
          <w:color w:val="000000"/>
          <w:sz w:val="24"/>
        </w:rPr>
        <w:t>三、解释边界</w:t>
      </w:r>
    </w:p>
    <w:p>
      <w:pPr>
        <w:spacing w:line="300" w:lineRule="auto" w:after="100"/>
        <w:ind w:firstLine="420"/>
        <w:jc w:val="both"/>
      </w:pPr>
      <w:r>
        <w:rPr>
          <w:rFonts w:ascii="Times New Roman" w:hAnsi="Times New Roman" w:eastAsia="宋体"/>
          <w:b w:val="0"/>
          <w:i w:val="0"/>
          <w:color w:val="000000"/>
          <w:sz w:val="21"/>
        </w:rPr>
        <w:t>模拟队列中的治疗分配和结局风险由预设数据生成机制共同决定，数值只用于检查从分析脚本、结果文件到报告表述的可追溯性。风险比小于 1 表示在所拟合模型和参照设定下观察到较低的瞬时结局风险，不等于绝对风险降低，也不能替代真实研究中的混杂控制、模型诊断、敏感性分析和临床意义评价。若任何结果数字发生变化，应回到生成模型的脚本并同步更新结果文件、表格、图件和本报告。</w:t>
      </w:r>
    </w:p>
    <w:p>
      <w:r>
        <w:br w:type="page"/>
      </w:r>
    </w:p>
    <w:p>
      <w:pPr>
        <w:keepNext/>
        <w:spacing w:before="160" w:after="60"/>
      </w:pPr>
      <w:r>
        <w:rPr>
          <w:rFonts w:ascii="Times New Roman" w:hAnsi="Times New Roman" w:eastAsia="黑体"/>
          <w:b/>
          <w:i w:val="0"/>
          <w:color w:val="000000"/>
          <w:sz w:val="24"/>
        </w:rPr>
        <w:t>四、完整结果与复核位置</w:t>
      </w:r>
    </w:p>
    <w:p>
      <w:pPr>
        <w:spacing w:line="300" w:lineRule="auto" w:after="100"/>
        <w:ind w:firstLine="420"/>
        <w:jc w:val="both"/>
      </w:pPr>
      <w:r>
        <w:rPr>
          <w:rFonts w:ascii="Times New Roman" w:hAnsi="Times New Roman" w:eastAsia="宋体"/>
          <w:b w:val="0"/>
          <w:i w:val="0"/>
          <w:color w:val="000000"/>
          <w:sz w:val="21"/>
        </w:rPr>
        <w:t>完整结果包括调整后无事件生存曲线、风险集、全部模型项的森林图和模型诊断。生存曲线用于显示随访期间的估计概率与不确定性，森林图用于呈现治疗方案及协变量的风险比和 95% 置信区间。两个图件分别回答时间到事件分布和多变量模型结构，未拼成含有重复指标的看板。报告读者可从固定模拟数据重新运行分析脚本，并对照机器可读结果检查样本量、事件数、效应方向和显示精度。</w:t>
      </w:r>
    </w:p>
    <w:p>
      <w:pPr>
        <w:keepNext/>
        <w:spacing w:before="60" w:after="60"/>
        <w:jc w:val="center"/>
      </w:pPr>
      <w:r>
        <w:rPr>
          <w:rFonts w:ascii="Times New Roman" w:hAnsi="Times New Roman" w:eastAsia="宋体"/>
          <w:b w:val="0"/>
          <w:i w:val="0"/>
          <w:color w:val="000000"/>
          <w:sz w:val="18"/>
        </w:rPr>
        <w:t>表 2　结果追溯位置</w:t>
      </w:r>
    </w:p>
    <w:tbl>
      <w:tblPr>
        <w:tblW w:type="auto" w:w="0"/>
        <w:jc w:val="center"/>
        <w:tblLayout w:type="fixed"/>
        <w:tblLook w:firstColumn="1" w:firstRow="1" w:lastColumn="0" w:lastRow="0" w:noHBand="0" w:noVBand="1" w:val="04A0"/>
      </w:tblPr>
      <w:tblGrid>
        <w:gridCol w:w="2154"/>
        <w:gridCol w:w="4365"/>
        <w:gridCol w:w="2891"/>
      </w:tblGrid>
      <w:tr>
        <w:tc>
          <w:tcPr>
            <w:tcW w:type="dxa" w:w="2154"/>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内容</w:t>
            </w:r>
          </w:p>
        </w:tc>
        <w:tc>
          <w:tcPr>
            <w:tcW w:type="dxa" w:w="4365"/>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仓库位置</w:t>
            </w:r>
          </w:p>
        </w:tc>
        <w:tc>
          <w:tcPr>
            <w:tcW w:type="dxa" w:w="2891"/>
            <w:tcBorders>
              <w:top w:val="single" w:sz="8" w:space="0" w:color="000000"/>
              <w:left w:val="nil" w:sz="0" w:space="0" w:color="000000"/>
              <w:bottom w:val="single" w:sz="6"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i w:val="0"/>
                <w:color w:val="000000"/>
                <w:sz w:val="17"/>
              </w:rPr>
              <w:t>核对重点</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固定模拟数据</w:t>
            </w:r>
          </w:p>
        </w:tc>
        <w:tc>
          <w:tcPr>
            <w:tcW w:type="dxa" w:w="436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docs/demo/survival-demo-data.csv</w:t>
            </w:r>
          </w:p>
        </w:tc>
        <w:tc>
          <w:tcPr>
            <w:tcW w:type="dxa" w:w="289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样本与变量定义</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分析与出图脚本</w:t>
            </w:r>
          </w:p>
        </w:tc>
        <w:tc>
          <w:tcPr>
            <w:tcW w:type="dxa" w:w="436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docs/demo/generate_survival_demo.R</w:t>
            </w:r>
          </w:p>
        </w:tc>
        <w:tc>
          <w:tcPr>
            <w:tcW w:type="dxa" w:w="289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模型、参照与导出</w:t>
            </w:r>
          </w:p>
        </w:tc>
      </w:tr>
      <w:tr>
        <w:tc>
          <w:tcPr>
            <w:tcW w:type="dxa" w:w="2154"/>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主要结果</w:t>
            </w:r>
          </w:p>
        </w:tc>
        <w:tc>
          <w:tcPr>
            <w:tcW w:type="dxa" w:w="4365"/>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survival-demo-results.csv</w:t>
            </w:r>
          </w:p>
        </w:tc>
        <w:tc>
          <w:tcPr>
            <w:tcW w:type="dxa" w:w="2891"/>
            <w:tcBorders>
              <w:top w:val="nil" w:sz="0" w:space="0" w:color="000000"/>
              <w:left w:val="nil" w:sz="0" w:space="0" w:color="000000"/>
              <w:bottom w:val="nil" w:sz="0"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n、事件数、HR、CI、P</w:t>
            </w:r>
          </w:p>
        </w:tc>
      </w:tr>
      <w:tr>
        <w:tc>
          <w:tcPr>
            <w:tcW w:type="dxa" w:w="2154"/>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完整模型项</w:t>
            </w:r>
          </w:p>
        </w:tc>
        <w:tc>
          <w:tcPr>
            <w:tcW w:type="dxa" w:w="4365"/>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cox-forest-results.csv</w:t>
            </w:r>
          </w:p>
        </w:tc>
        <w:tc>
          <w:tcPr>
            <w:tcW w:type="dxa" w:w="2891"/>
            <w:tcBorders>
              <w:top w:val="nil" w:sz="0" w:space="0" w:color="000000"/>
              <w:left w:val="nil" w:sz="0" w:space="0" w:color="000000"/>
              <w:bottom w:val="single" w:sz="8" w:space="0" w:color="000000"/>
              <w:right w:val="nil" w:sz="0" w:space="0" w:color="000000"/>
              <w:insideH w:val="nil" w:sz="0" w:space="0" w:color="000000"/>
              <w:insideV w:val="nil" w:sz="0" w:space="0" w:color="000000"/>
            </w:tcBorders>
            <w:vAlign w:val="center"/>
          </w:tcPr>
          <w:p>
            <w:pPr>
              <w:spacing w:after="0" w:line="252" w:lineRule="auto"/>
              <w:jc w:val="left"/>
            </w:pPr>
            <w:r/>
            <w:r>
              <w:rPr>
                <w:rFonts w:ascii="Times New Roman" w:hAnsi="Times New Roman" w:eastAsia="宋体"/>
                <w:b w:val="0"/>
                <w:i w:val="0"/>
                <w:color w:val="000000"/>
                <w:sz w:val="17"/>
              </w:rPr>
              <w:t>方向、区间与标签</w:t>
            </w:r>
          </w:p>
        </w:tc>
      </w:tr>
    </w:tbl>
    <w:p>
      <w:pPr>
        <w:spacing w:after="40"/>
      </w:pPr>
    </w:p>
    <w:p>
      <w:pPr>
        <w:spacing w:line="300" w:lineRule="auto" w:after="100"/>
        <w:ind w:firstLine="420"/>
        <w:jc w:val="both"/>
      </w:pPr>
      <w:r>
        <w:rPr>
          <w:rFonts w:ascii="Times New Roman" w:hAnsi="Times New Roman" w:eastAsia="宋体"/>
          <w:b w:val="0"/>
          <w:i w:val="0"/>
          <w:color w:val="000000"/>
          <w:sz w:val="21"/>
        </w:rPr>
        <w:t>复核时应同时检查脚本标准输出和标准错误，不能以退出码或日志末尾替代 warning、缺失值、样本量变化和模型异常扫描。若发现样本量、事件数、方向或区间与当前报告不一致，应停止外发并定位最早产生差异的文件；在无法确定哪个版本正确时，不按修改时间或显著性选择结果。</w:t>
      </w:r>
    </w:p>
    <w:sectPr w:rsidR="00FC693F" w:rsidRPr="0006063C" w:rsidSect="00034616">
      <w:footerReference w:type="default" r:id="rId9"/>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