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0C0C" w14:textId="4A3E3851" w:rsidR="001C37BF" w:rsidRPr="00C1387B" w:rsidRDefault="00BE57CB" w:rsidP="001C37BF">
      <w:pPr>
        <w:spacing w:after="20" w:line="360" w:lineRule="auto"/>
        <w:ind w:left="-5"/>
        <w:jc w:val="center"/>
        <w:rPr>
          <w:b/>
          <w:sz w:val="28"/>
          <w:szCs w:val="28"/>
          <w:u w:val="single" w:color="000000"/>
        </w:rPr>
      </w:pPr>
      <w:r>
        <w:rPr>
          <w:rFonts w:ascii="Arial" w:hAnsi="Arial"/>
          <w:b/>
          <w:color w:val="000000"/>
          <w:sz w:val="24"/>
          <w:u w:val="none"/>
        </w:rPr>
        <w:t>PROG2002 – Web Development II</w:t>
      </w:r>
    </w:p>
    <w:p w14:paraId="04B6BC0B" w14:textId="532F0393" w:rsidR="001C37BF" w:rsidRPr="00C1387B" w:rsidRDefault="001C37BF" w:rsidP="00D52C67">
      <w:pPr>
        <w:spacing w:after="300" w:line="360" w:lineRule="auto"/>
        <w:ind w:left="-5"/>
        <w:jc w:val="center"/>
        <w:rPr>
          <w:b/>
          <w:sz w:val="28"/>
          <w:szCs w:val="28"/>
          <w:u w:val="single" w:color="000000"/>
        </w:rPr>
      </w:pPr>
      <w:r>
        <w:rPr>
          <w:rFonts w:ascii="Arial" w:hAnsi="Arial"/>
          <w:b/>
          <w:color w:val="000000"/>
          <w:sz w:val="24"/>
          <w:u w:val="none"/>
        </w:rPr>
        <w:t>Assignment 2: Use Case (A Dynamic Website)</w:t>
      </w:r>
    </w:p>
    <w:p w14:paraId="36BD6DBB" w14:textId="48FC1A38" w:rsidR="003E57B1" w:rsidRPr="00EE6EB1" w:rsidRDefault="007D6616" w:rsidP="00284520">
      <w:pPr>
        <w:tabs>
          <w:tab w:pos="2952" w:val="left"/>
          <w:tab w:pos="6048" w:val="left"/>
        </w:tabs>
        <w:spacing w:after="280" w:line="360" w:lineRule="auto"/>
        <w:ind w:left="-6" w:hanging="11"/>
        <w:rPr>
          <w:rFonts w:ascii="Arial" w:hAnsi="Arial" w:cs="Arial"/>
          <w:sz w:val="24"/>
          <w:szCs w:val="24"/>
        </w:rPr>
      </w:pPr>
      <w:r/>
      <w:r>
        <w:rPr>
          <w:rFonts w:ascii="Arial" w:hAnsi="Arial"/>
          <w:b/>
          <w:color w:val="000000"/>
          <w:sz w:val="24"/>
          <w:u w:val="none"/>
        </w:rPr>
        <w:t>Student ID:</w:t>
      </w:r>
      <w:r>
        <w:rPr>
          <w:rFonts w:ascii="Arial" w:hAnsi="Arial"/>
          <w:b/>
          <w:color w:val="000000"/>
          <w:sz w:val="24"/>
          <w:u w:val="none"/>
        </w:rPr>
        <w:tab/>
        <w:t>Last Name:</w:t>
      </w:r>
      <w:r>
        <w:rPr>
          <w:rFonts w:ascii="Arial" w:hAnsi="Arial"/>
          <w:b/>
          <w:color w:val="000000"/>
          <w:sz w:val="24"/>
          <w:u w:val="none"/>
        </w:rPr>
        <w:tab/>
        <w:t>First Name:</w:t>
      </w:r>
    </w:p>
    <w:p w14:paraId="72B1E9F9" w14:textId="3683E7DB" w:rsidR="001C37BF" w:rsidRPr="00EE6EB1" w:rsidRDefault="001C37BF" w:rsidP="00284520">
      <w:pPr>
        <w:spacing w:after="0" w:line="360" w:lineRule="auto"/>
        <w:ind w:left="-6" w:hanging="11"/>
        <w:rPr>
          <w:rFonts w:ascii="Arial" w:hAnsi="Arial" w:cs="Arial"/>
          <w:b/>
          <w:sz w:val="24"/>
          <w:szCs w:val="24"/>
        </w:rPr>
      </w:pPr>
      <w:r>
        <w:rPr>
          <w:rFonts w:ascii="Arial" w:hAnsi="Arial"/>
          <w:b/>
          <w:color w:val="000000"/>
          <w:sz w:val="24"/>
          <w:u w:val="none"/>
        </w:rPr>
        <w:t>Title of the project:</w:t>
      </w:r>
    </w:p>
    <w:p>
      <w:pPr>
        <w:pStyle w:val="Title"/>
        <w:keepNext w:val="0"/>
        <w:spacing w:line="360" w:lineRule="auto"/>
      </w:pPr>
      <w:r>
        <w:rPr>
          <w:rFonts w:ascii="Arial" w:hAnsi="Arial"/>
          <w:color w:val="000000"/>
          <w:sz w:val="24"/>
          <w:u w:val="none"/>
        </w:rPr>
        <w:t>Sydney Community Giving charity events website</w:t>
      </w:r>
    </w:p>
    <w:p w14:paraId="681DED50" w14:textId="5682A7F8" w:rsidR="001C37BF" w:rsidRPr="00EE6EB1" w:rsidRDefault="001C37BF"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Introduction/Motivation</w:t>
      </w:r>
    </w:p>
    <w:p>
      <w:pPr>
        <w:spacing w:line="360" w:lineRule="auto"/>
      </w:pPr>
      <w:r>
        <w:rPr>
          <w:rFonts w:ascii="Arial" w:hAnsi="Arial"/>
          <w:color w:val="000000"/>
          <w:sz w:val="24"/>
          <w:u w:val="none"/>
        </w:rPr>
        <w:t>Sydney Community Giving was created for this case study to list local fundraisers for food relief, youth mentoring, housing support and creative learning. The website gives visitors the date, suburb, ticket price and cause before they choose an event.</w:t>
      </w:r>
    </w:p>
    <w:p>
      <w:pPr>
        <w:spacing w:line="360" w:lineRule="auto"/>
      </w:pPr>
      <w:r>
        <w:rPr>
          <w:rFonts w:ascii="Arial" w:hAnsi="Arial"/>
          <w:color w:val="000000"/>
          <w:sz w:val="24"/>
          <w:u w:val="none"/>
        </w:rPr>
        <w:t>The sample calendar includes runs, a free makers market, concerts and dinners. These formats also allow the site to show both free and paid events clearly.</w:t>
      </w:r>
    </w:p>
    <w:p w14:paraId="1C7AC202" w14:textId="77777777" w:rsidR="00D52C67" w:rsidRPr="00EE6EB1" w:rsidRDefault="00D20484"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Problem Statement</w:t>
      </w:r>
    </w:p>
    <w:p>
      <w:pPr>
        <w:spacing w:line="360" w:lineRule="auto"/>
      </w:pPr>
      <w:r>
        <w:rPr>
          <w:rFonts w:ascii="Arial" w:hAnsi="Arial"/>
          <w:color w:val="000000"/>
          <w:sz w:val="24"/>
          <w:u w:val="none"/>
        </w:rPr>
        <w:t>Event information loses value quickly. A finished run should not remain in an upcoming list, and a suspended concert should not be advertised. Visitors need to narrow the calendar by date, location or type, then open the correct event to see its schedule, venue, purpose, ticket information and fundraising progress. Ticket purchasing and account management are outside this version.</w:t>
      </w:r>
    </w:p>
    <w:p w14:paraId="76E5D9EA" w14:textId="25698844" w:rsidR="00740652" w:rsidRDefault="00D87121" w:rsidP="00740652">
      <w:pPr>
        <w:pStyle w:val="Heading1"/>
        <w:spacing w:after="120" w:line="360" w:lineRule="auto"/>
        <w:ind w:left="-6" w:hanging="11"/>
        <w:rPr>
          <w:rFonts w:ascii="Arial" w:hAnsi="Arial" w:cs="Arial"/>
          <w:b/>
          <w:sz w:val="24"/>
          <w:szCs w:val="24"/>
        </w:rPr>
      </w:pPr>
      <w:r>
        <w:rPr>
          <w:rFonts w:ascii="Arial" w:hAnsi="Arial"/>
          <w:b/>
          <w:color w:val="000000"/>
          <w:sz w:val="24"/>
          <w:u w:val="none"/>
        </w:rPr>
        <w:t>Solution</w:t>
      </w:r>
    </w:p>
    <w:p>
      <w:pPr>
        <w:spacing w:line="360" w:lineRule="auto"/>
      </w:pPr>
      <w:r>
        <w:rPr>
          <w:rFonts w:ascii="Arial" w:hAnsi="Arial"/>
          <w:color w:val="000000"/>
          <w:sz w:val="24"/>
          <w:u w:val="none"/>
        </w:rPr>
        <w:t>MySQL stores organisations, categories and events. A Node.js server uses Express to provide three read-only API routes and serve the pages and assets from the same origin. The event_db.js file creates a MySQL connection pool using credentials from environment variables. The browser does not connect directly to MySQL.</w:t>
      </w:r>
    </w:p>
    <w:p>
      <w:pPr>
        <w:spacing w:line="360" w:lineRule="auto"/>
      </w:pPr>
      <w:r>
        <w:rPr>
          <w:rFonts w:ascii="Arial" w:hAnsi="Arial"/>
          <w:color w:val="000000"/>
          <w:sz w:val="24"/>
          <w:u w:val="none"/>
        </w:rPr>
        <w:t>The home.js script builds event cards from /api/events. The search.js script loads categories and sends selected filters to that route. The event.js script reads the ID in event.html?id=... and requests /api/events/:id. Each script displays the JSON data with DOM methods. The detail page has a registration form. Pressing Register shows "This feature is currently under construction." No registration data is sent.</w:t>
      </w:r>
    </w:p>
    <w:p w14:paraId="7422E8AA" w14:textId="7D85B834" w:rsidR="00D52F2A" w:rsidRDefault="0013350F"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Web UX</w:t>
      </w:r>
    </w:p>
    <w:p>
      <w:pPr>
        <w:spacing w:line="360" w:lineRule="auto"/>
      </w:pPr>
      <w:r>
        <w:rPr>
          <w:rFonts w:ascii="Arial" w:hAnsi="Arial"/>
          <w:color w:val="000000"/>
          <w:sz w:val="24"/>
          <w:u w:val="none"/>
        </w:rPr>
        <w:t>Home, Events and About appear in the navigation on every page. The home page presents the next event first and links each card to its detail page. On that page, the date, place, ticket price and organiser sit beside the description, cause and fundraising amounts.</w:t>
      </w:r>
    </w:p>
    <w:p>
      <w:pPr>
        <w:spacing w:line="360" w:lineRule="auto"/>
      </w:pPr>
      <w:r>
        <w:rPr>
          <w:rFonts w:ascii="Arial" w:hAnsi="Arial"/>
          <w:color w:val="000000"/>
          <w:sz w:val="24"/>
          <w:u w:val="none"/>
        </w:rPr>
        <w:t>The search form has a date input, a suburb or venue field, and an API-populated category selector. Visitors can use one field or several. Clear filters resets the controls and refreshes the results. A result count, an empty-state message and request-error text explain the outcome. At phone width the layout stacks into one column. Labels, visible keyboard focus, a skip link and live status messages support access by keyboard and assistive technology.</w:t>
      </w:r>
    </w:p>
    <w:p w14:paraId="20A3183F" w14:textId="1D57FD45" w:rsidR="001C37BF" w:rsidRDefault="00740652" w:rsidP="00284520">
      <w:pPr>
        <w:pStyle w:val="Heading1"/>
        <w:spacing w:after="120" w:line="360" w:lineRule="auto"/>
        <w:ind w:left="-6" w:hanging="11"/>
        <w:rPr>
          <w:rFonts w:ascii="Arial" w:hAnsi="Arial" w:cs="Arial"/>
          <w:b/>
          <w:sz w:val="24"/>
          <w:szCs w:val="24"/>
        </w:rPr>
      </w:pPr>
      <w:r>
        <w:rPr>
          <w:rFonts w:ascii="Arial" w:hAnsi="Arial"/>
          <w:b/>
          <w:color w:val="000000"/>
          <w:sz w:val="24"/>
          <w:u w:val="none"/>
        </w:rPr>
        <w:t>Data Schema</w:t>
      </w:r>
    </w:p>
    <w:p>
      <w:pPr>
        <w:spacing w:line="360" w:lineRule="auto"/>
      </w:pPr>
      <w:r>
        <w:rPr>
          <w:rFonts w:ascii="Arial" w:hAnsi="Arial"/>
          <w:color w:val="000000"/>
          <w:sz w:val="24"/>
          <w:u w:val="none"/>
        </w:rPr>
        <w:t>The charityevents_db database has three tables. One organisation can run many events, and one category can classify many events. Foreign keys on each event row require both referenced records to exist. Events also store the name, descriptions, date and times, venue, suburb, image filename, ticket price, fundraising amounts and suspension flag.</w:t>
      </w:r>
    </w:p>
    <w:p>
      <w:pPr>
        <w:keepNext/>
        <w:spacing w:after="20" w:line="360" w:lineRule="auto"/>
        <w:jc w:val="center"/>
      </w:pPr>
      <w:r>
        <w:drawing>
          <wp:inline xmlns:a="http://schemas.openxmlformats.org/drawingml/2006/main" xmlns:pic="http://schemas.openxmlformats.org/drawingml/2006/picture">
            <wp:extent cx="5623560" cy="1300448"/>
            <wp:docPr id="1" name="Picture 1" descr="One organisation has many events and one category has many events. Events carries both foreign keys."/>
            <wp:cNvGraphicFramePr>
              <a:graphicFrameLocks noChangeAspect="1"/>
            </wp:cNvGraphicFramePr>
            <a:graphic>
              <a:graphicData uri="http://schemas.openxmlformats.org/drawingml/2006/picture">
                <pic:pic>
                  <pic:nvPicPr>
                    <pic:cNvPr id="0" name="report-relations.png"/>
                    <pic:cNvPicPr/>
                  </pic:nvPicPr>
                  <pic:blipFill>
                    <a:blip r:embed="rId7"/>
                    <a:stretch>
                      <a:fillRect/>
                    </a:stretch>
                  </pic:blipFill>
                  <pic:spPr>
                    <a:xfrm>
                      <a:off x="0" y="0"/>
                      <a:ext cx="5623560" cy="1300448"/>
                    </a:xfrm>
                    <a:prstGeom prst="rect"/>
                  </pic:spPr>
                </pic:pic>
              </a:graphicData>
            </a:graphic>
          </wp:inline>
        </w:drawing>
      </w:r>
    </w:p>
    <w:p>
      <w:pPr>
        <w:spacing w:after="100" w:line="360" w:lineRule="auto"/>
        <w:jc w:val="center"/>
      </w:pPr>
      <w:r>
        <w:rPr>
          <w:rFonts w:ascii="Arial" w:hAnsi="Arial"/>
          <w:i/>
          <w:color w:val="000000"/>
          <w:sz w:val="24"/>
          <w:u w:val="none"/>
        </w:rPr>
        <w:t>Figure 1. Relationships between organisations, events and categories</w:t>
      </w:r>
    </w:p>
    <w:p>
      <w:pPr>
        <w:spacing w:line="360" w:lineRule="auto"/>
      </w:pPr>
      <w:r>
        <w:rPr>
          <w:rFonts w:ascii="Arial" w:hAnsi="Arial"/>
          <w:color w:val="000000"/>
          <w:sz w:val="24"/>
          <w:u w:val="none"/>
        </w:rPr>
        <w:t>The import file creates four categories and ten sample events: eight upcoming public events, one past event and one suspended event. Dates are calculated from the day of import. SQL checks reject negative ticket prices, zero targets and end times before start times. Indexes support date, visibility and category lookups.</w:t>
      </w:r>
    </w:p>
    <w:p w14:paraId="4BEDE052" w14:textId="6E0EFC5C" w:rsidR="00740652" w:rsidRDefault="00740652" w:rsidP="00740652">
      <w:pPr>
        <w:pStyle w:val="Heading1"/>
        <w:spacing w:after="120" w:line="360" w:lineRule="auto"/>
        <w:ind w:left="-6" w:hanging="11"/>
        <w:rPr>
          <w:rFonts w:ascii="Arial" w:hAnsi="Arial" w:cs="Arial"/>
          <w:b/>
          <w:sz w:val="24"/>
          <w:szCs w:val="24"/>
        </w:rPr>
      </w:pPr>
      <w:r>
        <w:rPr>
          <w:rFonts w:ascii="Arial" w:hAnsi="Arial"/>
          <w:b/>
          <w:color w:val="000000"/>
          <w:sz w:val="24"/>
          <w:u w:val="none"/>
        </w:rPr>
        <w:t>API design</w:t>
      </w:r>
    </w:p>
    <w:p>
      <w:pPr>
        <w:spacing w:line="360" w:lineRule="auto"/>
      </w:pPr>
      <w:r>
        <w:rPr>
          <w:rFonts w:ascii="Arial" w:hAnsi="Arial"/>
          <w:color w:val="000000"/>
          <w:sz w:val="24"/>
          <w:u w:val="none"/>
        </w:rPr>
        <w:t>All three routes retrieve data, so each uses GET. The page scripts send no request body. Search values belong in the query string, while the event ID belongs in the detail route path.</w:t>
      </w:r>
    </w:p>
    <w:tbl>
      <w:tblPr>
        <w:tblW w:type="auto" w:w="0"/>
        <w:tblLayout w:type="fixed"/>
        <w:tblLook w:firstColumn="1" w:firstRow="1" w:lastColumn="0" w:lastRow="0" w:noHBand="0" w:noVBand="1" w:val="04A0"/>
      </w:tblPr>
      <w:tblGrid>
        <w:gridCol w:w="2448"/>
        <w:gridCol w:w="3168"/>
        <w:gridCol w:w="3384"/>
      </w:tblGrid>
      <w:tr>
        <w:trPr>
          <w:tblHeader/>
        </w:trPr>
        <w:tc>
          <w:tcPr>
            <w:tcW w:type="dxa" w:w="3009"/>
            <w:vAlign w:val="center"/>
            <w:tcBorders>
              <w:top w:val="single" w:sz="4" w:color="B8C0C4"/>
              <w:left w:val="single" w:sz="4" w:color="B8C0C4"/>
              <w:bottom w:val="single" w:sz="4" w:color="B8C0C4"/>
              <w:right w:val="single" w:sz="4" w:color="B8C0C4"/>
            </w:tcBorders>
            <w:shd w:fill="E9EDEF"/>
          </w:tcPr>
          <w:p>
            <w:pPr>
              <w:spacing w:line="360" w:lineRule="auto" w:after="0"/>
            </w:pPr>
            <w:r/>
            <w:r>
              <w:rPr>
                <w:rFonts w:ascii="Arial" w:hAnsi="Arial"/>
                <w:b/>
                <w:color w:val="000000"/>
                <w:sz w:val="24"/>
                <w:u w:val="none"/>
              </w:rPr>
              <w:t>Route</w:t>
            </w:r>
          </w:p>
        </w:tc>
        <w:tc>
          <w:tcPr>
            <w:tcW w:type="dxa" w:w="3009"/>
            <w:vAlign w:val="center"/>
            <w:tcBorders>
              <w:top w:val="single" w:sz="4" w:color="B8C0C4"/>
              <w:left w:val="single" w:sz="4" w:color="B8C0C4"/>
              <w:bottom w:val="single" w:sz="4" w:color="B8C0C4"/>
              <w:right w:val="single" w:sz="4" w:color="B8C0C4"/>
            </w:tcBorders>
            <w:shd w:fill="E9EDEF"/>
          </w:tcPr>
          <w:p>
            <w:pPr>
              <w:spacing w:line="360" w:lineRule="auto" w:after="0"/>
            </w:pPr>
            <w:r/>
            <w:r>
              <w:rPr>
                <w:rFonts w:ascii="Arial" w:hAnsi="Arial"/>
                <w:b/>
                <w:color w:val="000000"/>
                <w:sz w:val="24"/>
                <w:u w:val="none"/>
              </w:rPr>
              <w:t>Request</w:t>
            </w:r>
          </w:p>
        </w:tc>
        <w:tc>
          <w:tcPr>
            <w:tcW w:type="dxa" w:w="3009"/>
            <w:vAlign w:val="center"/>
            <w:tcBorders>
              <w:top w:val="single" w:sz="4" w:color="B8C0C4"/>
              <w:left w:val="single" w:sz="4" w:color="B8C0C4"/>
              <w:bottom w:val="single" w:sz="4" w:color="B8C0C4"/>
              <w:right w:val="single" w:sz="4" w:color="B8C0C4"/>
            </w:tcBorders>
            <w:shd w:fill="E9EDEF"/>
          </w:tcPr>
          <w:p>
            <w:pPr>
              <w:spacing w:line="360" w:lineRule="auto" w:after="0"/>
            </w:pPr>
            <w:r/>
            <w:r>
              <w:rPr>
                <w:rFonts w:ascii="Arial" w:hAnsi="Arial"/>
                <w:b/>
                <w:color w:val="000000"/>
                <w:sz w:val="24"/>
                <w:u w:val="none"/>
              </w:rPr>
              <w:t>Successful response</w:t>
            </w:r>
          </w:p>
        </w:tc>
      </w:tr>
      <w:tr>
        <w:trPr>
          <w:cantSplit/>
        </w:trPr>
        <w:tc>
          <w:tcPr>
            <w:tcW w:type="dxa" w:w="244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GET /api/events</w:t>
            </w:r>
          </w:p>
        </w:tc>
        <w:tc>
          <w:tcPr>
            <w:tcW w:type="dxa" w:w="316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Optional date, location and categoryId in the query; no body.</w:t>
            </w:r>
          </w:p>
        </w:tc>
        <w:tc>
          <w:tcPr>
            <w:tcW w:type="dxa" w:w="3384"/>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JSON event summaries in date order; no suspended or finished events.</w:t>
            </w:r>
          </w:p>
        </w:tc>
      </w:tr>
      <w:tr>
        <w:trPr>
          <w:cantSplit/>
        </w:trPr>
        <w:tc>
          <w:tcPr>
            <w:tcW w:type="dxa" w:w="244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GET /api/categories</w:t>
            </w:r>
          </w:p>
        </w:tc>
        <w:tc>
          <w:tcPr>
            <w:tcW w:type="dxa" w:w="316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No parameters or body.</w:t>
            </w:r>
          </w:p>
        </w:tc>
        <w:tc>
          <w:tcPr>
            <w:tcW w:type="dxa" w:w="3384"/>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JSON array of category IDs and names.</w:t>
            </w:r>
          </w:p>
        </w:tc>
      </w:tr>
      <w:tr>
        <w:trPr>
          <w:cantSplit/>
        </w:trPr>
        <w:tc>
          <w:tcPr>
            <w:tcW w:type="dxa" w:w="244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GET /api/events/:id</w:t>
            </w:r>
          </w:p>
        </w:tc>
        <w:tc>
          <w:tcPr>
            <w:tcW w:type="dxa" w:w="3168"/>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Positive event ID in the path; no body.</w:t>
            </w:r>
          </w:p>
        </w:tc>
        <w:tc>
          <w:tcPr>
            <w:tcW w:type="dxa" w:w="3384"/>
            <w:vAlign w:val="center"/>
            <w:tcBorders>
              <w:top w:val="single" w:sz="4" w:color="B8C0C4"/>
              <w:left w:val="single" w:sz="4" w:color="B8C0C4"/>
              <w:bottom w:val="single" w:sz="4" w:color="B8C0C4"/>
              <w:right w:val="single" w:sz="4" w:color="B8C0C4"/>
            </w:tcBorders>
          </w:tcPr>
          <w:p>
            <w:pPr>
              <w:spacing w:line="360" w:lineRule="auto" w:after="0"/>
            </w:pPr>
            <w:r/>
            <w:r>
              <w:rPr>
                <w:rFonts w:ascii="Arial" w:hAnsi="Arial"/>
                <w:b w:val="0"/>
                <w:color w:val="000000"/>
                <w:sz w:val="24"/>
                <w:u w:val="none"/>
              </w:rPr>
              <w:t>One JSON event with its full description, purpose and fundraising amounts.</w:t>
            </w:r>
          </w:p>
        </w:tc>
      </w:tr>
    </w:tbl>
    <w:p>
      <w:pPr>
        <w:spacing w:before="140" w:line="360" w:lineRule="auto"/>
      </w:pPr>
      <w:r>
        <w:rPr>
          <w:rFonts w:ascii="Arial" w:hAnsi="Arial"/>
          <w:color w:val="000000"/>
          <w:sz w:val="24"/>
          <w:u w:val="none"/>
        </w:rPr>
        <w:t>For example, GET /api/events?location=Newtown&amp;categoryId=3 asks for Arts &amp; Music events in Newtown. While the sample concert is upcoming, the JSON array includes Enmore Benefit Night. Each result contains fields such as id, name, event_date, start_time, venue, suburb, ticket_price and category_name. Location is matched against venue, suburb and city.</w:t>
      </w:r>
    </w:p>
    <w:p>
      <w:pPr>
        <w:spacing w:line="360" w:lineRule="auto"/>
      </w:pPr>
      <w:r>
        <w:rPr>
          <w:rFonts w:ascii="Arial" w:hAnsi="Arial"/>
          <w:color w:val="000000"/>
          <w:sz w:val="24"/>
          <w:u w:val="none"/>
        </w:rPr>
        <w:t>The server validates dates and numeric IDs. Malformed values receive HTTP 400, an unknown or suspended detail ID receives 404, and a database failure receives 500. SQL placeholders hold user values, and the location search escapes LIKE wildcards. The list route excludes events whose end time has passed; the detail route excludes suspended events. POST, PUT and DELETE are reserved for later registration and administration work. The API smoke test covers filters, details and errors.</w:t>
      </w:r>
    </w:p>
    <w:p>
      <w:pPr>
        <w:pStyle w:val="Heading1"/>
        <w:spacing w:line="360" w:lineRule="auto"/>
      </w:pPr>
      <w:r>
        <w:rPr>
          <w:rFonts w:ascii="Arial" w:hAnsi="Arial"/>
          <w:b/>
          <w:color w:val="000000"/>
          <w:sz w:val="24"/>
          <w:u w:val="none"/>
        </w:rPr>
        <w:t>GenAI use declaration for this teaching example</w:t>
      </w:r>
    </w:p>
    <w:p>
      <w:pPr>
        <w:spacing w:line="360" w:lineRule="auto"/>
      </w:pPr>
      <w:r>
        <w:rPr>
          <w:rFonts w:ascii="Arial" w:hAnsi="Arial"/>
          <w:color w:val="000000"/>
          <w:sz w:val="24"/>
          <w:u w:val="none"/>
        </w:rPr>
        <w:t>OpenAI Codex was used to draft and format this instructor example. The identity fields above are intentionally blank. This declaration describes the example itself, not a student submission.</w:t>
      </w:r>
    </w:p>
    <w:sectPr w:rsidR="001C37BF" w:rsidRPr="00284520">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9109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qAUAS7dG2SwAAAA="/>
  </w:docVars>
  <w:rsids>
    <w:rsidRoot w:val="003E57B1"/>
    <w:rsid w:val="000C248B"/>
    <w:rsid w:val="0013350F"/>
    <w:rsid w:val="001C37BF"/>
    <w:rsid w:val="00284520"/>
    <w:rsid w:val="00291CD1"/>
    <w:rsid w:val="002D6FEF"/>
    <w:rsid w:val="003B48B3"/>
    <w:rsid w:val="003E57B1"/>
    <w:rsid w:val="006E5544"/>
    <w:rsid w:val="006F4462"/>
    <w:rsid w:val="00704BC3"/>
    <w:rsid w:val="00740652"/>
    <w:rsid w:val="00755517"/>
    <w:rsid w:val="007D04F8"/>
    <w:rsid w:val="007D6616"/>
    <w:rsid w:val="00874D72"/>
    <w:rsid w:val="008A6504"/>
    <w:rsid w:val="008A78C6"/>
    <w:rsid w:val="00921856"/>
    <w:rsid w:val="00A55818"/>
    <w:rsid w:val="00B22D12"/>
    <w:rsid w:val="00BE57CB"/>
    <w:rsid w:val="00C1387B"/>
    <w:rsid w:val="00C7588A"/>
    <w:rsid w:val="00CB150D"/>
    <w:rsid w:val="00D20484"/>
    <w:rsid w:val="00D52C67"/>
    <w:rsid w:val="00D52F2A"/>
    <w:rsid w:val="00D87121"/>
    <w:rsid w:val="00D94666"/>
    <w:rsid w:val="00E37F8F"/>
    <w:rsid w:val="00E5460F"/>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360" w:lineRule="auto"/>
      <w:ind w:left="10" w:hanging="10"/>
    </w:pPr>
    <w:rPr>
      <w:rFonts w:ascii="Arial" w:eastAsia="Calibri" w:hAnsi="Arial" w:cs="Calibr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 w:type="paragraph" w:customStyle="1" w:styleId="Heading1">
    <w:name w:val="heading 1"/>
    <w:pPr>
      <w:keepNext/>
      <w:spacing w:line="360" w:lineRule="auto" w:before="260" w:after="80"/>
    </w:pPr>
    <w:rPr>
      <w:rFonts w:ascii="Arial" w:hAnsi="Arial"/>
      <w:b/>
      <w:color w:val="000000"/>
      <w:sz w:val="24"/>
    </w:rPr>
  </w:style>
  <w:style w:type="paragraph" w:customStyle="1" w:styleId="Title">
    <w:name w:val="Title"/>
    <w:pPr>
      <w:spacing w:line="360" w:lineRule="auto" w:after="200"/>
    </w:pPr>
    <w:rPr>
      <w:rFonts w:ascii="Arial" w:hAnsi="Arial"/>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118</Words>
  <Characters>679</Characters>
  <Application>Microsoft Office Word</Application>
  <DocSecurity>0</DocSecurity>
  <Lines>5</Lines>
  <Paragraphs>1</Paragraphs>
  <ScaleCrop>false</ScaleCrop>
  <Company/>
  <LinksUpToDate>false</LinksUpToDate>
  <CharactersWithSpaces>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36</cp:revision>
  <dcterms:created xsi:type="dcterms:W3CDTF">2020-09-28T13:38:00Z</dcterms:created>
  <dcterms:modified xsi:type="dcterms:W3CDTF">2025-09-04T04:58:00Z</dcterms:modified>
</cp:coreProperties>
</file>