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Analyse des doublons — Listes d'invités</w:t>
      </w:r>
    </w:p>
    <w:p>
      <w:r>
        <w:rPr>
          <w:i/>
          <w:iCs/>
          <w:sz w:val="22"/>
          <w:szCs w:val="22"/>
        </w:rPr>
        <w:t xml:space="preserve">Mariage Maeva &amp; Felix — Sites Dote et Civil</w:t>
      </w:r>
    </w:p>
    <w:p>
      <w:r>
        <w:rPr>
          <w:color w:val="666666"/>
          <w:sz w:val="20"/>
          <w:szCs w:val="20"/>
        </w:rPr>
        <w:t xml:space="preserve">Document généré le 13 juillet 2026</w:t>
      </w:r>
    </w:p>
    <w:p/>
    <w:p>
      <w:pPr>
        <w:pStyle w:val="Heading2"/>
      </w:pPr>
      <w:r>
        <w:t xml:space="preserve">1. Doublons confirmés (même nom, même numéro)</w:t>
      </w:r>
    </w:p>
    <w:p>
      <w:r>
        <w:rPr>
          <w:sz w:val="20"/>
          <w:szCs w:val="20"/>
        </w:rPr>
        <w:t xml:space="preserve">Ces entrées sont très probablement la même personne saisie deux fois. SQL de suppression déjà fourni.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400"/>
        <w:gridCol w:w="1900"/>
        <w:gridCol w:w="1000"/>
      </w:tblGrid>
      <w:tr>
        <w:tc>
          <w:tcPr>
            <w:tcW w:type="dxa" w:w="1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4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  <w:tc>
          <w:tcPr>
            <w:tcW w:type="dxa" w:w="1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10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Granse Mike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GRANSEMI-MWTD / GRANSEMI-XBY3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+2250747620330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 MWTD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Civil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Granse Mike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GRANSEMI-QLMR / GRANSEMI-SAY6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+2250747620330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 SAY6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Civil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Etienne Bad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ETIENNEB-6VXP / ETIENNEB-2K59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+2250777305969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 2K59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Civil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/ TEST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TEST-FVCO / TEST-LROD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07 01 764 521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Supprimer les deux</w:t>
            </w:r>
          </w:p>
        </w:tc>
      </w:tr>
    </w:tbl>
    <w:p/>
    <w:p>
      <w:pPr>
        <w:pStyle w:val="Heading2"/>
      </w:pPr>
      <w:r>
        <w:t xml:space="preserve">2. Doublons probables (même numéro, nom écrit différemment)</w:t>
      </w:r>
    </w:p>
    <w:p>
      <w:r>
        <w:rPr>
          <w:sz w:val="20"/>
          <w:szCs w:val="20"/>
        </w:rPr>
        <w:t xml:space="preserve">Présents sur les deux sites. À confirmer avant suppression.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200"/>
      </w:tblGrid>
      <w:tr>
        <w:tc>
          <w:tcPr>
            <w:tcW w:type="dxa" w:w="44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Noms (Dote + Civil)</w:t>
            </w:r>
          </w:p>
        </w:tc>
        <w:tc>
          <w:tcPr>
            <w:tcW w:type="dxa" w:w="26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 Koffi Lizie Olivier / Maitre Koffi Olivier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+2250707457435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confirmer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Kouadio Blandine / KOUADIO Blandine Nro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+2250777437686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confirmer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 Yaba Thierry / Yaba Thierry Michel Louma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+2250707972101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confirmer</w:t>
            </w:r>
          </w:p>
        </w:tc>
      </w:tr>
    </w:tbl>
    <w:p/>
    <w:p>
      <w:pPr>
        <w:pStyle w:val="Heading2"/>
      </w:pPr>
      <w:r>
        <w:t xml:space="preserve">3. Même numéro, personnes différentes (pas des doublons)</w:t>
      </w:r>
    </w:p>
    <w:p>
      <w:r>
        <w:rPr>
          <w:sz w:val="20"/>
          <w:szCs w:val="20"/>
        </w:rPr>
        <w:t xml:space="preserve">Numéro partagé par des proches (famille/couple) mais noms clairement distincts. Aucune action nécessaire.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200"/>
      </w:tblGrid>
      <w:tr>
        <w:tc>
          <w:tcPr>
            <w:tcW w:type="dxa" w:w="44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Noms</w:t>
            </w:r>
          </w:p>
        </w:tc>
        <w:tc>
          <w:tcPr>
            <w:tcW w:type="dxa" w:w="26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N'Guessan Béni / N'guessan Roland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+2250709063399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 un doublon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Bance Sarah / BANCE Adama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22656376713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 un doublon</w:t>
            </w:r>
          </w:p>
        </w:tc>
      </w:tr>
      <w:tr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Oué Lucie / Agnimel Anna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330658973858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 un doublon</w:t>
            </w:r>
          </w:p>
        </w:tc>
      </w:tr>
    </w:tbl>
    <w:p/>
    <w:p>
      <w:r>
        <w:rPr>
          <w:sz w:val="20"/>
          <w:szCs w:val="20"/>
        </w:rPr>
        <w:t xml:space="preserve">Par ailleurs, 11 (Dote) et 20 (Civil) numéros sont partagés par des couples/proches clairement identifiés (ex: "Épouse de X", "Me X"), ce qui est normal et ne nécessite aucune correction.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2026-07-13T14:51:44.850Z</dcterms:created>
  <dcterms:modified xsi:type="dcterms:W3CDTF">2026-07-13T14:51:44.850Z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