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Civil (01.08.2026)</w:t>
      </w:r>
    </w:p>
    <w:p>
      <w:pPr>
        <w:spacing w:after="300"/>
      </w:pPr>
      <w:r>
        <w:t xml:space="preserve">Invités non notifiés — au 21 juillet 2026</w:t>
      </w:r>
    </w:p>
    <w:p>
      <w:pPr>
        <w:pStyle w:val="Heading2"/>
        <w:spacing w:after="150" w:before="300"/>
      </w:pPr>
      <w:r>
        <w:t xml:space="preserve">Non notifiés (numéro manquant/invalide ou jamais notifié) (5)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2000"/>
      </w:tblGrid>
      <w:tr>
        <w:trPr>
          <w:tblHeader/>
        </w:trPr>
        <w:tc>
          <w:tcPr>
            <w:tcW w:type="dxa" w:w="5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0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KANGA Agnes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KANGA Sonia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2026-07-20T23:48:03.069Z</dcterms:created>
  <dcterms:modified xsi:type="dcterms:W3CDTF">2026-07-20T23:48:03.069Z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