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3366"/>
          <w:sz w:val="36"/>
        </w:rPr>
        <w:t>Дастури истифодабарии Портали ягонаи маорифи ноҳияи Зафаробод</w:t>
      </w:r>
    </w:p>
    <w:p>
      <w:pPr>
        <w:jc w:val="center"/>
      </w:pPr>
      <w:r>
        <w:rPr>
          <w:rFonts w:ascii="Calibri" w:hAnsi="Calibri"/>
          <w:b/>
          <w:color w:val="003366"/>
          <w:sz w:val="36"/>
        </w:rPr>
        <w:t>(Барои ҳамоҳангсозон, муовинони директор ва омӯзгорон)</w:t>
      </w:r>
    </w:p>
    <w:p>
      <w:r>
        <w:rPr>
          <w:rFonts w:ascii="Calibri" w:hAnsi="Calibri"/>
          <w:b w:val="0"/>
          <w:sz w:val="22"/>
        </w:rPr>
        <w:t>Ин дастур ба муовинони директор (завучҳо), директорони муассиса ва омӯзгорон дастурҳоро оид ба истифодаи Портали ягонаи маорифи ноҳияи Зафаробод пешниҳод менамояд. Дар ин ҷо қадам-ба-қадам шарҳ дода шудааст, ки чӣ тавр ба тизим ворид шудан, синфҳоро идора кардан, хонандагон ва омӯзгоронро тезкор ворид намудан, дарсҳоро тақсим кардан ва журналҳои холгузорӣ пур кардан.</w:t>
      </w:r>
    </w:p>
    <w:p>
      <w:pPr>
        <w:pStyle w:val="Heading1"/>
      </w:pPr>
      <w:r>
        <w:rPr>
          <w:rFonts w:ascii="Calibri" w:hAnsi="Calibri"/>
          <w:b/>
          <w:color w:val="003366"/>
          <w:sz w:val="32"/>
        </w:rPr>
        <w:t>1. Вуруд ба тизим</w:t>
      </w:r>
    </w:p>
    <w:p>
      <w:r>
        <w:rPr>
          <w:rFonts w:ascii="Calibri" w:hAnsi="Calibri"/>
          <w:b w:val="0"/>
          <w:sz w:val="22"/>
        </w:rPr>
        <w:t>Порталро танҳо корбарони бақайдгирифта метавонанд истифода баранд. Завучҳо ҳар як муассисаро идора мекунанд, директорҳо маълумоти муассисаи худ ва омӯзгоронро мебинанд, омӯзгорон холгузорӣ мекунанд.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Браузери худро (Chrome, Edge ё Firefox) кушода, суроғаи порталро нависед.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Дар саҳифаи вуруд логин ва рамзи худро ворид кунед.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Логинҳои завуч ба шакли zavuch_[рақами мактаб] мебошанд, масалан zavuch_20 барои муассисаи №20.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Рамз ҳангоми бақайдгирӣ дода шудааст. Агар онро фаромӯш карда бошед, бо Оҳсар Дӯсарович тамос гиред.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Рол</w:t>
            </w:r>
          </w:p>
        </w:tc>
        <w:tc>
          <w:tcPr>
            <w:tcW w:type="dxa" w:w="2880"/>
            <w:shd w:fill="003366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Логин (намуна)</w:t>
            </w:r>
          </w:p>
        </w:tc>
        <w:tc>
          <w:tcPr>
            <w:tcW w:type="dxa" w:w="2880"/>
            <w:shd w:fill="003366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Рамз (намуна)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Маориф мудир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director_20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Director_20_2026@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Завуч / Ҳамоҳангсоз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zavuch_20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Zavuch_20_2026@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Омӯзгор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teacher_M20_1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 w:val="0"/>
                <w:sz w:val="22"/>
              </w:rPr>
              <w:t>Teacher_M20_1@2026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r>
              <w:rPr>
                <w:rFonts w:ascii="Calibri" w:hAnsi="Calibri"/>
                <w:b/>
                <w:color w:val="856404"/>
                <w:sz w:val="22"/>
              </w:rPr>
              <w:t>Эзоҳ:</w:t>
            </w:r>
          </w:p>
          <w:p>
            <w:r>
              <w:rPr>
                <w:rFonts w:ascii="Calibri" w:hAnsi="Calibri"/>
                <w:b w:val="0"/>
                <w:sz w:val="22"/>
              </w:rPr>
              <w:t>Логин ва рамзро бо дигарон нашарик намоед. Дар сурати шубҳа дар бехатарии ҳисоб, дарҳол онро иваз кунед.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3366"/>
          <w:sz w:val="32"/>
        </w:rPr>
        <w:t>2. Идоракунии синфҳо</w:t>
      </w:r>
    </w:p>
    <w:p>
      <w:r>
        <w:rPr>
          <w:rFonts w:ascii="Calibri" w:hAnsi="Calibri"/>
          <w:b w:val="0"/>
          <w:sz w:val="22"/>
        </w:rPr>
        <w:t>Пас аз вуруд, аз менюи асосӣ «Муассисаҳо»-ро зер карда, муассисаи худро интихоб намоед. Сипас «Синфҳо»-ро пахш кунед.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Саҳифаи «Синфҳо» рӯйхати синфҳои муассисаро нишон медиҳад.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Ҳар як синф аз рӯи хонандагоне, ки ворид шудаанд, ба таври худкор пайдо мешавад.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Барои дидани рӯйхати хонандагони синф, дар сатри он синф тугмаи «Холҳо»-ро зер кунед.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Барои иловаи синфи нав, аввал хонандагони он синфро ё дастӣ ворид кунед, ё шаблони Excel-ро истифода баред.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Синфҳои нав ҳангоми воридкунии аввалин хонанда аз Excel ё дастӣ ба таври худкор пайдо мешаванд.</w:t>
      </w:r>
    </w:p>
    <w:p>
      <w:pPr>
        <w:pStyle w:val="Heading1"/>
      </w:pPr>
      <w:r>
        <w:rPr>
          <w:rFonts w:ascii="Calibri" w:hAnsi="Calibri"/>
          <w:b/>
          <w:color w:val="003366"/>
          <w:sz w:val="32"/>
        </w:rPr>
        <w:t>3. Вориди якбораи хонандагон тавассути Excel</w:t>
      </w:r>
    </w:p>
    <w:p>
      <w:r>
        <w:rPr>
          <w:rFonts w:ascii="Calibri" w:hAnsi="Calibri"/>
          <w:b w:val="0"/>
          <w:sz w:val="22"/>
        </w:rPr>
        <w:t>Барои суръат бахшидани вориди рӯйхати хонандагон, портал шаблони оқилонаи Excel дорад. Ин шаблон рақами хонандаро ба таври худкор месозад.</w:t>
      </w:r>
    </w:p>
    <w:p>
      <w:pPr>
        <w:pStyle w:val="Heading2"/>
      </w:pPr>
      <w:r>
        <w:rPr>
          <w:rFonts w:ascii="Calibri" w:hAnsi="Calibri"/>
          <w:b/>
          <w:color w:val="003366"/>
          <w:sz w:val="28"/>
        </w:rPr>
        <w:t>3.1. Боргирии шаблон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Аз саҳифаи «Синфҳо» ё аз саҳифаи ҷузъиёти синф, тугмаи «Боргирии шаблон»-ро зер кунед.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Файли «Шаблони_Хонандагон.xlsx» ба компютератон бор гирифта мешавад.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Шаблонро бо Microsoft Excel ё LibreOffice Calc кушоед.</w:t>
      </w:r>
    </w:p>
    <w:p>
      <w:pPr>
        <w:pStyle w:val="Heading2"/>
      </w:pPr>
      <w:r>
        <w:rPr>
          <w:rFonts w:ascii="Calibri" w:hAnsi="Calibri"/>
          <w:b/>
          <w:color w:val="003366"/>
          <w:sz w:val="28"/>
        </w:rPr>
        <w:t>3.2. Пур кардани шаблон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Сутуни A — «№ мактаб»: дорои формула аст, онро тағйир надиҳед. Сутун қулф карда шудааст.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Сутуни B — «№ синф»: дорои формула аст, онро тағйир надиҳед. Сутун қулф карда шудааст.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Сутуни C — «Ному насаб»: номи хонандаро бо ҳарфи калони аввал нависед, масалан «Раҷабов А.». Сутун боз аст.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Сутуни D — «Синф»: синфи хонандаро нависед, масалан «11-А», «10-Б», «5-В». Сутуни матнӣ аст.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Формат рақами телефон ё рақамҳои дигар: агар қимматҳои рақамӣ ворид кунед, Excel метавонад онҳоро ба рақам табдил диҳад. Барои пешгирии ин, сутунро ҳамчун матн формат кунед ё апостроф гузоред.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Сутун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Ном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Ҳолат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Шарҳ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№ мактаб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Қулф кардашуда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Формулаи худкор, дастакалӣ тағйир дода намешавад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№ синф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Қулф кардашуда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Формулаи худкор барои рақами синф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Ному насаб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Боз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Номи пурраи хонанда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Синф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Боз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Синф бо ҳарф, масалан 11-А</w:t>
            </w:r>
          </w:p>
        </w:tc>
      </w:tr>
    </w:tbl>
    <w:p/>
    <w:p>
      <w:pPr>
        <w:pStyle w:val="Heading2"/>
      </w:pPr>
      <w:r>
        <w:rPr>
          <w:rFonts w:ascii="Calibri" w:hAnsi="Calibri"/>
          <w:b/>
          <w:color w:val="003366"/>
          <w:sz w:val="28"/>
        </w:rPr>
        <w:t>3.3. Боркунии файл ба портал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Файлро нигоҳ дошта, портал кушоед.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Ба саҳифаи «Синфҳо» баргашта, тугмаи «Воридоти Excel»-ро зер кунед.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Файли пуршударо интихоб кунед ва бор кунед.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Пас аз боркунии муваффақ, хонандагон дар рӯйхати синф пайдо мешаванд.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r>
              <w:rPr>
                <w:rFonts w:ascii="Calibri" w:hAnsi="Calibri"/>
                <w:b/>
                <w:color w:val="856404"/>
                <w:sz w:val="22"/>
              </w:rPr>
              <w:t>Эзоҳ:</w:t>
            </w:r>
          </w:p>
          <w:p>
            <w:r>
              <w:rPr>
                <w:rFonts w:ascii="Calibri" w:hAnsi="Calibri"/>
                <w:b w:val="0"/>
                <w:sz w:val="22"/>
              </w:rPr>
              <w:t>Агар сутунҳои A ё B иваз карда шаванд, формулаҳо вайрон мешаванд. Парол барои қуфл: maorif_zafarobod.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3366"/>
          <w:sz w:val="32"/>
        </w:rPr>
        <w:t>4. Вориди якбораи омӯзгорон тавассути Excel</w:t>
      </w:r>
    </w:p>
    <w:p>
      <w:r>
        <w:rPr>
          <w:rFonts w:ascii="Calibri" w:hAnsi="Calibri"/>
          <w:b w:val="0"/>
          <w:sz w:val="22"/>
        </w:rPr>
        <w:t>Барои суръат бахшидани вориди омӯзгорон, аз шаблони махсус истифода баред.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Аз менюи «Муассисаҳо» муассисаи худро кушоед.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Ба «Омӯзгорон» гузаред.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Тугмаи «Шаблони омӯзгорон»-ро зер кунед. Файли «Shabloni_Omuzgoron.xlsx» бор гирифта мешавад.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Сутуни A дорои формулаи рақами худкор аст. Сутунҳои B, C, D ва E бозанд.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Сутун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Ном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Ҳолат</w:t>
            </w:r>
          </w:p>
        </w:tc>
        <w:tc>
          <w:tcPr>
            <w:tcW w:type="dxa" w:w="2160"/>
            <w:shd w:fill="003366"/>
          </w:tcPr>
          <w:p>
            <w:r>
              <w:rPr>
                <w:rFonts w:ascii="Calibri" w:hAnsi="Calibri"/>
                <w:b/>
                <w:color w:val="FFFFFF"/>
                <w:sz w:val="22"/>
              </w:rPr>
              <w:t>Шарҳ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A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Қулф кардашуда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Формулаи рақами худкор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B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Ному насаби омӯзгор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Боз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Номи пурра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C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Рақами телефон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Боз, матн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Масалан +992901234567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D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Маълумот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Боз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Дараҷаи таълимӣ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Ихтисос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Боз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 w:val="0"/>
                <w:sz w:val="22"/>
              </w:rPr>
              <w:t>Фан ё ихтисос</w:t>
            </w:r>
          </w:p>
        </w:tc>
      </w:tr>
    </w:tbl>
    <w:p/>
    <w:p>
      <w:pPr>
        <w:pStyle w:val="ListNumber"/>
      </w:pPr>
      <w:r>
        <w:rPr>
          <w:rFonts w:ascii="Calibri" w:hAnsi="Calibri"/>
          <w:b w:val="0"/>
          <w:sz w:val="22"/>
        </w:rPr>
        <w:t>Файлро пур карда, нигоҳ дошта, тавассути тугмаи «Воридоти омӯзгорон» бор кунед.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Пас аз ворид, логин ва рамзи ҳар омӯзгор намоиш дода мешавад. Ин рӯйхатро чоп кунед ё нигоҳ доред.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r>
              <w:rPr>
                <w:rFonts w:ascii="Calibri" w:hAnsi="Calibri"/>
                <w:b/>
                <w:color w:val="856404"/>
                <w:sz w:val="22"/>
              </w:rPr>
              <w:t>Маслиҳат:</w:t>
            </w:r>
          </w:p>
          <w:p>
            <w:r>
              <w:rPr>
                <w:rFonts w:ascii="Calibri" w:hAnsi="Calibri"/>
                <w:b w:val="0"/>
                <w:sz w:val="22"/>
              </w:rPr>
              <w:t>Рақами телефонро ҳамчун матн ворид кунед, то Excel онро рақам накунад. Номро бо ҳарфи калони аввал нависед.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3366"/>
          <w:sz w:val="32"/>
        </w:rPr>
        <w:t>5. Тақсимоти дарсҳо</w:t>
      </w:r>
    </w:p>
    <w:p>
      <w:r>
        <w:rPr>
          <w:rFonts w:ascii="Calibri" w:hAnsi="Calibri"/>
          <w:b w:val="0"/>
          <w:sz w:val="22"/>
        </w:rPr>
        <w:t>Ин қисм имкон медиҳад, ки барои ҳар як синф ва фан, омӯзгори масъул таъин карда шавад.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Аз менюи боло «Тақсимоти дарсҳо»-ро интихоб кунед.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Дар ҷадвал дар ҳар сатр синф, фан ва рӯйхати омӯзгорон нишон дода мешавад.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Аз менюи кушодашаванда дар сутуни «Омӯзгори масъул» омӯзгори дилхоҳро интихоб кунед.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Барои ҳар як сатри дигар, ки бояд таъин шавад, ҳамин амалро такрор кунед.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Тугмаи «Сабт кардан»-ро зер кунед. Пас аз он паёми муваффақият намоиш дода мешавад.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r>
              <w:rPr>
                <w:rFonts w:ascii="Calibri" w:hAnsi="Calibri"/>
                <w:b/>
                <w:color w:val="856404"/>
                <w:sz w:val="22"/>
              </w:rPr>
              <w:t>Эзоҳ:</w:t>
            </w:r>
          </w:p>
          <w:p>
            <w:r>
              <w:rPr>
                <w:rFonts w:ascii="Calibri" w:hAnsi="Calibri"/>
                <w:b w:val="0"/>
                <w:sz w:val="22"/>
              </w:rPr>
              <w:t>Танҳо омӯзгорони муассисаи худатон дар рӯйхати интихоб нишон дода мешаванд.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003366"/>
          <w:sz w:val="32"/>
        </w:rPr>
        <w:t>6. Холгузорӣ барои омӯзгорон</w:t>
      </w:r>
    </w:p>
    <w:p>
      <w:r>
        <w:rPr>
          <w:rFonts w:ascii="Calibri" w:hAnsi="Calibri"/>
          <w:b w:val="0"/>
          <w:sz w:val="22"/>
        </w:rPr>
        <w:t>Омӯзгорон пас аз вуруд метавонанд журнали холгузории худро кушоянд.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Омӯзгор бо логини худ (teacher_M[рақами мактаб]_[counter]) ворид мешавад, масалан teacher_M20_1.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Синф ва фани вобастаро аз рӯйхати худ интихоб мекунад.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Дар саҳифаи журнал: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Барои ҳар як хонанда холи рақамӣ (1-10) ворид кунед.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Ҳозирӣ (+ ё -) ва хулқ-атвор (1-5) сабт кунед.</w:t>
      </w:r>
    </w:p>
    <w:p>
      <w:pPr>
        <w:pStyle w:val="ListBullet"/>
      </w:pPr>
      <w:r>
        <w:rPr>
          <w:rFonts w:ascii="Calibri" w:hAnsi="Calibri"/>
          <w:b w:val="0"/>
          <w:sz w:val="22"/>
        </w:rPr>
        <w:t>Санаи холгузориро тасдиқ кунед.</w:t>
      </w:r>
    </w:p>
    <w:p>
      <w:pPr>
        <w:pStyle w:val="ListNumber"/>
      </w:pPr>
      <w:r>
        <w:rPr>
          <w:rFonts w:ascii="Calibri" w:hAnsi="Calibri"/>
          <w:b w:val="0"/>
          <w:sz w:val="22"/>
        </w:rPr>
        <w:t>Холҳои чорякро метавонед ба таври худкор ё дастӣ ҳисоб карда, ба низом ворид намоед.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3CD"/>
          </w:tcPr>
          <w:p>
            <w:r>
              <w:rPr>
                <w:rFonts w:ascii="Calibri" w:hAnsi="Calibri"/>
                <w:b/>
                <w:color w:val="856404"/>
                <w:sz w:val="22"/>
              </w:rPr>
              <w:t>Эзоҳ:</w:t>
            </w:r>
          </w:p>
          <w:p>
            <w:r>
              <w:rPr>
                <w:rFonts w:ascii="Calibri" w:hAnsi="Calibri"/>
                <w:b w:val="0"/>
                <w:sz w:val="22"/>
              </w:rPr>
              <w:t>Холҳо ба таври онлайн нигоҳ дошта мешаванд ва зуд ба рейтинги синф ва муассиса таъсир мерасонанд.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