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36"/>
        </w:rPr>
        <w:t>Дастури иловаи фанҳо дар портали маориф</w:t>
      </w:r>
    </w:p>
    <w:p>
      <w:pPr>
        <w:jc w:val="center"/>
      </w:pPr>
      <w:r>
        <w:rPr>
          <w:rFonts w:ascii="Calibri" w:hAnsi="Calibri"/>
          <w:b/>
          <w:color w:val="003366"/>
          <w:sz w:val="36"/>
        </w:rPr>
        <w:t>(Иловаи якка ва оммавӣ барои завучҳо)</w:t>
      </w:r>
    </w:p>
    <w:p>
      <w:r>
        <w:rPr>
          <w:rFonts w:ascii="Calibri" w:hAnsi="Calibri"/>
          <w:b w:val="0"/>
          <w:sz w:val="22"/>
        </w:rPr>
        <w:t>Ин дастур барои завучҳо ва администраторони муассиса таҳия шудааст. Дар он шарҳ дода мешавад, ки чӣ тавр як фанро ба синфи алоҳида илова кардан мумкин аст ва чӣ тавр фанро барои ҳамаи синфҳои як синф (масалан, ҳамаи синфҳои 8) бо як амал илова кардан мумкин аст.</w:t>
      </w:r>
    </w:p>
    <w:p>
      <w:pPr>
        <w:pStyle w:val="Heading1"/>
      </w:pPr>
      <w:r>
        <w:rPr>
          <w:rFonts w:ascii="Calibri" w:hAnsi="Calibri"/>
          <w:b/>
          <w:color w:val="003366"/>
          <w:sz w:val="32"/>
        </w:rPr>
        <w:t>1. Иловаи яккаи фан ба синф</w:t>
      </w:r>
    </w:p>
    <w:p>
      <w:r>
        <w:rPr>
          <w:rFonts w:ascii="Calibri" w:hAnsi="Calibri"/>
          <w:b w:val="0"/>
          <w:sz w:val="22"/>
        </w:rPr>
        <w:t>Агар лозим бошад, ки ба як синфи мушаххас танҳо як фан илова шавад, ин қадамҳоро анҷом диҳед:</w:t>
      </w:r>
    </w:p>
    <w:p>
      <w:pPr>
        <w:pStyle w:val="ListNumber"/>
      </w:pPr>
      <w:r>
        <w:rPr>
          <w:rFonts w:ascii="Calibri" w:hAnsi="Calibri"/>
          <w:b w:val="0"/>
          <w:sz w:val="22"/>
        </w:rPr>
        <w:t>Ба Админ панел гузаред (суроға: /admin/) ва бо ҳисоби superuser ё завуч воред шавед.</w:t>
      </w:r>
    </w:p>
    <w:p>
      <w:pPr>
        <w:pStyle w:val="ListNumber"/>
      </w:pPr>
      <w:r>
        <w:rPr>
          <w:rFonts w:ascii="Calibri" w:hAnsi="Calibri"/>
          <w:b w:val="0"/>
          <w:sz w:val="22"/>
        </w:rPr>
        <w:t>Аз рӯйхат «Фанҳои синфӣ»-ро кушоед.</w:t>
      </w:r>
    </w:p>
    <w:p>
      <w:pPr>
        <w:pStyle w:val="ListNumber"/>
      </w:pPr>
      <w:r>
        <w:rPr>
          <w:rFonts w:ascii="Calibri" w:hAnsi="Calibri"/>
          <w:b w:val="0"/>
          <w:sz w:val="22"/>
        </w:rPr>
        <w:t>Тугмаи «Иловаи Фани синф»-ро зер кунед.</w:t>
      </w:r>
    </w:p>
    <w:p>
      <w:pPr>
        <w:pStyle w:val="ListNumber"/>
      </w:pPr>
      <w:r>
        <w:rPr>
          <w:rFonts w:ascii="Calibri" w:hAnsi="Calibri"/>
          <w:b w:val="0"/>
          <w:sz w:val="22"/>
        </w:rPr>
        <w:t>Дар майдони «Муассиса» муассисаи мақсаднокро интихоб кунед.</w:t>
      </w:r>
    </w:p>
    <w:p>
      <w:pPr>
        <w:pStyle w:val="ListNumber"/>
      </w:pPr>
      <w:r>
        <w:rPr>
          <w:rFonts w:ascii="Calibri" w:hAnsi="Calibri"/>
          <w:b w:val="0"/>
          <w:sz w:val="22"/>
        </w:rPr>
        <w:t>Пас аз интихоби муассиса, рӯйхати «Синф» худкор пур мешавад. Синфи лозимаро интихоб кунед.</w:t>
      </w:r>
    </w:p>
    <w:p>
      <w:pPr>
        <w:pStyle w:val="ListNumber"/>
      </w:pPr>
      <w:r>
        <w:rPr>
          <w:rFonts w:ascii="Calibri" w:hAnsi="Calibri"/>
          <w:b w:val="0"/>
          <w:sz w:val="22"/>
        </w:rPr>
        <w:t>Дар майдони «Фан» номи фанро ворид кунед.</w:t>
      </w:r>
    </w:p>
    <w:p>
      <w:pPr>
        <w:pStyle w:val="ListNumber"/>
      </w:pPr>
      <w:r>
        <w:rPr>
          <w:rFonts w:ascii="Calibri" w:hAnsi="Calibri"/>
          <w:b w:val="0"/>
          <w:sz w:val="22"/>
        </w:rPr>
        <w:t>Агар фан фаъол бошад, қайди «Фаъол?» фаъол намояд.</w:t>
      </w:r>
    </w:p>
    <w:p>
      <w:pPr>
        <w:pStyle w:val="ListNumber"/>
      </w:pPr>
      <w:r>
        <w:rPr>
          <w:rFonts w:ascii="Calibri" w:hAnsi="Calibri"/>
          <w:b w:val="0"/>
          <w:sz w:val="22"/>
        </w:rPr>
        <w:t>Тугмаи «Сабт кардан»-ро зер кунед.</w:t>
      </w:r>
    </w:p>
    <w:tbl>
      <w:tblPr>
        <w:tblW w:type="auto" w:w="0"/>
        <w:tblLayout w:type="fixed"/>
        <w:tblLook w:firstColumn="1" w:firstRow="1" w:lastColumn="0" w:lastRow="0" w:noHBand="0" w:noVBand="1" w:val="04A0"/>
      </w:tblPr>
      <w:tblGrid>
        <w:gridCol w:w="8640"/>
      </w:tblGrid>
      <w:tr>
        <w:tc>
          <w:tcPr>
            <w:tcW w:type="dxa" w:w="8640"/>
            <w:shd w:fill="FFF3CD"/>
          </w:tcPr>
          <w:p>
            <w:r>
              <w:rPr>
                <w:rFonts w:ascii="Calibri" w:hAnsi="Calibri"/>
                <w:b/>
                <w:color w:val="856404"/>
                <w:sz w:val="22"/>
              </w:rPr>
              <w:t>Эзоҳ:</w:t>
            </w:r>
          </w:p>
          <w:p>
            <w:r>
              <w:rPr>
                <w:rFonts w:ascii="Calibri" w:hAnsi="Calibri"/>
                <w:b w:val="0"/>
                <w:sz w:val="22"/>
              </w:rPr>
              <w:t>Рӯйхати синфҳо аз хонандагон ва фанҳои мавҷудаи интихобшудаи муассиса бармеояд. Агар синфи лозима дар рӯйхат набошад, аввал хонандагони он синфро ворид кунед.</w:t>
            </w:r>
          </w:p>
        </w:tc>
      </w:tr>
    </w:tbl>
    <w:p/>
    <w:p>
      <w:pPr>
        <w:pStyle w:val="Heading1"/>
      </w:pPr>
      <w:r>
        <w:rPr>
          <w:rFonts w:ascii="Calibri" w:hAnsi="Calibri"/>
          <w:b/>
          <w:color w:val="003366"/>
          <w:sz w:val="32"/>
        </w:rPr>
        <w:t>2. Оммавий иловаи фан (Оммавий қўшиш)</w:t>
      </w:r>
    </w:p>
    <w:p>
      <w:r>
        <w:rPr>
          <w:rFonts w:ascii="Calibri" w:hAnsi="Calibri"/>
          <w:b w:val="0"/>
          <w:sz w:val="22"/>
        </w:rPr>
        <w:t>Барои иловаи як фан ба ҳамаи синфҳои як синф дар ҳамаи муассисаҳо, қадамҳои зеринро иҷро намоед:</w:t>
      </w:r>
    </w:p>
    <w:p>
      <w:pPr>
        <w:pStyle w:val="ListNumber"/>
      </w:pPr>
      <w:r>
        <w:rPr>
          <w:rFonts w:ascii="Calibri" w:hAnsi="Calibri"/>
          <w:b w:val="0"/>
          <w:sz w:val="22"/>
        </w:rPr>
        <w:t>Ба «Фанҳои синфӣ» дар Админ панел гузаред.</w:t>
      </w:r>
    </w:p>
    <w:p>
      <w:pPr>
        <w:pStyle w:val="ListNumber"/>
      </w:pPr>
      <w:r>
        <w:rPr>
          <w:rFonts w:ascii="Calibri" w:hAnsi="Calibri"/>
          <w:b w:val="0"/>
          <w:sz w:val="22"/>
        </w:rPr>
        <w:t>Дар болои рӯйхат тугмаи «Оммавий қўшиш»-ро зер кунед.</w:t>
      </w:r>
    </w:p>
    <w:p>
      <w:pPr>
        <w:pStyle w:val="ListNumber"/>
      </w:pPr>
      <w:r>
        <w:rPr>
          <w:rFonts w:ascii="Calibri" w:hAnsi="Calibri"/>
          <w:b w:val="0"/>
          <w:sz w:val="22"/>
        </w:rPr>
        <w:t>Дар майдони «Синф (рақам)» рақами синфро интихоб кунед, масалан 8.</w:t>
      </w:r>
    </w:p>
    <w:p>
      <w:pPr>
        <w:pStyle w:val="ListNumber"/>
      </w:pPr>
      <w:r>
        <w:rPr>
          <w:rFonts w:ascii="Calibri" w:hAnsi="Calibri"/>
          <w:b w:val="0"/>
          <w:sz w:val="22"/>
        </w:rPr>
        <w:t>Дар майдони «Фан» фани лозимаро интихоб кунед, масалан «Адабиёти ҷаҳон».</w:t>
      </w:r>
    </w:p>
    <w:p>
      <w:pPr>
        <w:pStyle w:val="ListNumber"/>
      </w:pPr>
      <w:r>
        <w:rPr>
          <w:rFonts w:ascii="Calibri" w:hAnsi="Calibri"/>
          <w:b w:val="0"/>
          <w:sz w:val="22"/>
        </w:rPr>
        <w:t>Тугмаи «Оммавий қўшиш»-ро зер кунед.</w:t>
      </w:r>
    </w:p>
    <w:p>
      <w:pPr>
        <w:pStyle w:val="ListNumber"/>
      </w:pPr>
      <w:r>
        <w:rPr>
          <w:rFonts w:ascii="Calibri" w:hAnsi="Calibri"/>
          <w:b w:val="0"/>
          <w:sz w:val="22"/>
        </w:rPr>
        <w:t>Пас аз амал иҷро шудан, паём нишон дода мешавад, ки чанд сабти нав илова шуд.</w:t>
      </w:r>
    </w:p>
    <w:p>
      <w:pPr>
        <w:pStyle w:val="ListBullet"/>
      </w:pPr>
      <w:r>
        <w:rPr>
          <w:rFonts w:ascii="Calibri" w:hAnsi="Calibri"/>
          <w:b w:val="0"/>
          <w:sz w:val="22"/>
        </w:rPr>
        <w:t>Система танҳо ба он синфҳо фанро илова мекунад, ки аллакай ҳамин фан надоранд.</w:t>
      </w:r>
    </w:p>
    <w:p>
      <w:pPr>
        <w:pStyle w:val="ListBullet"/>
      </w:pPr>
      <w:r>
        <w:rPr>
          <w:rFonts w:ascii="Calibri" w:hAnsi="Calibri"/>
          <w:b w:val="0"/>
          <w:sz w:val="22"/>
        </w:rPr>
        <w:t>Агар фан барои синфе мавҷуд бошад, он такрорӣ карда намешавад.</w:t>
      </w:r>
    </w:p>
    <w:p>
      <w:pPr>
        <w:pStyle w:val="ListBullet"/>
      </w:pPr>
      <w:r>
        <w:rPr>
          <w:rFonts w:ascii="Calibri" w:hAnsi="Calibri"/>
          <w:b w:val="0"/>
          <w:sz w:val="22"/>
        </w:rPr>
        <w:t>Фанҳои ҷадид ба таври «ғайристандартӣ» ва «фаъол» сабт мешаванд.</w:t>
      </w:r>
    </w:p>
    <w:tbl>
      <w:tblPr>
        <w:tblW w:type="auto" w:w="0"/>
        <w:tblLayout w:type="fixed"/>
        <w:tblLook w:firstColumn="1" w:firstRow="1" w:lastColumn="0" w:lastRow="0" w:noHBand="0" w:noVBand="1" w:val="04A0"/>
      </w:tblPr>
      <w:tblGrid>
        <w:gridCol w:w="8640"/>
      </w:tblGrid>
      <w:tr>
        <w:tc>
          <w:tcPr>
            <w:tcW w:type="dxa" w:w="8640"/>
            <w:shd w:fill="FFF3CD"/>
          </w:tcPr>
          <w:p>
            <w:r>
              <w:rPr>
                <w:rFonts w:ascii="Calibri" w:hAnsi="Calibri"/>
                <w:b/>
                <w:color w:val="856404"/>
                <w:sz w:val="22"/>
              </w:rPr>
              <w:t>Эзоҳ:</w:t>
            </w:r>
          </w:p>
          <w:p>
            <w:r>
              <w:rPr>
                <w:rFonts w:ascii="Calibri" w:hAnsi="Calibri"/>
                <w:b w:val="0"/>
                <w:sz w:val="22"/>
              </w:rPr>
              <w:t>Оммавий илова барои завучҳо бо дастрасии администратор дастрас аст. Пеш аз истифода, боварӣ ҳосил кунед, ки фан ва рақами синф дуруст интихоб шудаанд.</w:t>
            </w:r>
          </w:p>
        </w:tc>
      </w:tr>
    </w:tbl>
    <w:p/>
    <w:p>
      <w:pPr>
        <w:pStyle w:val="Heading1"/>
      </w:pPr>
      <w:r>
        <w:rPr>
          <w:rFonts w:ascii="Calibri" w:hAnsi="Calibri"/>
          <w:b/>
          <w:color w:val="003366"/>
          <w:sz w:val="32"/>
        </w:rPr>
        <w:t>3. Баргашт ва тафтиш</w:t>
      </w:r>
    </w:p>
    <w:p>
      <w:pPr>
        <w:pStyle w:val="ListNumber"/>
      </w:pPr>
      <w:r>
        <w:rPr>
          <w:rFonts w:ascii="Calibri" w:hAnsi="Calibri"/>
          <w:b w:val="0"/>
          <w:sz w:val="22"/>
        </w:rPr>
        <w:t>Пас аз илова, ба рӯйхати «Фанҳои синфӣ» баргардед.</w:t>
      </w:r>
    </w:p>
    <w:p>
      <w:pPr>
        <w:pStyle w:val="ListNumber"/>
      </w:pPr>
      <w:r>
        <w:rPr>
          <w:rFonts w:ascii="Calibri" w:hAnsi="Calibri"/>
          <w:b w:val="0"/>
          <w:sz w:val="22"/>
        </w:rPr>
        <w:t>Барои ҳар муассиса ва синф фанҳои навро дар рӯйхат пайдо карда метавонед.</w:t>
      </w:r>
    </w:p>
    <w:p>
      <w:pPr>
        <w:pStyle w:val="ListNumber"/>
      </w:pPr>
      <w:r>
        <w:rPr>
          <w:rFonts w:ascii="Calibri" w:hAnsi="Calibri"/>
          <w:b w:val="0"/>
          <w:sz w:val="22"/>
        </w:rPr>
        <w:t>Барои тақсими омӯзгор ба фанҳои нав, ба саҳифаи «Тақсимоти дарсҳо» гузаред.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