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A6E13">
      <w:pPr>
        <w:jc w:val="center"/>
        <w:rPr>
          <w:rFonts w:hint="default" w:ascii="Times New Roman" w:hAnsi="Times New Roman" w:eastAsia="黑体" w:cs="Times New Roman"/>
          <w:b/>
          <w:bCs/>
          <w:sz w:val="32"/>
          <w:szCs w:val="40"/>
        </w:rPr>
      </w:pPr>
      <w:r>
        <w:rPr>
          <w:rFonts w:hint="default" w:ascii="Times New Roman" w:hAnsi="Times New Roman" w:eastAsia="黑体" w:cs="Times New Roman"/>
          <w:b/>
          <w:bCs/>
          <w:sz w:val="32"/>
          <w:szCs w:val="40"/>
        </w:rPr>
        <w:t>量化选股大作业报告</w:t>
      </w:r>
    </w:p>
    <w:p w14:paraId="48EDB208">
      <w:pPr>
        <w:jc w:val="center"/>
        <w:rPr>
          <w:rFonts w:hint="default" w:ascii="Times New Roman" w:hAnsi="Times New Roman" w:eastAsia="楷体" w:cs="Times New Roman"/>
          <w:sz w:val="24"/>
          <w:szCs w:val="32"/>
        </w:rPr>
      </w:pPr>
      <w:r>
        <w:rPr>
          <w:rFonts w:hint="default" w:ascii="Times New Roman" w:hAnsi="Times New Roman" w:eastAsia="楷体" w:cs="Times New Roman"/>
          <w:sz w:val="24"/>
          <w:szCs w:val="32"/>
        </w:rPr>
        <w:t>亢予凡 李博程 李博文</w:t>
      </w:r>
    </w:p>
    <w:p w14:paraId="61D3C2A8">
      <w:pPr>
        <w:jc w:val="center"/>
        <w:rPr>
          <w:rFonts w:hint="default" w:ascii="Times New Roman" w:hAnsi="Times New Roman" w:eastAsia="楷体" w:cs="Times New Roman"/>
          <w:sz w:val="24"/>
          <w:szCs w:val="32"/>
        </w:rPr>
      </w:pPr>
    </w:p>
    <w:p w14:paraId="13DF9A80">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作业项目介绍</w:t>
      </w:r>
    </w:p>
    <w:p w14:paraId="0436D075">
      <w:pPr>
        <w:ind w:firstLine="420"/>
        <w:rPr>
          <w:rFonts w:hint="default" w:ascii="Times New Roman" w:hAnsi="Times New Roman" w:cs="Times New Roman"/>
        </w:rPr>
      </w:pPr>
      <w:r>
        <w:rPr>
          <w:rFonts w:hint="default" w:ascii="Times New Roman" w:hAnsi="Times New Roman" w:cs="Times New Roman"/>
        </w:rPr>
        <w:t>本次作业旨在构建一个系统化的多因子选股模型，包括因子介绍，数据集和交易频率，数据清洗和标准化处理，单因子有效性测试，多因子选取，多因子选股测试（分别尝试线性模型、树模型和深度学习模型）和绩效分析。</w:t>
      </w:r>
    </w:p>
    <w:p w14:paraId="2F740255">
      <w:pPr>
        <w:ind w:firstLine="420"/>
        <w:rPr>
          <w:rFonts w:hint="default" w:ascii="Times New Roman" w:hAnsi="Times New Roman" w:cs="Times New Roman"/>
          <w:lang w:val="en-US"/>
        </w:rPr>
      </w:pPr>
      <w:r>
        <w:rPr>
          <w:rFonts w:hint="eastAsia" w:ascii="Times New Roman" w:hAnsi="Times New Roman" w:cs="Times New Roman"/>
          <w:lang w:val="en-US" w:eastAsia="zh-CN"/>
        </w:rPr>
        <w:t>文章中使用的全部数据、因子可以从交大云盘中下载。数据下载、脚本运行等问题，详见</w:t>
      </w:r>
      <w:r>
        <w:rPr>
          <w:rFonts w:hint="eastAsia" w:ascii="Times New Roman" w:hAnsi="Times New Roman" w:cs="Times New Roman"/>
          <w:i/>
          <w:iCs/>
          <w:lang w:val="en-US" w:eastAsia="zh-CN"/>
        </w:rPr>
        <w:t>README.md</w:t>
      </w:r>
      <w:r>
        <w:rPr>
          <w:rFonts w:hint="eastAsia" w:ascii="Times New Roman" w:hAnsi="Times New Roman" w:cs="Times New Roman"/>
          <w:lang w:val="en-US" w:eastAsia="zh-CN"/>
        </w:rPr>
        <w:t>文件。</w:t>
      </w:r>
    </w:p>
    <w:p w14:paraId="45E7D592">
      <w:pPr>
        <w:ind w:firstLine="420"/>
        <w:rPr>
          <w:rFonts w:hint="default" w:ascii="Times New Roman" w:hAnsi="Times New Roman" w:cs="Times New Roman"/>
        </w:rPr>
      </w:pPr>
    </w:p>
    <w:p w14:paraId="69F91D4D">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数据集与交易设定</w:t>
      </w:r>
    </w:p>
    <w:p w14:paraId="6FBEC03C">
      <w:pPr>
        <w:pStyle w:val="4"/>
        <w:ind w:firstLine="420" w:firstLineChars="0"/>
        <w:rPr>
          <w:rFonts w:hint="eastAsia" w:ascii="Times New Roman" w:hAnsi="Times New Roman" w:cs="Times New Roman"/>
          <w:i/>
          <w:iCs/>
          <w:lang w:val="en-US" w:eastAsia="zh-CN"/>
        </w:rPr>
      </w:pPr>
      <w:r>
        <w:rPr>
          <w:rFonts w:hint="default" w:ascii="Times New Roman" w:hAnsi="Times New Roman" w:cs="Times New Roman"/>
        </w:rPr>
        <w:t>本次多因子选股策略选用沪深京三市和创业科创板分域，每月初调仓。将2023年1月起的数据设置为样本外数据（验证集），不参与单因子评测和模型测试等环节。</w:t>
      </w:r>
    </w:p>
    <w:p w14:paraId="14E5F5F5">
      <w:pPr>
        <w:ind w:firstLine="420"/>
        <w:rPr>
          <w:rFonts w:hint="eastAsia" w:ascii="Times New Roman" w:hAnsi="Times New Roman" w:cs="Times New Roman"/>
          <w:lang w:val="en-US" w:eastAsia="zh-CN"/>
        </w:rPr>
      </w:pPr>
      <w:r>
        <w:rPr>
          <w:rFonts w:hint="eastAsia" w:ascii="Times New Roman" w:hAnsi="Times New Roman" w:cs="Times New Roman"/>
          <w:i/>
          <w:iCs/>
          <w:lang w:val="en-US" w:eastAsia="zh-CN"/>
        </w:rPr>
        <w:t>raw_</w:t>
      </w:r>
      <w:r>
        <w:rPr>
          <w:rFonts w:hint="default" w:ascii="Times New Roman" w:hAnsi="Times New Roman" w:cs="Times New Roman"/>
          <w:i/>
          <w:iCs/>
        </w:rPr>
        <w:t>data</w:t>
      </w:r>
      <w:r>
        <w:rPr>
          <w:rFonts w:hint="default" w:ascii="Times New Roman" w:hAnsi="Times New Roman" w:cs="Times New Roman"/>
        </w:rPr>
        <w:t>文件夹存放了本次作</w:t>
      </w:r>
      <w:bookmarkStart w:id="3" w:name="_GoBack"/>
      <w:bookmarkEnd w:id="3"/>
      <w:r>
        <w:rPr>
          <w:rFonts w:hint="default" w:ascii="Times New Roman" w:hAnsi="Times New Roman" w:cs="Times New Roman"/>
        </w:rPr>
        <w:t>业使用的数据。因子计算的原始数据来自国泰安数据库，包括自2016年至今全A股的日频行情数据（</w:t>
      </w:r>
      <w:r>
        <w:rPr>
          <w:rFonts w:hint="default" w:ascii="Times New Roman" w:hAnsi="Times New Roman" w:cs="Times New Roman"/>
          <w:i/>
          <w:iCs/>
        </w:rPr>
        <w:t>TRD_Dalyr</w:t>
      </w:r>
      <w:r>
        <w:rPr>
          <w:rFonts w:hint="default" w:ascii="Times New Roman" w:hAnsi="Times New Roman" w:cs="Times New Roman"/>
        </w:rPr>
        <w:t>文件夹），2014年至今的资产负债表数据（</w:t>
      </w:r>
      <w:r>
        <w:rPr>
          <w:rFonts w:hint="default" w:ascii="Times New Roman" w:hAnsi="Times New Roman" w:cs="Times New Roman"/>
          <w:i/>
          <w:iCs/>
        </w:rPr>
        <w:t>FS_Combas.csv</w:t>
      </w:r>
      <w:r>
        <w:rPr>
          <w:rFonts w:hint="default" w:ascii="Times New Roman" w:hAnsi="Times New Roman" w:cs="Times New Roman"/>
        </w:rPr>
        <w:t>）和利润表数据（</w:t>
      </w:r>
      <w:r>
        <w:rPr>
          <w:rFonts w:hint="default" w:ascii="Times New Roman" w:hAnsi="Times New Roman" w:cs="Times New Roman"/>
          <w:i/>
          <w:iCs/>
        </w:rPr>
        <w:t>FS_Comins.csv</w:t>
      </w:r>
      <w:r>
        <w:rPr>
          <w:rFonts w:hint="default" w:ascii="Times New Roman" w:hAnsi="Times New Roman" w:cs="Times New Roman"/>
        </w:rPr>
        <w:t>）。</w:t>
      </w:r>
    </w:p>
    <w:p w14:paraId="34B02D56">
      <w:pPr>
        <w:ind w:firstLine="420"/>
        <w:rPr>
          <w:rFonts w:hint="eastAsia" w:ascii="Times New Roman" w:hAnsi="Times New Roman" w:cs="Times New Roman"/>
          <w:lang w:val="en-US" w:eastAsia="zh-CN"/>
        </w:rPr>
      </w:pPr>
      <w:r>
        <w:rPr>
          <w:rFonts w:hint="eastAsia" w:ascii="Times New Roman" w:hAnsi="Times New Roman" w:cs="Times New Roman"/>
          <w:lang w:val="en-US" w:eastAsia="zh-CN"/>
        </w:rPr>
        <w:t>首先我们进行了数据的筛选清洗工作。整理好的数据存放在</w:t>
      </w:r>
      <w:r>
        <w:rPr>
          <w:rFonts w:hint="eastAsia" w:ascii="Times New Roman" w:hAnsi="Times New Roman" w:cs="Times New Roman"/>
          <w:i/>
          <w:iCs/>
          <w:lang w:val="en-US" w:eastAsia="zh-CN"/>
        </w:rPr>
        <w:t>processed_data</w:t>
      </w:r>
      <w:r>
        <w:rPr>
          <w:rFonts w:hint="eastAsia" w:ascii="Times New Roman" w:hAnsi="Times New Roman" w:cs="Times New Roman"/>
          <w:lang w:val="en-US" w:eastAsia="zh-CN"/>
        </w:rPr>
        <w:t>文件夹中。</w:t>
      </w:r>
    </w:p>
    <w:p w14:paraId="4AEF82D9">
      <w:pPr>
        <w:ind w:firstLine="420"/>
        <w:rPr>
          <w:rFonts w:hint="default" w:ascii="Times New Roman" w:hAnsi="Times New Roman" w:cs="Times New Roman"/>
        </w:rPr>
      </w:pPr>
    </w:p>
    <w:p w14:paraId="617B9466">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因子介绍</w:t>
      </w:r>
    </w:p>
    <w:p w14:paraId="5CF8F787">
      <w:pPr>
        <w:ind w:firstLine="420"/>
        <w:rPr>
          <w:rFonts w:hint="default" w:ascii="Times New Roman" w:hAnsi="Times New Roman" w:cs="Times New Roman"/>
        </w:rPr>
      </w:pPr>
      <w:r>
        <w:rPr>
          <w:rFonts w:hint="default" w:ascii="Times New Roman" w:hAnsi="Times New Roman" w:cs="Times New Roman"/>
        </w:rPr>
        <w:t>在第二次作业中，小组成员3人每人提供3个因子。亢予凡提供了非流动性因子Amihud、对数市值logSize和换手率分布均匀度因子UTD。李博文提供了动量因子MOM、波动率因子VOL和斜率因子OBV_SLP。李博程提供了市盈率倒数E_P、净资产收益率ROE和营业收入增长率RevenueGrowth。</w:t>
      </w:r>
    </w:p>
    <w:p w14:paraId="563CD427">
      <w:pPr>
        <w:ind w:firstLine="420"/>
        <w:rPr>
          <w:rFonts w:hint="default" w:ascii="Times New Roman" w:hAnsi="Times New Roman" w:cs="Times New Roman"/>
        </w:rPr>
      </w:pPr>
      <w:r>
        <w:rPr>
          <w:rFonts w:hint="default" w:ascii="Times New Roman" w:hAnsi="Times New Roman" w:cs="Times New Roman"/>
        </w:rPr>
        <w:t>在第二次作业的基础上，李博程又提供了五个新的因子，分别是20日换手率turnover_20、20日反转因子reversal_20、20日量价相关性cpv_20、下行风险downsize_vol、趋势强度trend_strength。</w:t>
      </w:r>
    </w:p>
    <w:p w14:paraId="76A3BB66">
      <w:pPr>
        <w:ind w:firstLine="420"/>
        <w:rPr>
          <w:rFonts w:hint="default" w:ascii="Times New Roman" w:hAnsi="Times New Roman" w:cs="Times New Roman"/>
        </w:rPr>
      </w:pPr>
      <w:r>
        <w:rPr>
          <w:rFonts w:hint="default" w:ascii="Times New Roman" w:hAnsi="Times New Roman" w:cs="Times New Roman"/>
        </w:rPr>
        <w:t>由于部分因子计算需要多月数据，最终选取2016年7月作为测试的开始日期，在这个时间点之后包含了全部的因子。</w:t>
      </w:r>
    </w:p>
    <w:p w14:paraId="02593317">
      <w:pPr>
        <w:ind w:firstLine="420"/>
        <w:rPr>
          <w:rFonts w:hint="default" w:ascii="Times New Roman" w:hAnsi="Times New Roman" w:cs="Times New Roman"/>
        </w:rPr>
      </w:pPr>
      <w:r>
        <w:rPr>
          <w:rFonts w:hint="default" w:ascii="Times New Roman" w:hAnsi="Times New Roman" w:cs="Times New Roman"/>
        </w:rPr>
        <w:t>因子计算的公式见附录一。</w:t>
      </w:r>
    </w:p>
    <w:p w14:paraId="3309B6B9">
      <w:pPr>
        <w:ind w:firstLine="420"/>
        <w:rPr>
          <w:rFonts w:hint="default" w:ascii="Times New Roman" w:hAnsi="Times New Roman" w:cs="Times New Roman"/>
        </w:rPr>
      </w:pPr>
    </w:p>
    <w:p w14:paraId="16B3A7FC">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因子标准化</w:t>
      </w:r>
    </w:p>
    <w:p w14:paraId="054031B0">
      <w:pPr>
        <w:ind w:firstLine="420"/>
        <w:rPr>
          <w:rFonts w:hint="default" w:ascii="Times New Roman" w:hAnsi="Times New Roman" w:cs="Times New Roman"/>
        </w:rPr>
      </w:pPr>
      <w:r>
        <w:rPr>
          <w:rFonts w:hint="default" w:ascii="Times New Roman" w:hAnsi="Times New Roman" w:cs="Times New Roman"/>
        </w:rPr>
        <w:t>处理因子共计</w:t>
      </w:r>
      <w:r>
        <w:rPr>
          <w:rFonts w:hint="default" w:ascii="Times New Roman" w:hAnsi="Times New Roman" w:cs="Times New Roman"/>
          <w:lang w:val="en-US" w:eastAsia="zh-CN"/>
        </w:rPr>
        <w:t>14</w:t>
      </w:r>
      <w:r>
        <w:rPr>
          <w:rFonts w:hint="default" w:ascii="Times New Roman" w:hAnsi="Times New Roman" w:cs="Times New Roman"/>
        </w:rPr>
        <w:t>个，分为两组进行中性化：</w:t>
      </w:r>
    </w:p>
    <w:p w14:paraId="0ABED6D3">
      <w:pPr>
        <w:numPr>
          <w:ilvl w:val="0"/>
          <w:numId w:val="2"/>
        </w:numPr>
        <w:rPr>
          <w:rFonts w:hint="default" w:ascii="Times New Roman" w:hAnsi="Times New Roman" w:cs="Times New Roman"/>
        </w:rPr>
      </w:pPr>
      <w:r>
        <w:rPr>
          <w:rFonts w:hint="default" w:ascii="Times New Roman" w:hAnsi="Times New Roman" w:cs="Times New Roman"/>
        </w:rPr>
        <w:t>A 组（行业与市值双重中性化）：</w:t>
      </w:r>
    </w:p>
    <w:p w14:paraId="564424BB">
      <w:pPr>
        <w:numPr>
          <w:ilvl w:val="1"/>
          <w:numId w:val="2"/>
        </w:numPr>
        <w:rPr>
          <w:rFonts w:hint="default" w:ascii="Times New Roman" w:hAnsi="Times New Roman" w:cs="Times New Roman"/>
        </w:rPr>
      </w:pPr>
      <w:r>
        <w:rPr>
          <w:rFonts w:hint="default" w:ascii="Times New Roman" w:hAnsi="Times New Roman" w:cs="Times New Roman"/>
        </w:rPr>
        <w:t>E_P</w:t>
      </w:r>
    </w:p>
    <w:p w14:paraId="0F421019">
      <w:pPr>
        <w:numPr>
          <w:ilvl w:val="1"/>
          <w:numId w:val="2"/>
        </w:numPr>
        <w:rPr>
          <w:rFonts w:hint="default" w:ascii="Times New Roman" w:hAnsi="Times New Roman" w:cs="Times New Roman"/>
        </w:rPr>
      </w:pPr>
      <w:r>
        <w:rPr>
          <w:rFonts w:hint="default" w:ascii="Times New Roman" w:hAnsi="Times New Roman" w:cs="Times New Roman"/>
        </w:rPr>
        <w:t>ROE</w:t>
      </w:r>
    </w:p>
    <w:p w14:paraId="747053B7">
      <w:pPr>
        <w:numPr>
          <w:ilvl w:val="1"/>
          <w:numId w:val="2"/>
        </w:numPr>
        <w:rPr>
          <w:rFonts w:hint="default" w:ascii="Times New Roman" w:hAnsi="Times New Roman" w:cs="Times New Roman"/>
        </w:rPr>
      </w:pPr>
      <w:r>
        <w:rPr>
          <w:rFonts w:hint="default" w:ascii="Times New Roman" w:hAnsi="Times New Roman" w:cs="Times New Roman"/>
        </w:rPr>
        <w:t>RevenueGrowth</w:t>
      </w:r>
    </w:p>
    <w:p w14:paraId="14487C02">
      <w:pPr>
        <w:numPr>
          <w:ilvl w:val="1"/>
          <w:numId w:val="2"/>
        </w:numPr>
        <w:rPr>
          <w:rFonts w:hint="default" w:ascii="Times New Roman" w:hAnsi="Times New Roman" w:cs="Times New Roman"/>
        </w:rPr>
      </w:pPr>
      <w:r>
        <w:rPr>
          <w:rFonts w:hint="default" w:ascii="Times New Roman" w:hAnsi="Times New Roman" w:cs="Times New Roman"/>
        </w:rPr>
        <w:t>Amihud</w:t>
      </w:r>
    </w:p>
    <w:p w14:paraId="3BCA1B30">
      <w:pPr>
        <w:numPr>
          <w:ilvl w:val="1"/>
          <w:numId w:val="2"/>
        </w:numPr>
        <w:rPr>
          <w:rFonts w:hint="default" w:ascii="Times New Roman" w:hAnsi="Times New Roman" w:cs="Times New Roman"/>
        </w:rPr>
      </w:pPr>
      <w:r>
        <w:rPr>
          <w:rFonts w:hint="default" w:ascii="Times New Roman" w:hAnsi="Times New Roman" w:cs="Times New Roman"/>
        </w:rPr>
        <w:t>UTD</w:t>
      </w:r>
    </w:p>
    <w:p w14:paraId="5381DEB2">
      <w:pPr>
        <w:numPr>
          <w:ilvl w:val="1"/>
          <w:numId w:val="2"/>
        </w:numPr>
        <w:rPr>
          <w:rFonts w:hint="default" w:ascii="Times New Roman" w:hAnsi="Times New Roman" w:cs="Times New Roman"/>
        </w:rPr>
      </w:pPr>
      <w:r>
        <w:rPr>
          <w:rFonts w:hint="default" w:ascii="Times New Roman" w:hAnsi="Times New Roman" w:cs="Times New Roman"/>
        </w:rPr>
        <w:t>MOM</w:t>
      </w:r>
    </w:p>
    <w:p w14:paraId="38493FD6">
      <w:pPr>
        <w:numPr>
          <w:ilvl w:val="1"/>
          <w:numId w:val="2"/>
        </w:numPr>
        <w:rPr>
          <w:rFonts w:hint="default" w:ascii="Times New Roman" w:hAnsi="Times New Roman" w:cs="Times New Roman"/>
        </w:rPr>
      </w:pPr>
      <w:r>
        <w:rPr>
          <w:rFonts w:hint="default" w:ascii="Times New Roman" w:hAnsi="Times New Roman" w:cs="Times New Roman"/>
        </w:rPr>
        <w:t>VOL</w:t>
      </w:r>
    </w:p>
    <w:p w14:paraId="6D22C12B">
      <w:pPr>
        <w:numPr>
          <w:ilvl w:val="1"/>
          <w:numId w:val="2"/>
        </w:numPr>
        <w:rPr>
          <w:rFonts w:hint="default" w:ascii="Times New Roman" w:hAnsi="Times New Roman" w:cs="Times New Roman"/>
        </w:rPr>
      </w:pPr>
      <w:r>
        <w:rPr>
          <w:rFonts w:hint="default" w:ascii="Times New Roman" w:hAnsi="Times New Roman" w:cs="Times New Roman"/>
        </w:rPr>
        <w:t>OBV_SLP</w:t>
      </w:r>
    </w:p>
    <w:p w14:paraId="1BACA0FB">
      <w:pPr>
        <w:numPr>
          <w:ilvl w:val="1"/>
          <w:numId w:val="2"/>
        </w:numPr>
        <w:rPr>
          <w:rFonts w:hint="default" w:ascii="Times New Roman" w:hAnsi="Times New Roman" w:cs="Times New Roman"/>
        </w:rPr>
      </w:pPr>
      <w:r>
        <w:rPr>
          <w:rFonts w:hint="default" w:ascii="Times New Roman" w:hAnsi="Times New Roman" w:cs="Times New Roman"/>
          <w:lang w:val="en-US" w:eastAsia="zh-CN"/>
        </w:rPr>
        <w:t>turnover_20</w:t>
      </w:r>
    </w:p>
    <w:p w14:paraId="6E267037">
      <w:pPr>
        <w:numPr>
          <w:ilvl w:val="1"/>
          <w:numId w:val="2"/>
        </w:numPr>
        <w:rPr>
          <w:rFonts w:hint="default" w:ascii="Times New Roman" w:hAnsi="Times New Roman" w:cs="Times New Roman"/>
        </w:rPr>
      </w:pPr>
      <w:r>
        <w:rPr>
          <w:rFonts w:hint="default" w:ascii="Times New Roman" w:hAnsi="Times New Roman" w:cs="Times New Roman"/>
          <w:lang w:val="en-US" w:eastAsia="zh-CN"/>
        </w:rPr>
        <w:t>eeversal_20</w:t>
      </w:r>
    </w:p>
    <w:p w14:paraId="088C5DE0">
      <w:pPr>
        <w:numPr>
          <w:ilvl w:val="1"/>
          <w:numId w:val="2"/>
        </w:numPr>
        <w:rPr>
          <w:rFonts w:hint="default" w:ascii="Times New Roman" w:hAnsi="Times New Roman" w:cs="Times New Roman"/>
        </w:rPr>
      </w:pPr>
      <w:r>
        <w:rPr>
          <w:rFonts w:hint="default" w:ascii="Times New Roman" w:hAnsi="Times New Roman" w:cs="Times New Roman"/>
          <w:lang w:val="en-US" w:eastAsia="zh-CN"/>
        </w:rPr>
        <w:t>cpv_20</w:t>
      </w:r>
    </w:p>
    <w:p w14:paraId="59DCE284">
      <w:pPr>
        <w:numPr>
          <w:ilvl w:val="1"/>
          <w:numId w:val="2"/>
        </w:numPr>
        <w:rPr>
          <w:rFonts w:hint="default" w:ascii="Times New Roman" w:hAnsi="Times New Roman" w:cs="Times New Roman"/>
        </w:rPr>
      </w:pPr>
      <w:r>
        <w:rPr>
          <w:rFonts w:hint="default" w:ascii="Times New Roman" w:hAnsi="Times New Roman" w:cs="Times New Roman"/>
          <w:lang w:val="en-US" w:eastAsia="zh-CN"/>
        </w:rPr>
        <w:t>downsize_vol</w:t>
      </w:r>
    </w:p>
    <w:p w14:paraId="08B5D1FC">
      <w:pPr>
        <w:numPr>
          <w:ilvl w:val="1"/>
          <w:numId w:val="2"/>
        </w:numPr>
        <w:rPr>
          <w:rFonts w:hint="default" w:ascii="Times New Roman" w:hAnsi="Times New Roman" w:cs="Times New Roman"/>
        </w:rPr>
      </w:pPr>
      <w:r>
        <w:rPr>
          <w:rFonts w:hint="default" w:ascii="Times New Roman" w:hAnsi="Times New Roman" w:cs="Times New Roman"/>
          <w:lang w:val="en-US" w:eastAsia="zh-CN"/>
        </w:rPr>
        <w:t>trend_strength</w:t>
      </w:r>
    </w:p>
    <w:p w14:paraId="695972F3">
      <w:pPr>
        <w:numPr>
          <w:ilvl w:val="0"/>
          <w:numId w:val="2"/>
        </w:numPr>
        <w:rPr>
          <w:rFonts w:hint="default" w:ascii="Times New Roman" w:hAnsi="Times New Roman" w:cs="Times New Roman"/>
        </w:rPr>
      </w:pPr>
      <w:r>
        <w:rPr>
          <w:rFonts w:hint="default" w:ascii="Times New Roman" w:hAnsi="Times New Roman" w:cs="Times New Roman"/>
        </w:rPr>
        <w:t>B 组（仅行业中性化）：</w:t>
      </w:r>
    </w:p>
    <w:p w14:paraId="279BB683">
      <w:pPr>
        <w:numPr>
          <w:ilvl w:val="1"/>
          <w:numId w:val="2"/>
        </w:numPr>
        <w:rPr>
          <w:rFonts w:hint="default" w:ascii="Times New Roman" w:hAnsi="Times New Roman" w:cs="Times New Roman"/>
        </w:rPr>
      </w:pPr>
      <w:r>
        <w:rPr>
          <w:rFonts w:hint="default" w:ascii="Times New Roman" w:hAnsi="Times New Roman" w:cs="Times New Roman"/>
        </w:rPr>
        <w:t>logSize (对数市值)</w:t>
      </w:r>
    </w:p>
    <w:p w14:paraId="1BB57817">
      <w:pPr>
        <w:ind w:firstLine="420"/>
        <w:rPr>
          <w:rFonts w:hint="default" w:ascii="Times New Roman" w:hAnsi="Times New Roman" w:cs="Times New Roman"/>
        </w:rPr>
      </w:pPr>
      <w:r>
        <w:rPr>
          <w:rFonts w:hint="default" w:ascii="Times New Roman" w:hAnsi="Times New Roman" w:cs="Times New Roman"/>
        </w:rPr>
        <w:t>本流程以交易日分组，对每个截面数据执行以下5个步骤：</w:t>
      </w:r>
    </w:p>
    <w:p w14:paraId="1BCCBC2F">
      <w:pPr>
        <w:numPr>
          <w:ilvl w:val="0"/>
          <w:numId w:val="3"/>
        </w:numPr>
        <w:tabs>
          <w:tab w:val="left" w:pos="720"/>
        </w:tabs>
        <w:ind w:left="300" w:hanging="360"/>
        <w:rPr>
          <w:rFonts w:hint="default" w:ascii="Times New Roman" w:hAnsi="Times New Roman" w:cs="Times New Roman"/>
          <w:b/>
          <w:bCs/>
        </w:rPr>
      </w:pPr>
      <w:r>
        <w:rPr>
          <w:rFonts w:hint="default" w:ascii="Times New Roman" w:hAnsi="Times New Roman" w:cs="Times New Roman"/>
          <w:b/>
          <w:bCs/>
        </w:rPr>
        <w:t>数据</w:t>
      </w:r>
      <w:r>
        <w:rPr>
          <w:rFonts w:hint="default" w:ascii="Times New Roman" w:hAnsi="Times New Roman" w:cs="Times New Roman"/>
          <w:b/>
          <w:bCs/>
        </w:rPr>
        <w:t>填充：</w:t>
      </w:r>
    </w:p>
    <w:p w14:paraId="185C28E6">
      <w:pPr>
        <w:ind w:firstLine="420"/>
        <w:rPr>
          <w:rFonts w:hint="default" w:ascii="Times New Roman" w:hAnsi="Times New Roman" w:cs="Times New Roman"/>
        </w:rPr>
      </w:pPr>
      <w:r>
        <w:rPr>
          <w:rFonts w:hint="default" w:ascii="Times New Roman" w:hAnsi="Times New Roman" w:cs="Times New Roman"/>
        </w:rPr>
        <w:t>对于缺失的因子值，按照中信一级行业中位数进行填充。</w:t>
      </w:r>
    </w:p>
    <w:p w14:paraId="2299C085">
      <w:pPr>
        <w:tabs>
          <w:tab w:val="left" w:pos="720"/>
        </w:tabs>
        <w:ind w:left="300" w:hanging="360"/>
        <w:rPr>
          <w:rFonts w:hint="default" w:ascii="Times New Roman" w:hAnsi="Times New Roman" w:cs="Times New Roman"/>
          <w:b/>
          <w:bCs/>
        </w:rPr>
      </w:pPr>
      <w:r>
        <w:rPr>
          <w:rFonts w:hint="default" w:ascii="Times New Roman" w:hAnsi="Times New Roman" w:cs="Times New Roman"/>
          <w:b/>
          <w:bCs/>
        </w:rPr>
        <w:t>2.</w:t>
      </w:r>
      <w:r>
        <w:rPr>
          <w:rFonts w:hint="default" w:ascii="Times New Roman" w:hAnsi="Times New Roman" w:cs="Times New Roman"/>
          <w:b/>
          <w:bCs/>
        </w:rPr>
        <w:t>去极值：</w:t>
      </w:r>
    </w:p>
    <w:p w14:paraId="7F7B744C">
      <w:pPr>
        <w:ind w:firstLine="420"/>
        <w:rPr>
          <w:rFonts w:hint="default" w:ascii="Times New Roman" w:hAnsi="Times New Roman" w:cs="Times New Roman"/>
        </w:rPr>
      </w:pPr>
      <w:r>
        <w:rPr>
          <w:rFonts w:hint="default" w:ascii="Times New Roman" w:hAnsi="Times New Roman" w:cs="Times New Roman"/>
        </w:rPr>
        <w:t>对有效数据应用MAD（中位数绝对偏差）法进行缩尾处理，参数 n=5。</w:t>
      </w:r>
    </w:p>
    <w:p w14:paraId="3E297A7A">
      <w:pPr>
        <w:tabs>
          <w:tab w:val="left" w:pos="720"/>
        </w:tabs>
        <w:ind w:left="300" w:hanging="360"/>
        <w:rPr>
          <w:rFonts w:hint="default" w:ascii="Times New Roman" w:hAnsi="Times New Roman" w:cs="Times New Roman"/>
          <w:b/>
          <w:bCs/>
        </w:rPr>
      </w:pPr>
      <w:r>
        <w:rPr>
          <w:rFonts w:hint="default" w:ascii="Times New Roman" w:hAnsi="Times New Roman" w:cs="Times New Roman"/>
          <w:b/>
          <w:bCs/>
        </w:rPr>
        <w:t>3.</w:t>
      </w:r>
      <w:r>
        <w:rPr>
          <w:rFonts w:hint="default" w:ascii="Times New Roman" w:hAnsi="Times New Roman" w:cs="Times New Roman"/>
          <w:b/>
          <w:bCs/>
        </w:rPr>
        <w:t>第一次标准化：</w:t>
      </w:r>
    </w:p>
    <w:p w14:paraId="584C5F54">
      <w:pPr>
        <w:ind w:firstLine="420"/>
        <w:rPr>
          <w:rFonts w:hint="default" w:ascii="Times New Roman" w:hAnsi="Times New Roman" w:cs="Times New Roman"/>
        </w:rPr>
      </w:pPr>
      <w:r>
        <w:rPr>
          <w:rFonts w:hint="default" w:ascii="Times New Roman" w:hAnsi="Times New Roman" w:cs="Times New Roman"/>
        </w:rPr>
        <w:t>对去极值后的数据进行Z-Score 标准化，使其均值为0，标准差为1。</w:t>
      </w:r>
    </w:p>
    <w:p w14:paraId="04F1FE86">
      <w:pPr>
        <w:tabs>
          <w:tab w:val="left" w:pos="720"/>
        </w:tabs>
        <w:ind w:left="300" w:hanging="360"/>
        <w:rPr>
          <w:rFonts w:hint="default" w:ascii="Times New Roman" w:hAnsi="Times New Roman" w:cs="Times New Roman"/>
          <w:b/>
          <w:bCs/>
        </w:rPr>
      </w:pPr>
      <w:r>
        <w:rPr>
          <w:rFonts w:hint="default" w:ascii="Times New Roman" w:hAnsi="Times New Roman" w:cs="Times New Roman"/>
          <w:b/>
          <w:bCs/>
        </w:rPr>
        <w:t>4.</w:t>
      </w:r>
      <w:r>
        <w:rPr>
          <w:rFonts w:hint="default" w:ascii="Times New Roman" w:hAnsi="Times New Roman" w:cs="Times New Roman"/>
          <w:b/>
          <w:bCs/>
        </w:rPr>
        <w:t>中性化：</w:t>
      </w:r>
    </w:p>
    <w:p w14:paraId="52BE0876">
      <w:pPr>
        <w:ind w:firstLine="420"/>
        <w:rPr>
          <w:rFonts w:hint="default" w:ascii="Times New Roman" w:hAnsi="Times New Roman" w:cs="Times New Roman"/>
        </w:rPr>
      </w:pPr>
      <w:r>
        <w:rPr>
          <w:rFonts w:hint="default" w:ascii="Times New Roman" w:hAnsi="Times New Roman" w:cs="Times New Roman"/>
        </w:rPr>
        <w:t>对于A组因子，使用中信一级行业哑变量和对数流通市值作为自变量，对标准化后的因子进行 OLS 回归，取残差作为中性化后的因子。对于 B 组因子，仅使用行业哑变量作为自变量进行 OLS 回归取残差。</w:t>
      </w:r>
    </w:p>
    <w:p w14:paraId="5F577008">
      <w:pPr>
        <w:tabs>
          <w:tab w:val="left" w:pos="720"/>
        </w:tabs>
        <w:ind w:left="300" w:hanging="360"/>
        <w:rPr>
          <w:rFonts w:hint="default" w:ascii="Times New Roman" w:hAnsi="Times New Roman" w:cs="Times New Roman"/>
          <w:b/>
          <w:bCs/>
        </w:rPr>
      </w:pPr>
      <w:r>
        <w:rPr>
          <w:rFonts w:hint="default" w:ascii="Times New Roman" w:hAnsi="Times New Roman" w:cs="Times New Roman"/>
          <w:b/>
          <w:bCs/>
        </w:rPr>
        <w:t>5.</w:t>
      </w:r>
      <w:r>
        <w:rPr>
          <w:rFonts w:hint="default" w:ascii="Times New Roman" w:hAnsi="Times New Roman" w:cs="Times New Roman"/>
          <w:b/>
          <w:bCs/>
        </w:rPr>
        <w:t>第二次标准化：</w:t>
      </w:r>
    </w:p>
    <w:p w14:paraId="3871C297">
      <w:pPr>
        <w:ind w:firstLine="420"/>
        <w:rPr>
          <w:rFonts w:hint="default" w:ascii="Times New Roman" w:hAnsi="Times New Roman" w:cs="Times New Roman"/>
        </w:rPr>
      </w:pPr>
      <w:r>
        <w:rPr>
          <w:rFonts w:hint="default" w:ascii="Times New Roman" w:hAnsi="Times New Roman" w:cs="Times New Roman"/>
        </w:rPr>
        <w:t>对中性化后的因子再次进行Z-Score 标准化，得到最终的处理后因子。</w:t>
      </w:r>
    </w:p>
    <w:p w14:paraId="7F42F2F8">
      <w:pPr>
        <w:ind w:firstLine="420"/>
        <w:rPr>
          <w:rFonts w:hint="default" w:ascii="Times New Roman" w:hAnsi="Times New Roman" w:cs="Times New Roman"/>
        </w:rPr>
      </w:pPr>
      <w:r>
        <w:rPr>
          <w:rFonts w:hint="default" w:ascii="Times New Roman" w:hAnsi="Times New Roman" w:cs="Times New Roman"/>
        </w:rPr>
        <w:t>因子处理具体方法详见附录二。</w:t>
      </w:r>
    </w:p>
    <w:p w14:paraId="4670054F">
      <w:pPr>
        <w:rPr>
          <w:rFonts w:hint="default" w:ascii="Times New Roman" w:hAnsi="Times New Roman" w:cs="Times New Roman"/>
          <w:b/>
          <w:bCs/>
          <w:sz w:val="24"/>
          <w:szCs w:val="32"/>
        </w:rPr>
      </w:pPr>
    </w:p>
    <w:p w14:paraId="52889338">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单因子测试</w:t>
      </w:r>
    </w:p>
    <w:p w14:paraId="5C84BE48">
      <w:pPr>
        <w:ind w:firstLine="420"/>
        <w:rPr>
          <w:rFonts w:hint="default" w:ascii="Times New Roman" w:hAnsi="Times New Roman" w:cs="Times New Roman"/>
        </w:rPr>
      </w:pPr>
      <w:r>
        <w:rPr>
          <w:rFonts w:hint="default" w:ascii="Times New Roman" w:hAnsi="Times New Roman" w:cs="Times New Roman"/>
        </w:rPr>
        <w:t>我们选用了IC法和分组回测法两种方法进行单因子。这两种方法较回归法更轻量、直观，且各有所长，因此在行业中也被广泛使用。</w:t>
      </w:r>
    </w:p>
    <w:p w14:paraId="6B84C26B">
      <w:pPr>
        <w:ind w:firstLine="420"/>
        <w:rPr>
          <w:rFonts w:hint="default" w:ascii="Times New Roman" w:hAnsi="Times New Roman" w:cs="Times New Roman"/>
        </w:rPr>
      </w:pPr>
      <w:r>
        <w:rPr>
          <w:rFonts w:hint="default" w:ascii="Times New Roman" w:hAnsi="Times New Roman" w:cs="Times New Roman"/>
        </w:rPr>
        <w:t>IC法可以很好地衡量因子与收益率的线性相关性，从而衡量整体的选股能力，而分组回测法丈量了因子暴露的分位与实际收益率的关系。从实践来看，一个因子在两种测试中不一定表现均好，也不一定表现均差，需要经过权衡取舍来决定因子的去留。</w:t>
      </w:r>
    </w:p>
    <w:p w14:paraId="5F238326">
      <w:pPr>
        <w:ind w:firstLine="420"/>
        <w:rPr>
          <w:rFonts w:hint="default" w:ascii="Times New Roman" w:hAnsi="Times New Roman" w:cs="Times New Roman"/>
        </w:rPr>
      </w:pPr>
      <w:r>
        <w:rPr>
          <w:rFonts w:hint="default" w:ascii="Times New Roman" w:hAnsi="Times New Roman" w:cs="Times New Roman"/>
        </w:rPr>
        <w:t>我们对处理好的14个单因子进行了测试，IC测试结果如下。</w:t>
      </w:r>
    </w:p>
    <w:tbl>
      <w:tblPr>
        <w:tblStyle w:val="9"/>
        <w:tblW w:w="0" w:type="auto"/>
        <w:jc w:val="center"/>
        <w:tblLayout w:type="autofit"/>
        <w:tblCellMar>
          <w:top w:w="0" w:type="dxa"/>
          <w:left w:w="108" w:type="dxa"/>
          <w:bottom w:w="0" w:type="dxa"/>
          <w:right w:w="108" w:type="dxa"/>
        </w:tblCellMar>
      </w:tblPr>
      <w:tblGrid>
        <w:gridCol w:w="1756"/>
        <w:gridCol w:w="1023"/>
        <w:gridCol w:w="876"/>
        <w:gridCol w:w="876"/>
        <w:gridCol w:w="1426"/>
      </w:tblGrid>
      <w:tr w14:paraId="0F56A5AA">
        <w:tblPrEx>
          <w:tblCellMar>
            <w:top w:w="0" w:type="dxa"/>
            <w:left w:w="108" w:type="dxa"/>
            <w:bottom w:w="0" w:type="dxa"/>
            <w:right w:w="108" w:type="dxa"/>
          </w:tblCellMar>
        </w:tblPrEx>
        <w:trPr>
          <w:trHeight w:val="270" w:hRule="atLeast"/>
          <w:jc w:val="center"/>
        </w:trPr>
        <w:tc>
          <w:tcPr>
            <w:tcW w:w="1756" w:type="dxa"/>
            <w:tcBorders>
              <w:top w:val="nil"/>
              <w:left w:val="nil"/>
              <w:bottom w:val="single" w:color="000000" w:sz="4" w:space="0"/>
              <w:right w:val="nil"/>
              <w:tl2br w:val="nil"/>
            </w:tcBorders>
            <w:shd w:val="clear" w:color="auto" w:fill="FFFFFF"/>
            <w:noWrap/>
            <w:vAlign w:val="center"/>
          </w:tcPr>
          <w:p w14:paraId="706B2171">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factor_name</w:t>
            </w:r>
          </w:p>
        </w:tc>
        <w:tc>
          <w:tcPr>
            <w:tcW w:w="986" w:type="dxa"/>
            <w:tcBorders>
              <w:top w:val="nil"/>
              <w:left w:val="nil"/>
              <w:bottom w:val="single" w:color="000000" w:sz="4" w:space="0"/>
              <w:right w:val="nil"/>
            </w:tcBorders>
            <w:shd w:val="clear" w:color="auto" w:fill="FFFFFF"/>
            <w:noWrap/>
            <w:vAlign w:val="center"/>
          </w:tcPr>
          <w:p w14:paraId="58EEE7AE">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IC_mean</w:t>
            </w:r>
          </w:p>
        </w:tc>
        <w:tc>
          <w:tcPr>
            <w:tcW w:w="876" w:type="dxa"/>
            <w:tcBorders>
              <w:top w:val="nil"/>
              <w:left w:val="nil"/>
              <w:bottom w:val="single" w:color="000000" w:sz="4" w:space="0"/>
              <w:right w:val="nil"/>
            </w:tcBorders>
            <w:shd w:val="clear" w:color="auto" w:fill="FFFFFF"/>
            <w:noWrap/>
            <w:vAlign w:val="center"/>
          </w:tcPr>
          <w:p w14:paraId="603AF352">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IC_std</w:t>
            </w:r>
          </w:p>
        </w:tc>
        <w:tc>
          <w:tcPr>
            <w:tcW w:w="876" w:type="dxa"/>
            <w:tcBorders>
              <w:top w:val="nil"/>
              <w:left w:val="nil"/>
              <w:bottom w:val="single" w:color="000000" w:sz="4" w:space="0"/>
              <w:right w:val="nil"/>
            </w:tcBorders>
            <w:shd w:val="clear" w:color="auto" w:fill="FFFFFF"/>
            <w:noWrap/>
            <w:vAlign w:val="center"/>
          </w:tcPr>
          <w:p w14:paraId="50958D52">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IC_IR</w:t>
            </w:r>
          </w:p>
        </w:tc>
        <w:tc>
          <w:tcPr>
            <w:tcW w:w="1426" w:type="dxa"/>
            <w:tcBorders>
              <w:top w:val="nil"/>
              <w:left w:val="nil"/>
              <w:bottom w:val="single" w:color="000000" w:sz="4" w:space="0"/>
              <w:right w:val="nil"/>
            </w:tcBorders>
            <w:shd w:val="clear" w:color="auto" w:fill="FFFFFF"/>
            <w:noWrap/>
            <w:vAlign w:val="center"/>
          </w:tcPr>
          <w:p w14:paraId="145B5849">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IC_abs_mean</w:t>
            </w:r>
          </w:p>
        </w:tc>
      </w:tr>
      <w:tr w14:paraId="4EF74813">
        <w:tblPrEx>
          <w:tblCellMar>
            <w:top w:w="0" w:type="dxa"/>
            <w:left w:w="108" w:type="dxa"/>
            <w:bottom w:w="0" w:type="dxa"/>
            <w:right w:w="108" w:type="dxa"/>
          </w:tblCellMar>
        </w:tblPrEx>
        <w:trPr>
          <w:trHeight w:val="270" w:hRule="atLeast"/>
          <w:jc w:val="center"/>
        </w:trPr>
        <w:tc>
          <w:tcPr>
            <w:tcW w:w="1756" w:type="dxa"/>
            <w:tcBorders>
              <w:top w:val="single" w:color="000000" w:sz="4" w:space="0"/>
              <w:left w:val="nil"/>
              <w:bottom w:val="nil"/>
              <w:right w:val="single" w:color="000000" w:sz="4" w:space="0"/>
            </w:tcBorders>
            <w:shd w:val="clear" w:color="auto" w:fill="FFFFFF"/>
            <w:noWrap/>
            <w:vAlign w:val="center"/>
          </w:tcPr>
          <w:p w14:paraId="0A1E26A1">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turnover_20</w:t>
            </w:r>
          </w:p>
        </w:tc>
        <w:tc>
          <w:tcPr>
            <w:tcW w:w="986" w:type="dxa"/>
            <w:tcBorders>
              <w:top w:val="single" w:color="000000" w:sz="4" w:space="0"/>
              <w:left w:val="single" w:color="000000" w:sz="4" w:space="0"/>
              <w:bottom w:val="nil"/>
              <w:right w:val="nil"/>
            </w:tcBorders>
            <w:shd w:val="clear" w:color="auto" w:fill="FFFFFF"/>
            <w:noWrap/>
            <w:vAlign w:val="center"/>
          </w:tcPr>
          <w:p w14:paraId="41BCA6F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0.0975</w:t>
            </w:r>
          </w:p>
        </w:tc>
        <w:tc>
          <w:tcPr>
            <w:tcW w:w="876" w:type="dxa"/>
            <w:tcBorders>
              <w:top w:val="single" w:color="000000" w:sz="4" w:space="0"/>
              <w:left w:val="nil"/>
              <w:bottom w:val="nil"/>
              <w:right w:val="nil"/>
            </w:tcBorders>
            <w:shd w:val="clear" w:color="auto" w:fill="FFFFFF"/>
            <w:noWrap/>
            <w:vAlign w:val="center"/>
          </w:tcPr>
          <w:p w14:paraId="7D5EE9B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0.1044</w:t>
            </w:r>
          </w:p>
        </w:tc>
        <w:tc>
          <w:tcPr>
            <w:tcW w:w="876" w:type="dxa"/>
            <w:tcBorders>
              <w:top w:val="single" w:color="000000" w:sz="4" w:space="0"/>
              <w:left w:val="nil"/>
              <w:bottom w:val="nil"/>
              <w:right w:val="nil"/>
            </w:tcBorders>
            <w:shd w:val="clear" w:color="auto" w:fill="FFFFFF"/>
            <w:noWrap/>
            <w:vAlign w:val="center"/>
          </w:tcPr>
          <w:p w14:paraId="3D39C97B">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0.9333</w:t>
            </w:r>
          </w:p>
        </w:tc>
        <w:tc>
          <w:tcPr>
            <w:tcW w:w="1426" w:type="dxa"/>
            <w:tcBorders>
              <w:top w:val="single" w:color="000000" w:sz="4" w:space="0"/>
              <w:left w:val="nil"/>
              <w:bottom w:val="nil"/>
              <w:right w:val="nil"/>
            </w:tcBorders>
            <w:shd w:val="clear" w:color="auto" w:fill="FFFFFF"/>
            <w:noWrap/>
            <w:vAlign w:val="center"/>
          </w:tcPr>
          <w:p w14:paraId="6CF35B02">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0.1174</w:t>
            </w:r>
          </w:p>
        </w:tc>
      </w:tr>
      <w:tr w14:paraId="763CAB46">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7F94CD8D">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VOL</w:t>
            </w:r>
          </w:p>
        </w:tc>
        <w:tc>
          <w:tcPr>
            <w:tcW w:w="986" w:type="dxa"/>
            <w:tcBorders>
              <w:top w:val="nil"/>
              <w:left w:val="single" w:color="000000" w:sz="4" w:space="0"/>
              <w:bottom w:val="nil"/>
              <w:right w:val="nil"/>
            </w:tcBorders>
            <w:shd w:val="clear" w:color="auto" w:fill="FFFFFF"/>
            <w:noWrap/>
            <w:vAlign w:val="center"/>
          </w:tcPr>
          <w:p w14:paraId="0A9E9376">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0.0886</w:t>
            </w:r>
          </w:p>
        </w:tc>
        <w:tc>
          <w:tcPr>
            <w:tcW w:w="876" w:type="dxa"/>
            <w:tcBorders>
              <w:top w:val="nil"/>
              <w:left w:val="nil"/>
              <w:bottom w:val="nil"/>
              <w:right w:val="nil"/>
            </w:tcBorders>
            <w:shd w:val="clear" w:color="auto" w:fill="FFFFFF"/>
            <w:noWrap/>
            <w:vAlign w:val="center"/>
          </w:tcPr>
          <w:p w14:paraId="008BC573">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0.1113</w:t>
            </w:r>
          </w:p>
        </w:tc>
        <w:tc>
          <w:tcPr>
            <w:tcW w:w="876" w:type="dxa"/>
            <w:tcBorders>
              <w:top w:val="nil"/>
              <w:left w:val="nil"/>
              <w:bottom w:val="nil"/>
              <w:right w:val="nil"/>
            </w:tcBorders>
            <w:shd w:val="clear" w:color="auto" w:fill="FFFFFF"/>
            <w:noWrap/>
            <w:vAlign w:val="center"/>
          </w:tcPr>
          <w:p w14:paraId="0D228D5E">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0.7958</w:t>
            </w:r>
          </w:p>
        </w:tc>
        <w:tc>
          <w:tcPr>
            <w:tcW w:w="1426" w:type="dxa"/>
            <w:tcBorders>
              <w:top w:val="nil"/>
              <w:left w:val="nil"/>
              <w:bottom w:val="nil"/>
              <w:right w:val="nil"/>
            </w:tcBorders>
            <w:shd w:val="clear" w:color="auto" w:fill="FFFFFF"/>
            <w:noWrap/>
            <w:vAlign w:val="center"/>
          </w:tcPr>
          <w:p w14:paraId="019618A9">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0.1146</w:t>
            </w:r>
          </w:p>
        </w:tc>
      </w:tr>
      <w:tr w14:paraId="3070B6C6">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10839482">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Amihud</w:t>
            </w:r>
          </w:p>
        </w:tc>
        <w:tc>
          <w:tcPr>
            <w:tcW w:w="986" w:type="dxa"/>
            <w:tcBorders>
              <w:top w:val="nil"/>
              <w:left w:val="single" w:color="000000" w:sz="4" w:space="0"/>
              <w:bottom w:val="nil"/>
              <w:right w:val="nil"/>
            </w:tcBorders>
            <w:shd w:val="clear" w:color="auto" w:fill="FFFFFF"/>
            <w:noWrap/>
            <w:vAlign w:val="center"/>
          </w:tcPr>
          <w:p w14:paraId="22E4EE0F">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0.0653</w:t>
            </w:r>
          </w:p>
        </w:tc>
        <w:tc>
          <w:tcPr>
            <w:tcW w:w="876" w:type="dxa"/>
            <w:tcBorders>
              <w:top w:val="nil"/>
              <w:left w:val="nil"/>
              <w:bottom w:val="nil"/>
              <w:right w:val="nil"/>
            </w:tcBorders>
            <w:shd w:val="clear" w:color="auto" w:fill="FFFFFF"/>
            <w:noWrap/>
            <w:vAlign w:val="center"/>
          </w:tcPr>
          <w:p w14:paraId="438D7D15">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0.0765</w:t>
            </w:r>
          </w:p>
        </w:tc>
        <w:tc>
          <w:tcPr>
            <w:tcW w:w="876" w:type="dxa"/>
            <w:tcBorders>
              <w:top w:val="nil"/>
              <w:left w:val="nil"/>
              <w:bottom w:val="nil"/>
              <w:right w:val="nil"/>
            </w:tcBorders>
            <w:shd w:val="clear" w:color="auto" w:fill="FFFFFF"/>
            <w:noWrap/>
            <w:vAlign w:val="center"/>
          </w:tcPr>
          <w:p w14:paraId="26045AF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0.853</w:t>
            </w:r>
          </w:p>
        </w:tc>
        <w:tc>
          <w:tcPr>
            <w:tcW w:w="1426" w:type="dxa"/>
            <w:tcBorders>
              <w:top w:val="nil"/>
              <w:left w:val="nil"/>
              <w:bottom w:val="nil"/>
              <w:right w:val="nil"/>
            </w:tcBorders>
            <w:shd w:val="clear" w:color="auto" w:fill="FFFFFF"/>
            <w:noWrap/>
            <w:vAlign w:val="center"/>
          </w:tcPr>
          <w:p w14:paraId="10232C8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0.0812</w:t>
            </w:r>
          </w:p>
        </w:tc>
      </w:tr>
      <w:tr w14:paraId="4AA8747C">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6F20A172">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cpv_20</w:t>
            </w:r>
          </w:p>
        </w:tc>
        <w:tc>
          <w:tcPr>
            <w:tcW w:w="986" w:type="dxa"/>
            <w:tcBorders>
              <w:top w:val="nil"/>
              <w:left w:val="single" w:color="000000" w:sz="4" w:space="0"/>
              <w:bottom w:val="nil"/>
              <w:right w:val="nil"/>
            </w:tcBorders>
            <w:shd w:val="clear" w:color="auto" w:fill="FFFFFF"/>
            <w:noWrap/>
            <w:vAlign w:val="center"/>
          </w:tcPr>
          <w:p w14:paraId="51DE723F">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0.0631</w:t>
            </w:r>
          </w:p>
        </w:tc>
        <w:tc>
          <w:tcPr>
            <w:tcW w:w="876" w:type="dxa"/>
            <w:tcBorders>
              <w:top w:val="nil"/>
              <w:left w:val="nil"/>
              <w:bottom w:val="nil"/>
              <w:right w:val="nil"/>
            </w:tcBorders>
            <w:shd w:val="clear" w:color="auto" w:fill="FFFFFF"/>
            <w:noWrap/>
            <w:vAlign w:val="center"/>
          </w:tcPr>
          <w:p w14:paraId="5DD1C103">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0.0596</w:t>
            </w:r>
          </w:p>
        </w:tc>
        <w:tc>
          <w:tcPr>
            <w:tcW w:w="876" w:type="dxa"/>
            <w:tcBorders>
              <w:top w:val="nil"/>
              <w:left w:val="nil"/>
              <w:bottom w:val="nil"/>
              <w:right w:val="nil"/>
            </w:tcBorders>
            <w:shd w:val="clear" w:color="auto" w:fill="FFFFFF"/>
            <w:noWrap/>
            <w:vAlign w:val="center"/>
          </w:tcPr>
          <w:p w14:paraId="52E68008">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1.0588</w:t>
            </w:r>
          </w:p>
        </w:tc>
        <w:tc>
          <w:tcPr>
            <w:tcW w:w="1426" w:type="dxa"/>
            <w:tcBorders>
              <w:top w:val="nil"/>
              <w:left w:val="nil"/>
              <w:bottom w:val="nil"/>
              <w:right w:val="nil"/>
            </w:tcBorders>
            <w:shd w:val="clear" w:color="auto" w:fill="FFFFFF"/>
            <w:noWrap/>
            <w:vAlign w:val="center"/>
          </w:tcPr>
          <w:p w14:paraId="6FCA9AFB">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0.0725</w:t>
            </w:r>
          </w:p>
        </w:tc>
      </w:tr>
      <w:tr w14:paraId="331F018A">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3B89A911">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downside_vol</w:t>
            </w:r>
          </w:p>
        </w:tc>
        <w:tc>
          <w:tcPr>
            <w:tcW w:w="986" w:type="dxa"/>
            <w:tcBorders>
              <w:top w:val="nil"/>
              <w:left w:val="single" w:color="000000" w:sz="4" w:space="0"/>
              <w:bottom w:val="nil"/>
              <w:right w:val="nil"/>
            </w:tcBorders>
            <w:shd w:val="clear" w:color="auto" w:fill="FFFFFF"/>
            <w:noWrap/>
            <w:vAlign w:val="center"/>
          </w:tcPr>
          <w:p w14:paraId="2B27B9D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0.0612</w:t>
            </w:r>
          </w:p>
        </w:tc>
        <w:tc>
          <w:tcPr>
            <w:tcW w:w="876" w:type="dxa"/>
            <w:tcBorders>
              <w:top w:val="nil"/>
              <w:left w:val="nil"/>
              <w:bottom w:val="nil"/>
              <w:right w:val="nil"/>
            </w:tcBorders>
            <w:shd w:val="clear" w:color="auto" w:fill="FFFFFF"/>
            <w:noWrap/>
            <w:vAlign w:val="center"/>
          </w:tcPr>
          <w:p w14:paraId="2E11E7BE">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0.1092</w:t>
            </w:r>
          </w:p>
        </w:tc>
        <w:tc>
          <w:tcPr>
            <w:tcW w:w="876" w:type="dxa"/>
            <w:tcBorders>
              <w:top w:val="nil"/>
              <w:left w:val="nil"/>
              <w:bottom w:val="nil"/>
              <w:right w:val="nil"/>
            </w:tcBorders>
            <w:shd w:val="clear" w:color="auto" w:fill="FFFFFF"/>
            <w:noWrap/>
            <w:vAlign w:val="center"/>
          </w:tcPr>
          <w:p w14:paraId="7FF42E0D">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0.5603</w:t>
            </w:r>
          </w:p>
        </w:tc>
        <w:tc>
          <w:tcPr>
            <w:tcW w:w="1426" w:type="dxa"/>
            <w:tcBorders>
              <w:top w:val="nil"/>
              <w:left w:val="nil"/>
              <w:bottom w:val="nil"/>
              <w:right w:val="nil"/>
            </w:tcBorders>
            <w:shd w:val="clear" w:color="auto" w:fill="FFFFFF"/>
            <w:noWrap/>
            <w:vAlign w:val="center"/>
          </w:tcPr>
          <w:p w14:paraId="5597943E">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0.0992</w:t>
            </w:r>
          </w:p>
        </w:tc>
      </w:tr>
      <w:tr w14:paraId="26307D60">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478ADE01">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mom_1m</w:t>
            </w:r>
          </w:p>
        </w:tc>
        <w:tc>
          <w:tcPr>
            <w:tcW w:w="986" w:type="dxa"/>
            <w:tcBorders>
              <w:top w:val="nil"/>
              <w:left w:val="single" w:color="000000" w:sz="4" w:space="0"/>
              <w:bottom w:val="nil"/>
              <w:right w:val="nil"/>
            </w:tcBorders>
            <w:shd w:val="clear" w:color="auto" w:fill="FFFFFF"/>
            <w:noWrap/>
            <w:vAlign w:val="center"/>
          </w:tcPr>
          <w:p w14:paraId="3573A228">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0.0506</w:t>
            </w:r>
          </w:p>
        </w:tc>
        <w:tc>
          <w:tcPr>
            <w:tcW w:w="876" w:type="dxa"/>
            <w:tcBorders>
              <w:top w:val="nil"/>
              <w:left w:val="nil"/>
              <w:bottom w:val="nil"/>
              <w:right w:val="nil"/>
            </w:tcBorders>
            <w:shd w:val="clear" w:color="auto" w:fill="FFFFFF"/>
            <w:noWrap/>
            <w:vAlign w:val="center"/>
          </w:tcPr>
          <w:p w14:paraId="3020B18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0.0915</w:t>
            </w:r>
          </w:p>
        </w:tc>
        <w:tc>
          <w:tcPr>
            <w:tcW w:w="876" w:type="dxa"/>
            <w:tcBorders>
              <w:top w:val="nil"/>
              <w:left w:val="nil"/>
              <w:bottom w:val="nil"/>
              <w:right w:val="nil"/>
            </w:tcBorders>
            <w:shd w:val="clear" w:color="auto" w:fill="FFFFFF"/>
            <w:noWrap/>
            <w:vAlign w:val="center"/>
          </w:tcPr>
          <w:p w14:paraId="7148199A">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0.5535</w:t>
            </w:r>
          </w:p>
        </w:tc>
        <w:tc>
          <w:tcPr>
            <w:tcW w:w="1426" w:type="dxa"/>
            <w:tcBorders>
              <w:top w:val="nil"/>
              <w:left w:val="nil"/>
              <w:bottom w:val="nil"/>
              <w:right w:val="nil"/>
            </w:tcBorders>
            <w:shd w:val="clear" w:color="auto" w:fill="FFFFFF"/>
            <w:noWrap/>
            <w:vAlign w:val="center"/>
          </w:tcPr>
          <w:p w14:paraId="760B2FAA">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0.0817</w:t>
            </w:r>
          </w:p>
        </w:tc>
      </w:tr>
      <w:tr w14:paraId="6470CF0C">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2D46A604">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reversal_20</w:t>
            </w:r>
          </w:p>
        </w:tc>
        <w:tc>
          <w:tcPr>
            <w:tcW w:w="986" w:type="dxa"/>
            <w:tcBorders>
              <w:top w:val="nil"/>
              <w:left w:val="single" w:color="000000" w:sz="4" w:space="0"/>
              <w:bottom w:val="nil"/>
              <w:right w:val="nil"/>
            </w:tcBorders>
            <w:shd w:val="clear" w:color="auto" w:fill="FFFFFF"/>
            <w:noWrap/>
            <w:vAlign w:val="center"/>
          </w:tcPr>
          <w:p w14:paraId="0A5BAEA3">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0.0491</w:t>
            </w:r>
          </w:p>
        </w:tc>
        <w:tc>
          <w:tcPr>
            <w:tcW w:w="876" w:type="dxa"/>
            <w:tcBorders>
              <w:top w:val="nil"/>
              <w:left w:val="nil"/>
              <w:bottom w:val="nil"/>
              <w:right w:val="nil"/>
            </w:tcBorders>
            <w:shd w:val="clear" w:color="auto" w:fill="FFFFFF"/>
            <w:noWrap/>
            <w:vAlign w:val="center"/>
          </w:tcPr>
          <w:p w14:paraId="7A476C1E">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0.0931</w:t>
            </w:r>
          </w:p>
        </w:tc>
        <w:tc>
          <w:tcPr>
            <w:tcW w:w="876" w:type="dxa"/>
            <w:tcBorders>
              <w:top w:val="nil"/>
              <w:left w:val="nil"/>
              <w:bottom w:val="nil"/>
              <w:right w:val="nil"/>
            </w:tcBorders>
            <w:shd w:val="clear" w:color="auto" w:fill="FFFFFF"/>
            <w:noWrap/>
            <w:vAlign w:val="center"/>
          </w:tcPr>
          <w:p w14:paraId="210BB0FD">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0.5277</w:t>
            </w:r>
          </w:p>
        </w:tc>
        <w:tc>
          <w:tcPr>
            <w:tcW w:w="1426" w:type="dxa"/>
            <w:tcBorders>
              <w:top w:val="nil"/>
              <w:left w:val="nil"/>
              <w:bottom w:val="nil"/>
              <w:right w:val="nil"/>
            </w:tcBorders>
            <w:shd w:val="clear" w:color="auto" w:fill="FFFFFF"/>
            <w:noWrap/>
            <w:vAlign w:val="center"/>
          </w:tcPr>
          <w:p w14:paraId="58919793">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0.0827</w:t>
            </w:r>
          </w:p>
        </w:tc>
      </w:tr>
      <w:tr w14:paraId="75563124">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56C3E7BC">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OVB_SLP</w:t>
            </w:r>
          </w:p>
        </w:tc>
        <w:tc>
          <w:tcPr>
            <w:tcW w:w="986" w:type="dxa"/>
            <w:tcBorders>
              <w:top w:val="nil"/>
              <w:left w:val="single" w:color="000000" w:sz="4" w:space="0"/>
              <w:bottom w:val="nil"/>
              <w:right w:val="nil"/>
            </w:tcBorders>
            <w:shd w:val="clear" w:color="auto" w:fill="FFFFFF"/>
            <w:noWrap/>
            <w:vAlign w:val="center"/>
          </w:tcPr>
          <w:p w14:paraId="349DF21C">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0.0299</w:t>
            </w:r>
          </w:p>
        </w:tc>
        <w:tc>
          <w:tcPr>
            <w:tcW w:w="876" w:type="dxa"/>
            <w:tcBorders>
              <w:top w:val="nil"/>
              <w:left w:val="nil"/>
              <w:bottom w:val="nil"/>
              <w:right w:val="nil"/>
            </w:tcBorders>
            <w:shd w:val="clear" w:color="auto" w:fill="FFFFFF"/>
            <w:noWrap/>
            <w:vAlign w:val="center"/>
          </w:tcPr>
          <w:p w14:paraId="2A5DFBB5">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0.0517</w:t>
            </w:r>
          </w:p>
        </w:tc>
        <w:tc>
          <w:tcPr>
            <w:tcW w:w="876" w:type="dxa"/>
            <w:tcBorders>
              <w:top w:val="nil"/>
              <w:left w:val="nil"/>
              <w:bottom w:val="nil"/>
              <w:right w:val="nil"/>
            </w:tcBorders>
            <w:shd w:val="clear" w:color="auto" w:fill="FFFFFF"/>
            <w:noWrap/>
            <w:vAlign w:val="center"/>
          </w:tcPr>
          <w:p w14:paraId="728E18EE">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0.5787</w:t>
            </w:r>
          </w:p>
        </w:tc>
        <w:tc>
          <w:tcPr>
            <w:tcW w:w="1426" w:type="dxa"/>
            <w:tcBorders>
              <w:top w:val="nil"/>
              <w:left w:val="nil"/>
              <w:bottom w:val="nil"/>
              <w:right w:val="nil"/>
            </w:tcBorders>
            <w:shd w:val="clear" w:color="auto" w:fill="FFFFFF"/>
            <w:noWrap/>
            <w:vAlign w:val="center"/>
          </w:tcPr>
          <w:p w14:paraId="505F5BEB">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0.0476</w:t>
            </w:r>
          </w:p>
        </w:tc>
      </w:tr>
      <w:tr w14:paraId="64548435">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06A82C11">
            <w:pPr>
              <w:widowControl/>
              <w:jc w:val="lef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e_p</w:t>
            </w:r>
          </w:p>
        </w:tc>
        <w:tc>
          <w:tcPr>
            <w:tcW w:w="986" w:type="dxa"/>
            <w:tcBorders>
              <w:top w:val="nil"/>
              <w:left w:val="single" w:color="000000" w:sz="4" w:space="0"/>
              <w:bottom w:val="nil"/>
              <w:right w:val="nil"/>
            </w:tcBorders>
            <w:shd w:val="clear" w:color="auto" w:fill="FFFFFF"/>
            <w:noWrap/>
            <w:vAlign w:val="center"/>
          </w:tcPr>
          <w:p w14:paraId="7CAF308F">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0.027</w:t>
            </w:r>
          </w:p>
        </w:tc>
        <w:tc>
          <w:tcPr>
            <w:tcW w:w="876" w:type="dxa"/>
            <w:tcBorders>
              <w:top w:val="nil"/>
              <w:left w:val="nil"/>
              <w:bottom w:val="nil"/>
              <w:right w:val="nil"/>
            </w:tcBorders>
            <w:shd w:val="clear" w:color="auto" w:fill="FFFFFF"/>
            <w:noWrap/>
            <w:vAlign w:val="center"/>
          </w:tcPr>
          <w:p w14:paraId="67E6DA7A">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0.0715</w:t>
            </w:r>
          </w:p>
        </w:tc>
        <w:tc>
          <w:tcPr>
            <w:tcW w:w="876" w:type="dxa"/>
            <w:tcBorders>
              <w:top w:val="nil"/>
              <w:left w:val="nil"/>
              <w:bottom w:val="nil"/>
              <w:right w:val="nil"/>
            </w:tcBorders>
            <w:shd w:val="clear" w:color="auto" w:fill="FFFFFF"/>
            <w:noWrap/>
            <w:vAlign w:val="center"/>
          </w:tcPr>
          <w:p w14:paraId="1E587654">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0.3769</w:t>
            </w:r>
          </w:p>
        </w:tc>
        <w:tc>
          <w:tcPr>
            <w:tcW w:w="1426" w:type="dxa"/>
            <w:tcBorders>
              <w:top w:val="nil"/>
              <w:left w:val="nil"/>
              <w:bottom w:val="nil"/>
              <w:right w:val="nil"/>
            </w:tcBorders>
            <w:shd w:val="clear" w:color="auto" w:fill="FFFFFF"/>
            <w:noWrap/>
            <w:vAlign w:val="center"/>
          </w:tcPr>
          <w:p w14:paraId="42C03F98">
            <w:pPr>
              <w:widowControl/>
              <w:jc w:val="right"/>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0.063</w:t>
            </w:r>
          </w:p>
        </w:tc>
      </w:tr>
      <w:tr w14:paraId="29549E05">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1960C4DD">
            <w:pPr>
              <w:widowControl/>
              <w:jc w:val="lef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logSize</w:t>
            </w:r>
          </w:p>
        </w:tc>
        <w:tc>
          <w:tcPr>
            <w:tcW w:w="986" w:type="dxa"/>
            <w:tcBorders>
              <w:top w:val="nil"/>
              <w:left w:val="single" w:color="000000" w:sz="4" w:space="0"/>
              <w:bottom w:val="nil"/>
              <w:right w:val="nil"/>
            </w:tcBorders>
            <w:shd w:val="clear" w:color="auto" w:fill="FFFFFF"/>
            <w:noWrap/>
            <w:vAlign w:val="center"/>
          </w:tcPr>
          <w:p w14:paraId="306D236F">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0.0188</w:t>
            </w:r>
          </w:p>
        </w:tc>
        <w:tc>
          <w:tcPr>
            <w:tcW w:w="876" w:type="dxa"/>
            <w:tcBorders>
              <w:top w:val="nil"/>
              <w:left w:val="nil"/>
              <w:bottom w:val="nil"/>
              <w:right w:val="nil"/>
            </w:tcBorders>
            <w:shd w:val="clear" w:color="auto" w:fill="FFFFFF"/>
            <w:noWrap/>
            <w:vAlign w:val="center"/>
          </w:tcPr>
          <w:p w14:paraId="65F5284C">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0.1476</w:t>
            </w:r>
          </w:p>
        </w:tc>
        <w:tc>
          <w:tcPr>
            <w:tcW w:w="876" w:type="dxa"/>
            <w:tcBorders>
              <w:top w:val="nil"/>
              <w:left w:val="nil"/>
              <w:bottom w:val="nil"/>
              <w:right w:val="nil"/>
            </w:tcBorders>
            <w:shd w:val="clear" w:color="auto" w:fill="FFFFFF"/>
            <w:noWrap/>
            <w:vAlign w:val="center"/>
          </w:tcPr>
          <w:p w14:paraId="0917D6B0">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0.1271</w:t>
            </w:r>
          </w:p>
        </w:tc>
        <w:tc>
          <w:tcPr>
            <w:tcW w:w="1426" w:type="dxa"/>
            <w:tcBorders>
              <w:top w:val="nil"/>
              <w:left w:val="nil"/>
              <w:bottom w:val="nil"/>
              <w:right w:val="nil"/>
            </w:tcBorders>
            <w:shd w:val="clear" w:color="auto" w:fill="FFFFFF"/>
            <w:noWrap/>
            <w:vAlign w:val="center"/>
          </w:tcPr>
          <w:p w14:paraId="7293C0B4">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0.12</w:t>
            </w:r>
          </w:p>
        </w:tc>
      </w:tr>
      <w:tr w14:paraId="726EB227">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2E3EFD8F">
            <w:pPr>
              <w:widowControl/>
              <w:jc w:val="lef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UTD</w:t>
            </w:r>
          </w:p>
        </w:tc>
        <w:tc>
          <w:tcPr>
            <w:tcW w:w="986" w:type="dxa"/>
            <w:tcBorders>
              <w:top w:val="nil"/>
              <w:left w:val="single" w:color="000000" w:sz="4" w:space="0"/>
              <w:bottom w:val="nil"/>
              <w:right w:val="nil"/>
            </w:tcBorders>
            <w:shd w:val="clear" w:color="auto" w:fill="FFFFFF"/>
            <w:noWrap/>
            <w:vAlign w:val="center"/>
          </w:tcPr>
          <w:p w14:paraId="41922553">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0.0131</w:t>
            </w:r>
          </w:p>
        </w:tc>
        <w:tc>
          <w:tcPr>
            <w:tcW w:w="876" w:type="dxa"/>
            <w:tcBorders>
              <w:top w:val="nil"/>
              <w:left w:val="nil"/>
              <w:bottom w:val="nil"/>
              <w:right w:val="nil"/>
            </w:tcBorders>
            <w:shd w:val="clear" w:color="auto" w:fill="FFFFFF"/>
            <w:noWrap/>
            <w:vAlign w:val="center"/>
          </w:tcPr>
          <w:p w14:paraId="1EAEBAD8">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0.0511</w:t>
            </w:r>
          </w:p>
        </w:tc>
        <w:tc>
          <w:tcPr>
            <w:tcW w:w="876" w:type="dxa"/>
            <w:tcBorders>
              <w:top w:val="nil"/>
              <w:left w:val="nil"/>
              <w:bottom w:val="nil"/>
              <w:right w:val="nil"/>
            </w:tcBorders>
            <w:shd w:val="clear" w:color="auto" w:fill="FFFFFF"/>
            <w:noWrap/>
            <w:vAlign w:val="center"/>
          </w:tcPr>
          <w:p w14:paraId="3042B435">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0.2567</w:t>
            </w:r>
          </w:p>
        </w:tc>
        <w:tc>
          <w:tcPr>
            <w:tcW w:w="1426" w:type="dxa"/>
            <w:tcBorders>
              <w:top w:val="nil"/>
              <w:left w:val="nil"/>
              <w:bottom w:val="nil"/>
              <w:right w:val="nil"/>
            </w:tcBorders>
            <w:shd w:val="clear" w:color="auto" w:fill="FFFFFF"/>
            <w:noWrap/>
            <w:vAlign w:val="center"/>
          </w:tcPr>
          <w:p w14:paraId="0A081087">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0.0406</w:t>
            </w:r>
          </w:p>
        </w:tc>
      </w:tr>
      <w:tr w14:paraId="7CC9B11D">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1BB57B54">
            <w:pPr>
              <w:widowControl/>
              <w:jc w:val="lef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trend_strength</w:t>
            </w:r>
          </w:p>
        </w:tc>
        <w:tc>
          <w:tcPr>
            <w:tcW w:w="986" w:type="dxa"/>
            <w:tcBorders>
              <w:top w:val="nil"/>
              <w:left w:val="single" w:color="000000" w:sz="4" w:space="0"/>
              <w:bottom w:val="nil"/>
              <w:right w:val="nil"/>
            </w:tcBorders>
            <w:shd w:val="clear" w:color="auto" w:fill="FFFFFF"/>
            <w:noWrap/>
            <w:vAlign w:val="center"/>
          </w:tcPr>
          <w:p w14:paraId="1C49146B">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0.0131</w:t>
            </w:r>
          </w:p>
        </w:tc>
        <w:tc>
          <w:tcPr>
            <w:tcW w:w="876" w:type="dxa"/>
            <w:tcBorders>
              <w:top w:val="nil"/>
              <w:left w:val="nil"/>
              <w:bottom w:val="nil"/>
              <w:right w:val="nil"/>
            </w:tcBorders>
            <w:shd w:val="clear" w:color="auto" w:fill="FFFFFF"/>
            <w:noWrap/>
            <w:vAlign w:val="center"/>
          </w:tcPr>
          <w:p w14:paraId="3AA10A9D">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0.0591</w:t>
            </w:r>
          </w:p>
        </w:tc>
        <w:tc>
          <w:tcPr>
            <w:tcW w:w="876" w:type="dxa"/>
            <w:tcBorders>
              <w:top w:val="nil"/>
              <w:left w:val="nil"/>
              <w:bottom w:val="nil"/>
              <w:right w:val="nil"/>
            </w:tcBorders>
            <w:shd w:val="clear" w:color="auto" w:fill="FFFFFF"/>
            <w:noWrap/>
            <w:vAlign w:val="center"/>
          </w:tcPr>
          <w:p w14:paraId="4F20F649">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0.2218</w:t>
            </w:r>
          </w:p>
        </w:tc>
        <w:tc>
          <w:tcPr>
            <w:tcW w:w="1426" w:type="dxa"/>
            <w:tcBorders>
              <w:top w:val="nil"/>
              <w:left w:val="nil"/>
              <w:bottom w:val="nil"/>
              <w:right w:val="nil"/>
            </w:tcBorders>
            <w:shd w:val="clear" w:color="auto" w:fill="FFFFFF"/>
            <w:noWrap/>
            <w:vAlign w:val="center"/>
          </w:tcPr>
          <w:p w14:paraId="3E9532C6">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0.0449</w:t>
            </w:r>
          </w:p>
        </w:tc>
      </w:tr>
      <w:tr w14:paraId="0BB09933">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609CA7E9">
            <w:pPr>
              <w:widowControl/>
              <w:jc w:val="lef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roe</w:t>
            </w:r>
          </w:p>
        </w:tc>
        <w:tc>
          <w:tcPr>
            <w:tcW w:w="986" w:type="dxa"/>
            <w:tcBorders>
              <w:top w:val="nil"/>
              <w:left w:val="single" w:color="000000" w:sz="4" w:space="0"/>
              <w:bottom w:val="nil"/>
              <w:right w:val="nil"/>
            </w:tcBorders>
            <w:shd w:val="clear" w:color="auto" w:fill="FFFFFF"/>
            <w:noWrap/>
            <w:vAlign w:val="center"/>
          </w:tcPr>
          <w:p w14:paraId="74E27194">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0.0131</w:t>
            </w:r>
          </w:p>
        </w:tc>
        <w:tc>
          <w:tcPr>
            <w:tcW w:w="876" w:type="dxa"/>
            <w:tcBorders>
              <w:top w:val="nil"/>
              <w:left w:val="nil"/>
              <w:bottom w:val="nil"/>
              <w:right w:val="nil"/>
            </w:tcBorders>
            <w:shd w:val="clear" w:color="auto" w:fill="FFFFFF"/>
            <w:noWrap/>
            <w:vAlign w:val="center"/>
          </w:tcPr>
          <w:p w14:paraId="2E2C3619">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0.084</w:t>
            </w:r>
          </w:p>
        </w:tc>
        <w:tc>
          <w:tcPr>
            <w:tcW w:w="876" w:type="dxa"/>
            <w:tcBorders>
              <w:top w:val="nil"/>
              <w:left w:val="nil"/>
              <w:bottom w:val="nil"/>
              <w:right w:val="nil"/>
            </w:tcBorders>
            <w:shd w:val="clear" w:color="auto" w:fill="FFFFFF"/>
            <w:noWrap/>
            <w:vAlign w:val="center"/>
          </w:tcPr>
          <w:p w14:paraId="71243652">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0.1554</w:t>
            </w:r>
          </w:p>
        </w:tc>
        <w:tc>
          <w:tcPr>
            <w:tcW w:w="1426" w:type="dxa"/>
            <w:tcBorders>
              <w:top w:val="nil"/>
              <w:left w:val="nil"/>
              <w:bottom w:val="nil"/>
              <w:right w:val="nil"/>
            </w:tcBorders>
            <w:shd w:val="clear" w:color="auto" w:fill="FFFFFF"/>
            <w:noWrap/>
            <w:vAlign w:val="center"/>
          </w:tcPr>
          <w:p w14:paraId="1544CE72">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0.07</w:t>
            </w:r>
          </w:p>
        </w:tc>
      </w:tr>
      <w:tr w14:paraId="0376C0ED">
        <w:tblPrEx>
          <w:tblCellMar>
            <w:top w:w="0" w:type="dxa"/>
            <w:left w:w="108" w:type="dxa"/>
            <w:bottom w:w="0" w:type="dxa"/>
            <w:right w:w="108" w:type="dxa"/>
          </w:tblCellMar>
        </w:tblPrEx>
        <w:trPr>
          <w:trHeight w:val="270" w:hRule="atLeast"/>
          <w:jc w:val="center"/>
        </w:trPr>
        <w:tc>
          <w:tcPr>
            <w:tcW w:w="1756" w:type="dxa"/>
            <w:tcBorders>
              <w:top w:val="nil"/>
              <w:left w:val="nil"/>
              <w:bottom w:val="nil"/>
              <w:right w:val="single" w:color="000000" w:sz="4" w:space="0"/>
            </w:tcBorders>
            <w:shd w:val="clear" w:color="auto" w:fill="FFFFFF"/>
            <w:noWrap/>
            <w:vAlign w:val="center"/>
          </w:tcPr>
          <w:p w14:paraId="10F1EC55">
            <w:pPr>
              <w:widowControl/>
              <w:jc w:val="lef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revenue_growth</w:t>
            </w:r>
          </w:p>
        </w:tc>
        <w:tc>
          <w:tcPr>
            <w:tcW w:w="986" w:type="dxa"/>
            <w:tcBorders>
              <w:top w:val="nil"/>
              <w:left w:val="single" w:color="000000" w:sz="4" w:space="0"/>
              <w:bottom w:val="nil"/>
              <w:right w:val="nil"/>
            </w:tcBorders>
            <w:shd w:val="clear" w:color="auto" w:fill="FFFFFF"/>
            <w:noWrap/>
            <w:vAlign w:val="center"/>
          </w:tcPr>
          <w:p w14:paraId="2C043233">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0.0038</w:t>
            </w:r>
          </w:p>
        </w:tc>
        <w:tc>
          <w:tcPr>
            <w:tcW w:w="876" w:type="dxa"/>
            <w:tcBorders>
              <w:top w:val="nil"/>
              <w:left w:val="nil"/>
              <w:bottom w:val="nil"/>
              <w:right w:val="nil"/>
            </w:tcBorders>
            <w:shd w:val="clear" w:color="auto" w:fill="FFFFFF"/>
            <w:noWrap/>
            <w:vAlign w:val="center"/>
          </w:tcPr>
          <w:p w14:paraId="3806A6A5">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0.0579</w:t>
            </w:r>
          </w:p>
        </w:tc>
        <w:tc>
          <w:tcPr>
            <w:tcW w:w="876" w:type="dxa"/>
            <w:tcBorders>
              <w:top w:val="nil"/>
              <w:left w:val="nil"/>
              <w:bottom w:val="nil"/>
              <w:right w:val="nil"/>
            </w:tcBorders>
            <w:shd w:val="clear" w:color="auto" w:fill="FFFFFF"/>
            <w:noWrap/>
            <w:vAlign w:val="center"/>
          </w:tcPr>
          <w:p w14:paraId="7233D2CB">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0.0654</w:t>
            </w:r>
          </w:p>
        </w:tc>
        <w:tc>
          <w:tcPr>
            <w:tcW w:w="1426" w:type="dxa"/>
            <w:tcBorders>
              <w:top w:val="nil"/>
              <w:left w:val="nil"/>
              <w:bottom w:val="nil"/>
              <w:right w:val="nil"/>
            </w:tcBorders>
            <w:shd w:val="clear" w:color="auto" w:fill="FFFFFF"/>
            <w:noWrap/>
            <w:vAlign w:val="center"/>
          </w:tcPr>
          <w:p w14:paraId="492AA131">
            <w:pPr>
              <w:widowControl/>
              <w:jc w:val="right"/>
              <w:textAlignment w:val="center"/>
              <w:rPr>
                <w:rFonts w:hint="default" w:ascii="Times New Roman" w:hAnsi="Times New Roman" w:eastAsia="宋体" w:cs="Times New Roman"/>
                <w:color w:val="000000"/>
                <w:kern w:val="0"/>
                <w:sz w:val="22"/>
                <w:szCs w:val="22"/>
                <w:lang w:bidi="ar"/>
              </w:rPr>
            </w:pPr>
            <w:r>
              <w:rPr>
                <w:rFonts w:hint="default" w:ascii="Times New Roman" w:hAnsi="Times New Roman" w:eastAsia="宋体" w:cs="Times New Roman"/>
                <w:color w:val="000000"/>
                <w:kern w:val="0"/>
                <w:sz w:val="22"/>
                <w:szCs w:val="22"/>
                <w:lang w:bidi="ar"/>
              </w:rPr>
              <w:t>0.0465</w:t>
            </w:r>
          </w:p>
        </w:tc>
      </w:tr>
    </w:tbl>
    <w:p w14:paraId="7DD3FBB1">
      <w:pPr>
        <w:rPr>
          <w:rFonts w:hint="default" w:ascii="Times New Roman" w:hAnsi="Times New Roman" w:cs="Times New Roman"/>
        </w:rPr>
      </w:pPr>
      <w:r>
        <w:rPr>
          <w:rFonts w:hint="default" w:ascii="Times New Roman" w:hAnsi="Times New Roman" w:cs="Times New Roman"/>
        </w:rPr>
        <w:drawing>
          <wp:inline distT="0" distB="0" distL="114300" distR="114300">
            <wp:extent cx="5266690" cy="3181350"/>
            <wp:effectExtent l="0" t="0" r="0" b="0"/>
            <wp:docPr id="5" name="图片 5" descr="cpv_20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pv_20_ic"/>
                    <pic:cNvPicPr>
                      <a:picLocks noChangeAspect="1"/>
                    </pic:cNvPicPr>
                  </pic:nvPicPr>
                  <pic:blipFill>
                    <a:blip r:embed="rId4"/>
                    <a:srcRect b="24503"/>
                    <a:stretch>
                      <a:fillRect/>
                    </a:stretch>
                  </pic:blipFill>
                  <pic:spPr>
                    <a:xfrm>
                      <a:off x="0" y="0"/>
                      <a:ext cx="5266690" cy="3181350"/>
                    </a:xfrm>
                    <a:prstGeom prst="rect">
                      <a:avLst/>
                    </a:prstGeom>
                  </pic:spPr>
                </pic:pic>
              </a:graphicData>
            </a:graphic>
          </wp:inline>
        </w:drawing>
      </w:r>
    </w:p>
    <w:p w14:paraId="486BACF6">
      <w:pPr>
        <w:ind w:firstLine="420"/>
        <w:rPr>
          <w:rFonts w:hint="default" w:ascii="Times New Roman" w:hAnsi="Times New Roman" w:cs="Times New Roman"/>
        </w:rPr>
      </w:pPr>
      <w:r>
        <w:rPr>
          <w:rFonts w:hint="default" w:ascii="Times New Roman" w:hAnsi="Times New Roman" w:cs="Times New Roman"/>
        </w:rPr>
        <w:t>从图像中可以很直观地看出IC测试的结果。以上图cpv_20因子的图像为例，IC累计曲线平稳向下，19月均值平稳，可以认为是一个非常稳定的负向因子，即cpv_20越小（量价相关性越小），个股未来收益越高。</w:t>
      </w:r>
    </w:p>
    <w:p w14:paraId="65D7365A">
      <w:pPr>
        <w:rPr>
          <w:rFonts w:hint="default" w:ascii="Times New Roman" w:hAnsi="Times New Roman" w:cs="Times New Roman"/>
        </w:rPr>
      </w:pPr>
      <w:r>
        <w:rPr>
          <w:rFonts w:hint="default" w:ascii="Times New Roman" w:hAnsi="Times New Roman" w:cs="Times New Roman"/>
        </w:rPr>
        <w:drawing>
          <wp:inline distT="0" distB="0" distL="114300" distR="114300">
            <wp:extent cx="5274310" cy="3767455"/>
            <wp:effectExtent l="0" t="0" r="2540" b="4445"/>
            <wp:docPr id="6" name="图片 6" descr="cpv_20_grou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pv_20_grouping"/>
                    <pic:cNvPicPr>
                      <a:picLocks noChangeAspect="1"/>
                    </pic:cNvPicPr>
                  </pic:nvPicPr>
                  <pic:blipFill>
                    <a:blip r:embed="rId5"/>
                    <a:stretch>
                      <a:fillRect/>
                    </a:stretch>
                  </pic:blipFill>
                  <pic:spPr>
                    <a:xfrm>
                      <a:off x="0" y="0"/>
                      <a:ext cx="5274310" cy="3767455"/>
                    </a:xfrm>
                    <a:prstGeom prst="rect">
                      <a:avLst/>
                    </a:prstGeom>
                  </pic:spPr>
                </pic:pic>
              </a:graphicData>
            </a:graphic>
          </wp:inline>
        </w:drawing>
      </w:r>
    </w:p>
    <w:p w14:paraId="0C4D047F">
      <w:pPr>
        <w:ind w:firstLine="420"/>
        <w:rPr>
          <w:rFonts w:hint="default" w:ascii="Times New Roman" w:hAnsi="Times New Roman" w:cs="Times New Roman"/>
        </w:rPr>
      </w:pPr>
      <w:r>
        <w:rPr>
          <w:rFonts w:hint="default" w:ascii="Times New Roman" w:hAnsi="Times New Roman" w:cs="Times New Roman"/>
        </w:rPr>
        <w:t>分组测试用图像表示更加直观。仍以cpv_20因子的图像为例，可以看到因子分组分层较好，除了第10组的收益率有所降低，分组收益率整体呈现线性递增关系。美中不足的是，因子分组换手率较高，也就意味着个股在该因子上的因子暴露在时间序列上不稳定，导致个股经常切换分组，如果考虑手续费和印花税，将会产生较高的交易成本。其余的IC测试图像</w:t>
      </w:r>
      <w:r>
        <w:rPr>
          <w:rFonts w:hint="default" w:ascii="Times New Roman" w:hAnsi="Times New Roman" w:cs="Times New Roman"/>
          <w:lang w:val="en-US" w:eastAsia="zh-CN"/>
        </w:rPr>
        <w:t>和</w:t>
      </w:r>
      <w:r>
        <w:rPr>
          <w:rFonts w:hint="default" w:ascii="Times New Roman" w:hAnsi="Times New Roman" w:cs="Times New Roman"/>
        </w:rPr>
        <w:t>分组测试图像保存在</w:t>
      </w:r>
      <w:r>
        <w:rPr>
          <w:rFonts w:hint="default" w:ascii="Times New Roman" w:hAnsi="Times New Roman" w:cs="Times New Roman"/>
          <w:i/>
          <w:iCs/>
          <w:lang w:val="en-US" w:eastAsia="zh-CN"/>
        </w:rPr>
        <w:t>results /</w:t>
      </w:r>
      <w:r>
        <w:rPr>
          <w:rFonts w:hint="default" w:ascii="Times New Roman" w:hAnsi="Times New Roman" w:cs="Times New Roman"/>
          <w:i/>
          <w:iCs/>
        </w:rPr>
        <w:t>单因子测试results</w:t>
      </w:r>
      <w:r>
        <w:rPr>
          <w:rFonts w:hint="default" w:ascii="Times New Roman" w:hAnsi="Times New Roman" w:cs="Times New Roman"/>
        </w:rPr>
        <w:t>文件夹中。</w:t>
      </w:r>
    </w:p>
    <w:p w14:paraId="01B241E6">
      <w:pPr>
        <w:rPr>
          <w:rFonts w:hint="default" w:ascii="Times New Roman" w:hAnsi="Times New Roman" w:cs="Times New Roman"/>
        </w:rPr>
      </w:pPr>
    </w:p>
    <w:p w14:paraId="2E96CC27">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多因子选取</w:t>
      </w:r>
    </w:p>
    <w:p w14:paraId="6A22C577">
      <w:pPr>
        <w:ind w:firstLine="420"/>
        <w:rPr>
          <w:rFonts w:hint="default" w:ascii="Times New Roman" w:hAnsi="Times New Roman" w:cs="Times New Roman"/>
        </w:rPr>
      </w:pPr>
      <w:r>
        <w:rPr>
          <w:rFonts w:hint="default" w:ascii="Times New Roman" w:hAnsi="Times New Roman" w:cs="Times New Roman"/>
        </w:rPr>
        <w:t>采用斯皮尔曼秩相关系数评估任意两个因子之间的</w:t>
      </w:r>
      <w:r>
        <w:rPr>
          <w:rFonts w:hint="default" w:ascii="Times New Roman" w:hAnsi="Times New Roman" w:cs="Times New Roman"/>
        </w:rPr>
        <w:t>相关性</w:t>
      </w:r>
      <w:r>
        <w:rPr>
          <w:rFonts w:hint="default" w:ascii="Times New Roman" w:hAnsi="Times New Roman" w:cs="Times New Roman"/>
        </w:rPr>
        <w:t>强度</w:t>
      </w:r>
      <w:r>
        <w:rPr>
          <w:rFonts w:hint="default" w:ascii="Times New Roman" w:hAnsi="Times New Roman" w:cs="Times New Roman"/>
        </w:rPr>
        <w:t>，得到的热力图为：</w:t>
      </w:r>
    </w:p>
    <w:p w14:paraId="52FE5A25">
      <w:pPr>
        <w:tabs>
          <w:tab w:val="left" w:pos="720"/>
        </w:tabs>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6055" cy="4418330"/>
            <wp:effectExtent l="0" t="0" r="10795"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5266055" cy="4418330"/>
                    </a:xfrm>
                    <a:prstGeom prst="rect">
                      <a:avLst/>
                    </a:prstGeom>
                    <a:noFill/>
                    <a:ln>
                      <a:noFill/>
                    </a:ln>
                  </pic:spPr>
                </pic:pic>
              </a:graphicData>
            </a:graphic>
          </wp:inline>
        </w:drawing>
      </w:r>
    </w:p>
    <w:p w14:paraId="02D51736">
      <w:pPr>
        <w:ind w:firstLine="420"/>
        <w:rPr>
          <w:rFonts w:hint="default" w:ascii="Times New Roman" w:hAnsi="Times New Roman" w:cs="Times New Roman"/>
        </w:rPr>
      </w:pPr>
      <w:r>
        <w:rPr>
          <w:rFonts w:hint="default" w:ascii="Times New Roman" w:hAnsi="Times New Roman" w:cs="Times New Roman"/>
        </w:rPr>
        <w:t>我们发现动量因子mom_1m和反转因子reversal_20、波动率VOL与下行风险downside_vol以及roe与e_p因子相关性较高，绝对值超过了0.7。因此我们将这三组因子进行以正IC为方向的等权合成。同时，综合考虑IC测试和分组测试，我们剔除revenue_growth、trend_strength、log_Size三个因子。其中revenue_growth因子的IC值很低，而这三个因子在分组测试中没有产生比较清晰的分层或者分组收益率不线性，会对模型产生困惑。</w:t>
      </w:r>
    </w:p>
    <w:p w14:paraId="43E816F5">
      <w:pPr>
        <w:tabs>
          <w:tab w:val="left" w:pos="720"/>
        </w:tabs>
        <w:ind w:firstLine="420" w:firstLineChars="200"/>
        <w:rPr>
          <w:rFonts w:hint="default" w:ascii="Times New Roman" w:hAnsi="Times New Roman" w:cs="Times New Roman"/>
        </w:rPr>
      </w:pPr>
      <w:r>
        <w:rPr>
          <w:rFonts w:hint="default" w:ascii="Times New Roman" w:hAnsi="Times New Roman" w:cs="Times New Roman"/>
        </w:rPr>
        <w:t>在进行因子筛选后，因子相关性如下图：</w:t>
      </w:r>
    </w:p>
    <w:p w14:paraId="39C59284">
      <w:pPr>
        <w:tabs>
          <w:tab w:val="left" w:pos="720"/>
        </w:tabs>
        <w:rPr>
          <w:rFonts w:hint="default" w:ascii="Times New Roman" w:hAnsi="Times New Roman" w:cs="Times New Roman"/>
        </w:rPr>
      </w:pPr>
      <w:r>
        <w:rPr>
          <w:rFonts w:hint="default" w:ascii="Times New Roman" w:hAnsi="Times New Roman" w:cs="Times New Roman"/>
        </w:rPr>
        <w:drawing>
          <wp:inline distT="0" distB="0" distL="114300" distR="114300">
            <wp:extent cx="5271135" cy="4469130"/>
            <wp:effectExtent l="0" t="0" r="5715"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7"/>
                    <a:stretch>
                      <a:fillRect/>
                    </a:stretch>
                  </pic:blipFill>
                  <pic:spPr>
                    <a:xfrm>
                      <a:off x="0" y="0"/>
                      <a:ext cx="5271135" cy="4469130"/>
                    </a:xfrm>
                    <a:prstGeom prst="rect">
                      <a:avLst/>
                    </a:prstGeom>
                    <a:noFill/>
                    <a:ln>
                      <a:noFill/>
                    </a:ln>
                  </pic:spPr>
                </pic:pic>
              </a:graphicData>
            </a:graphic>
          </wp:inline>
        </w:drawing>
      </w:r>
    </w:p>
    <w:p w14:paraId="6B92B6CE">
      <w:pPr>
        <w:pStyle w:val="15"/>
        <w:ind w:left="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接下来</w:t>
      </w:r>
      <w:r>
        <w:rPr>
          <w:rFonts w:hint="default" w:ascii="Times New Roman" w:hAnsi="Times New Roman" w:cs="Times New Roman"/>
        </w:rPr>
        <w:t>采用方差膨胀因子评估一个因子是否可以被其他所有因子的线性组合所解释。</w:t>
      </w:r>
      <w:r>
        <w:rPr>
          <w:rFonts w:hint="default" w:ascii="Times New Roman" w:hAnsi="Times New Roman" w:cs="Times New Roman"/>
        </w:rPr>
        <w:t>对应结果为：</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2079"/>
      </w:tblGrid>
      <w:tr w14:paraId="0767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single" w:color="000000" w:sz="4" w:space="0"/>
              <w:right w:val="nil"/>
              <w:tl2br w:val="nil"/>
            </w:tcBorders>
            <w:shd w:val="clear" w:color="auto" w:fill="FFFFFF"/>
          </w:tcPr>
          <w:p w14:paraId="767BE967">
            <w:pPr>
              <w:jc w:val="center"/>
              <w:rPr>
                <w:rFonts w:hint="default" w:ascii="Times New Roman" w:hAnsi="Times New Roman" w:cs="Times New Roman"/>
                <w:color w:val="000000"/>
              </w:rPr>
            </w:pPr>
            <w:r>
              <w:rPr>
                <w:rFonts w:hint="default" w:ascii="Times New Roman" w:hAnsi="Times New Roman" w:cs="Times New Roman"/>
                <w:color w:val="000000"/>
              </w:rPr>
              <w:t>Factor</w:t>
            </w:r>
          </w:p>
        </w:tc>
        <w:tc>
          <w:tcPr>
            <w:tcW w:w="2079" w:type="dxa"/>
            <w:tcBorders>
              <w:top w:val="nil"/>
              <w:left w:val="nil"/>
              <w:bottom w:val="single" w:color="000000" w:sz="4" w:space="0"/>
              <w:right w:val="nil"/>
            </w:tcBorders>
            <w:shd w:val="clear" w:color="auto" w:fill="FFFFFF"/>
          </w:tcPr>
          <w:p w14:paraId="0AB61C44">
            <w:pPr>
              <w:jc w:val="center"/>
              <w:rPr>
                <w:rFonts w:hint="default" w:ascii="Times New Roman" w:hAnsi="Times New Roman" w:cs="Times New Roman"/>
                <w:color w:val="000000"/>
              </w:rPr>
            </w:pPr>
            <w:r>
              <w:rPr>
                <w:rFonts w:hint="default" w:ascii="Times New Roman" w:hAnsi="Times New Roman" w:cs="Times New Roman"/>
                <w:color w:val="000000"/>
              </w:rPr>
              <w:t>VIF</w:t>
            </w:r>
          </w:p>
        </w:tc>
      </w:tr>
      <w:tr w14:paraId="1409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single" w:color="000000" w:sz="4" w:space="0"/>
              <w:left w:val="nil"/>
              <w:bottom w:val="nil"/>
              <w:right w:val="single" w:color="000000" w:sz="4" w:space="0"/>
            </w:tcBorders>
            <w:shd w:val="clear" w:color="auto" w:fill="FFFFFF"/>
          </w:tcPr>
          <w:p w14:paraId="19B6316F">
            <w:pPr>
              <w:jc w:val="center"/>
              <w:rPr>
                <w:rFonts w:hint="default" w:ascii="Times New Roman" w:hAnsi="Times New Roman" w:cs="Times New Roman"/>
                <w:color w:val="000000"/>
              </w:rPr>
            </w:pPr>
            <w:r>
              <w:rPr>
                <w:rFonts w:hint="default" w:ascii="Times New Roman" w:hAnsi="Times New Roman" w:cs="Times New Roman"/>
                <w:color w:val="000000"/>
              </w:rPr>
              <w:t>turnover_20</w:t>
            </w:r>
          </w:p>
        </w:tc>
        <w:tc>
          <w:tcPr>
            <w:tcW w:w="2079" w:type="dxa"/>
            <w:tcBorders>
              <w:top w:val="single" w:color="000000" w:sz="4" w:space="0"/>
              <w:left w:val="single" w:color="000000" w:sz="4" w:space="0"/>
              <w:bottom w:val="nil"/>
              <w:right w:val="nil"/>
            </w:tcBorders>
            <w:shd w:val="clear" w:color="auto" w:fill="FFFFFF"/>
          </w:tcPr>
          <w:p w14:paraId="7D933946">
            <w:pPr>
              <w:jc w:val="center"/>
              <w:rPr>
                <w:rFonts w:hint="default" w:ascii="Times New Roman" w:hAnsi="Times New Roman" w:cs="Times New Roman"/>
                <w:color w:val="000000"/>
              </w:rPr>
            </w:pPr>
            <w:r>
              <w:rPr>
                <w:rFonts w:hint="default" w:ascii="Times New Roman" w:hAnsi="Times New Roman" w:cs="Times New Roman"/>
                <w:color w:val="000000"/>
              </w:rPr>
              <w:t>2.766</w:t>
            </w:r>
          </w:p>
        </w:tc>
      </w:tr>
      <w:tr w14:paraId="719D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4183502E">
            <w:pPr>
              <w:jc w:val="center"/>
              <w:rPr>
                <w:rFonts w:hint="default" w:ascii="Times New Roman" w:hAnsi="Times New Roman" w:cs="Times New Roman"/>
                <w:color w:val="000000"/>
              </w:rPr>
            </w:pPr>
            <w:r>
              <w:rPr>
                <w:rFonts w:hint="default" w:ascii="Times New Roman" w:hAnsi="Times New Roman" w:cs="Times New Roman"/>
                <w:color w:val="000000"/>
              </w:rPr>
              <w:t>Amihud</w:t>
            </w:r>
          </w:p>
        </w:tc>
        <w:tc>
          <w:tcPr>
            <w:tcW w:w="2079" w:type="dxa"/>
            <w:tcBorders>
              <w:top w:val="nil"/>
              <w:left w:val="single" w:color="000000" w:sz="4" w:space="0"/>
              <w:bottom w:val="nil"/>
              <w:right w:val="nil"/>
            </w:tcBorders>
            <w:shd w:val="clear" w:color="auto" w:fill="FFFFFF"/>
          </w:tcPr>
          <w:p w14:paraId="65A7CE2C">
            <w:pPr>
              <w:jc w:val="center"/>
              <w:rPr>
                <w:rFonts w:hint="default" w:ascii="Times New Roman" w:hAnsi="Times New Roman" w:cs="Times New Roman"/>
                <w:color w:val="000000"/>
              </w:rPr>
            </w:pPr>
            <w:r>
              <w:rPr>
                <w:rFonts w:hint="default" w:ascii="Times New Roman" w:hAnsi="Times New Roman" w:cs="Times New Roman"/>
                <w:color w:val="000000"/>
              </w:rPr>
              <w:t>1.660</w:t>
            </w:r>
          </w:p>
        </w:tc>
      </w:tr>
      <w:tr w14:paraId="516A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3EE6C121">
            <w:pPr>
              <w:jc w:val="center"/>
              <w:rPr>
                <w:rFonts w:hint="default" w:ascii="Times New Roman" w:hAnsi="Times New Roman" w:cs="Times New Roman"/>
                <w:color w:val="000000"/>
              </w:rPr>
            </w:pPr>
            <w:r>
              <w:rPr>
                <w:rFonts w:hint="default" w:ascii="Times New Roman" w:hAnsi="Times New Roman" w:cs="Times New Roman"/>
                <w:color w:val="000000"/>
              </w:rPr>
              <w:t>cpv_20</w:t>
            </w:r>
          </w:p>
        </w:tc>
        <w:tc>
          <w:tcPr>
            <w:tcW w:w="2079" w:type="dxa"/>
            <w:tcBorders>
              <w:top w:val="nil"/>
              <w:left w:val="single" w:color="000000" w:sz="4" w:space="0"/>
              <w:bottom w:val="nil"/>
              <w:right w:val="nil"/>
            </w:tcBorders>
            <w:shd w:val="clear" w:color="auto" w:fill="FFFFFF"/>
          </w:tcPr>
          <w:p w14:paraId="358BDB57">
            <w:pPr>
              <w:jc w:val="center"/>
              <w:rPr>
                <w:rFonts w:hint="default" w:ascii="Times New Roman" w:hAnsi="Times New Roman" w:cs="Times New Roman"/>
                <w:color w:val="000000"/>
              </w:rPr>
            </w:pPr>
            <w:r>
              <w:rPr>
                <w:rFonts w:hint="default" w:ascii="Times New Roman" w:hAnsi="Times New Roman" w:cs="Times New Roman"/>
                <w:color w:val="000000"/>
              </w:rPr>
              <w:t>1.151</w:t>
            </w:r>
          </w:p>
        </w:tc>
      </w:tr>
      <w:tr w14:paraId="5DA3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7C3C6B01">
            <w:pPr>
              <w:jc w:val="center"/>
              <w:rPr>
                <w:rFonts w:hint="default" w:ascii="Times New Roman" w:hAnsi="Times New Roman" w:cs="Times New Roman"/>
                <w:color w:val="000000"/>
              </w:rPr>
            </w:pPr>
            <w:r>
              <w:rPr>
                <w:rFonts w:hint="default" w:ascii="Times New Roman" w:hAnsi="Times New Roman" w:cs="Times New Roman"/>
                <w:color w:val="000000"/>
              </w:rPr>
              <w:t>OVB_SLP</w:t>
            </w:r>
          </w:p>
        </w:tc>
        <w:tc>
          <w:tcPr>
            <w:tcW w:w="2079" w:type="dxa"/>
            <w:tcBorders>
              <w:top w:val="nil"/>
              <w:left w:val="single" w:color="000000" w:sz="4" w:space="0"/>
              <w:bottom w:val="nil"/>
              <w:right w:val="nil"/>
            </w:tcBorders>
            <w:shd w:val="clear" w:color="auto" w:fill="FFFFFF"/>
          </w:tcPr>
          <w:p w14:paraId="34E2033E">
            <w:pPr>
              <w:jc w:val="center"/>
              <w:rPr>
                <w:rFonts w:hint="default" w:ascii="Times New Roman" w:hAnsi="Times New Roman" w:cs="Times New Roman"/>
                <w:color w:val="000000"/>
              </w:rPr>
            </w:pPr>
            <w:r>
              <w:rPr>
                <w:rFonts w:hint="default" w:ascii="Times New Roman" w:hAnsi="Times New Roman" w:cs="Times New Roman"/>
                <w:color w:val="000000"/>
              </w:rPr>
              <w:t>1.188</w:t>
            </w:r>
          </w:p>
        </w:tc>
      </w:tr>
      <w:tr w14:paraId="023E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5B0F261C">
            <w:pPr>
              <w:jc w:val="center"/>
              <w:rPr>
                <w:rFonts w:hint="default" w:ascii="Times New Roman" w:hAnsi="Times New Roman" w:cs="Times New Roman"/>
                <w:color w:val="000000"/>
              </w:rPr>
            </w:pPr>
            <w:r>
              <w:rPr>
                <w:rFonts w:hint="default" w:ascii="Times New Roman" w:hAnsi="Times New Roman" w:cs="Times New Roman"/>
                <w:color w:val="000000"/>
              </w:rPr>
              <w:t>UTD</w:t>
            </w:r>
          </w:p>
        </w:tc>
        <w:tc>
          <w:tcPr>
            <w:tcW w:w="2079" w:type="dxa"/>
            <w:tcBorders>
              <w:top w:val="nil"/>
              <w:left w:val="single" w:color="000000" w:sz="4" w:space="0"/>
              <w:bottom w:val="nil"/>
              <w:right w:val="nil"/>
            </w:tcBorders>
            <w:shd w:val="clear" w:color="auto" w:fill="FFFFFF"/>
          </w:tcPr>
          <w:p w14:paraId="6F35E925">
            <w:pPr>
              <w:jc w:val="center"/>
              <w:rPr>
                <w:rFonts w:hint="default" w:ascii="Times New Roman" w:hAnsi="Times New Roman" w:cs="Times New Roman"/>
                <w:color w:val="000000"/>
              </w:rPr>
            </w:pPr>
            <w:r>
              <w:rPr>
                <w:rFonts w:hint="default" w:ascii="Times New Roman" w:hAnsi="Times New Roman" w:cs="Times New Roman"/>
                <w:color w:val="000000"/>
              </w:rPr>
              <w:t>1.023</w:t>
            </w:r>
          </w:p>
        </w:tc>
      </w:tr>
      <w:tr w14:paraId="5ACC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23DD7E25">
            <w:pPr>
              <w:jc w:val="center"/>
              <w:rPr>
                <w:rFonts w:hint="default" w:ascii="Times New Roman" w:hAnsi="Times New Roman" w:cs="Times New Roman"/>
                <w:color w:val="000000"/>
              </w:rPr>
            </w:pPr>
            <w:r>
              <w:rPr>
                <w:rFonts w:hint="default" w:ascii="Times New Roman" w:hAnsi="Times New Roman" w:cs="Times New Roman"/>
                <w:color w:val="000000"/>
              </w:rPr>
              <w:t>earnings_ability</w:t>
            </w:r>
          </w:p>
        </w:tc>
        <w:tc>
          <w:tcPr>
            <w:tcW w:w="2079" w:type="dxa"/>
            <w:tcBorders>
              <w:top w:val="nil"/>
              <w:left w:val="single" w:color="000000" w:sz="4" w:space="0"/>
              <w:bottom w:val="nil"/>
              <w:right w:val="nil"/>
            </w:tcBorders>
            <w:shd w:val="clear" w:color="auto" w:fill="FFFFFF"/>
          </w:tcPr>
          <w:p w14:paraId="033D1EA0">
            <w:pPr>
              <w:jc w:val="center"/>
              <w:rPr>
                <w:rFonts w:hint="default" w:ascii="Times New Roman" w:hAnsi="Times New Roman" w:cs="Times New Roman"/>
                <w:color w:val="000000"/>
              </w:rPr>
            </w:pPr>
            <w:r>
              <w:rPr>
                <w:rFonts w:hint="default" w:ascii="Times New Roman" w:hAnsi="Times New Roman" w:cs="Times New Roman"/>
                <w:color w:val="000000"/>
              </w:rPr>
              <w:t>1.032</w:t>
            </w:r>
          </w:p>
        </w:tc>
      </w:tr>
      <w:tr w14:paraId="4677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737E412E">
            <w:pPr>
              <w:jc w:val="center"/>
              <w:rPr>
                <w:rFonts w:hint="default" w:ascii="Times New Roman" w:hAnsi="Times New Roman" w:cs="Times New Roman"/>
                <w:color w:val="000000"/>
              </w:rPr>
            </w:pPr>
            <w:r>
              <w:rPr>
                <w:rFonts w:hint="default" w:ascii="Times New Roman" w:hAnsi="Times New Roman" w:cs="Times New Roman"/>
                <w:color w:val="000000"/>
              </w:rPr>
              <w:t>VOL</w:t>
            </w:r>
          </w:p>
        </w:tc>
        <w:tc>
          <w:tcPr>
            <w:tcW w:w="2079" w:type="dxa"/>
            <w:tcBorders>
              <w:top w:val="nil"/>
              <w:left w:val="single" w:color="000000" w:sz="4" w:space="0"/>
              <w:bottom w:val="nil"/>
              <w:right w:val="nil"/>
            </w:tcBorders>
            <w:shd w:val="clear" w:color="auto" w:fill="FFFFFF"/>
          </w:tcPr>
          <w:p w14:paraId="4D97752D">
            <w:pPr>
              <w:jc w:val="center"/>
              <w:rPr>
                <w:rFonts w:hint="default" w:ascii="Times New Roman" w:hAnsi="Times New Roman" w:cs="Times New Roman"/>
                <w:color w:val="000000"/>
              </w:rPr>
            </w:pPr>
            <w:r>
              <w:rPr>
                <w:rFonts w:hint="default" w:ascii="Times New Roman" w:hAnsi="Times New Roman" w:cs="Times New Roman"/>
                <w:color w:val="000000"/>
              </w:rPr>
              <w:t>1.853</w:t>
            </w:r>
          </w:p>
        </w:tc>
      </w:tr>
      <w:tr w14:paraId="2D07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Borders>
              <w:top w:val="nil"/>
              <w:left w:val="nil"/>
              <w:bottom w:val="nil"/>
              <w:right w:val="single" w:color="000000" w:sz="4" w:space="0"/>
            </w:tcBorders>
            <w:shd w:val="clear" w:color="auto" w:fill="FFFFFF"/>
          </w:tcPr>
          <w:p w14:paraId="6189DE0E">
            <w:pPr>
              <w:jc w:val="center"/>
              <w:rPr>
                <w:rFonts w:hint="default" w:ascii="Times New Roman" w:hAnsi="Times New Roman" w:cs="Times New Roman"/>
                <w:color w:val="000000"/>
              </w:rPr>
            </w:pPr>
            <w:r>
              <w:rPr>
                <w:rFonts w:hint="default" w:ascii="Times New Roman" w:hAnsi="Times New Roman" w:cs="Times New Roman"/>
                <w:color w:val="000000"/>
              </w:rPr>
              <w:t>mom</w:t>
            </w:r>
          </w:p>
        </w:tc>
        <w:tc>
          <w:tcPr>
            <w:tcW w:w="2079" w:type="dxa"/>
            <w:tcBorders>
              <w:top w:val="nil"/>
              <w:left w:val="single" w:color="000000" w:sz="4" w:space="0"/>
              <w:bottom w:val="nil"/>
              <w:right w:val="nil"/>
            </w:tcBorders>
            <w:shd w:val="clear" w:color="auto" w:fill="FFFFFF"/>
          </w:tcPr>
          <w:p w14:paraId="0118BC98">
            <w:pPr>
              <w:jc w:val="center"/>
              <w:rPr>
                <w:rFonts w:hint="default" w:ascii="Times New Roman" w:hAnsi="Times New Roman" w:cs="Times New Roman"/>
                <w:color w:val="000000"/>
              </w:rPr>
            </w:pPr>
            <w:r>
              <w:rPr>
                <w:rFonts w:hint="default" w:ascii="Times New Roman" w:hAnsi="Times New Roman" w:cs="Times New Roman"/>
                <w:color w:val="000000"/>
              </w:rPr>
              <w:t>1.279</w:t>
            </w:r>
          </w:p>
        </w:tc>
      </w:tr>
    </w:tbl>
    <w:p w14:paraId="1FCB7BEA">
      <w:pPr>
        <w:pStyle w:val="15"/>
        <w:ind w:left="0" w:firstLine="420"/>
        <w:rPr>
          <w:rFonts w:hint="default" w:ascii="Times New Roman" w:hAnsi="Times New Roman" w:cs="Times New Roman"/>
        </w:rPr>
      </w:pPr>
      <w:r>
        <w:rPr>
          <w:rFonts w:hint="default" w:ascii="Times New Roman" w:hAnsi="Times New Roman" w:cs="Times New Roman"/>
        </w:rPr>
        <w:t>共线性均在容忍范围5之内。综合以上结果，我们保留了八个因子作为最终的因子，其中包含了量价因子（动量、波动、流动性、量价相关性等）和财务指标（盈利能力）。</w:t>
      </w:r>
    </w:p>
    <w:p w14:paraId="5C5D8C3F">
      <w:pPr>
        <w:rPr>
          <w:rFonts w:hint="default" w:ascii="Times New Roman" w:hAnsi="Times New Roman" w:cs="Times New Roman"/>
        </w:rPr>
      </w:pPr>
    </w:p>
    <w:p w14:paraId="0BDA32FB">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多因子选股</w:t>
      </w:r>
      <w:r>
        <w:rPr>
          <w:rFonts w:hint="eastAsia" w:ascii="Times New Roman" w:hAnsi="Times New Roman" w:cs="Times New Roman"/>
          <w:b/>
          <w:bCs/>
          <w:sz w:val="24"/>
          <w:szCs w:val="32"/>
          <w:lang w:val="en-US" w:eastAsia="zh-CN"/>
        </w:rPr>
        <w:t>样本内测试</w:t>
      </w:r>
    </w:p>
    <w:p w14:paraId="4CE27A22">
      <w:pPr>
        <w:ind w:firstLine="420"/>
        <w:rPr>
          <w:rFonts w:hint="default" w:ascii="Times New Roman" w:hAnsi="Times New Roman" w:cs="Times New Roman"/>
        </w:rPr>
      </w:pPr>
      <w:r>
        <w:rPr>
          <w:rFonts w:hint="default" w:ascii="Times New Roman" w:hAnsi="Times New Roman" w:cs="Times New Roman"/>
        </w:rPr>
        <w:t>我们选取线性模型、机器学习模型和深度学习模型各一来进行多因子选股。数据选用历史24个月的面板训练模型，通过预测下一期的收益率进行排名选股。选股最终分为5组。</w:t>
      </w:r>
    </w:p>
    <w:p w14:paraId="596C5829">
      <w:pPr>
        <w:numPr>
          <w:ilvl w:val="0"/>
          <w:numId w:val="4"/>
        </w:numPr>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线性模型</w:t>
      </w:r>
    </w:p>
    <w:p w14:paraId="277457F9">
      <w:pPr>
        <w:ind w:firstLine="420"/>
        <w:rPr>
          <w:rFonts w:hint="default" w:ascii="Times New Roman" w:hAnsi="Times New Roman" w:cs="Times New Roman"/>
        </w:rPr>
      </w:pPr>
      <w:r>
        <w:rPr>
          <w:rFonts w:hint="default" w:ascii="Times New Roman" w:hAnsi="Times New Roman" w:cs="Times New Roman"/>
        </w:rPr>
        <w:t>线性模型中我们选取了岭回归（Ridge）。Ridge模型相比于Lasso模型的惩罚项更加平滑，适用于因子数量少且质量优的场景。</w:t>
      </w:r>
    </w:p>
    <w:p w14:paraId="355FBB55">
      <w:pPr>
        <w:ind w:firstLine="420"/>
        <w:rPr>
          <w:rFonts w:hint="default" w:ascii="Times New Roman" w:hAnsi="Times New Roman" w:cs="Times New Roman" w:eastAsiaTheme="minorEastAsia"/>
          <w:lang w:eastAsia="zh-CN"/>
        </w:rPr>
      </w:pPr>
      <w:r>
        <w:rPr>
          <w:rFonts w:hint="default" w:ascii="Times New Roman" w:hAnsi="Times New Roman" w:cs="Times New Roman"/>
          <w:lang w:val="en-US" w:eastAsia="zh-CN"/>
        </w:rPr>
        <w:t>通过对long_short收益率的最大化，我们进行了网格寻参，最终确定惩罚项系数</w:t>
      </w:r>
      <m:oMath>
        <m:r>
          <m:rPr>
            <m:nor/>
            <m:sty m:val="p"/>
          </m:rPr>
          <w:rPr>
            <w:rFonts w:hint="default" w:ascii="Times New Roman" w:hAnsi="Times New Roman" w:cs="Times New Roman"/>
            <w:lang w:val="en-US"/>
          </w:rPr>
          <m:t>α</m:t>
        </m:r>
        <m:r>
          <m:rPr>
            <m:nor/>
            <m:sty m:val="p"/>
          </m:rPr>
          <w:rPr>
            <w:rFonts w:hint="default" w:ascii="Times New Roman" w:hAnsi="Times New Roman" w:cs="Times New Roman"/>
            <w:i w:val="0"/>
            <w:lang w:val="en-US" w:eastAsia="zh-CN"/>
          </w:rPr>
          <m:t>=4</m:t>
        </m:r>
      </m:oMath>
      <w:r>
        <m:rPr/>
        <w:rPr>
          <w:rFonts w:hint="default" w:ascii="Times New Roman" w:hAnsi="Times New Roman" w:cs="Times New Roman"/>
          <w:i w:val="0"/>
          <w:lang w:val="en-US" w:eastAsia="zh-CN"/>
        </w:rPr>
        <w:t>。</w:t>
      </w:r>
    </w:p>
    <w:p w14:paraId="5C718BD1">
      <w:pP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66690" cy="2809240"/>
            <wp:effectExtent l="0" t="0" r="10160" b="10160"/>
            <wp:docPr id="2" name="图片 2" descr="ridge_train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idge_train_cumulative_returns_plot"/>
                    <pic:cNvPicPr>
                      <a:picLocks noChangeAspect="1"/>
                    </pic:cNvPicPr>
                  </pic:nvPicPr>
                  <pic:blipFill>
                    <a:blip r:embed="rId8"/>
                    <a:stretch>
                      <a:fillRect/>
                    </a:stretch>
                  </pic:blipFill>
                  <pic:spPr>
                    <a:xfrm>
                      <a:off x="0" y="0"/>
                      <a:ext cx="5266690" cy="2809240"/>
                    </a:xfrm>
                    <a:prstGeom prst="rect">
                      <a:avLst/>
                    </a:prstGeom>
                  </pic:spPr>
                </pic:pic>
              </a:graphicData>
            </a:graphic>
          </wp:inline>
        </w:drawing>
      </w:r>
    </w:p>
    <w:tbl>
      <w:tblPr>
        <w:tblStyle w:val="9"/>
        <w:tblW w:w="0" w:type="auto"/>
        <w:jc w:val="center"/>
        <w:tblLayout w:type="autofit"/>
        <w:tblCellMar>
          <w:top w:w="0" w:type="dxa"/>
          <w:left w:w="108" w:type="dxa"/>
          <w:bottom w:w="0" w:type="dxa"/>
          <w:right w:w="108" w:type="dxa"/>
        </w:tblCellMar>
      </w:tblPr>
      <w:tblGrid>
        <w:gridCol w:w="1158"/>
        <w:gridCol w:w="1939"/>
        <w:gridCol w:w="1634"/>
        <w:gridCol w:w="1414"/>
      </w:tblGrid>
      <w:tr w14:paraId="6470A9CE">
        <w:tblPrEx>
          <w:tblCellMar>
            <w:top w:w="0" w:type="dxa"/>
            <w:left w:w="108" w:type="dxa"/>
            <w:bottom w:w="0" w:type="dxa"/>
            <w:right w:w="108" w:type="dxa"/>
          </w:tblCellMar>
        </w:tblPrEx>
        <w:trPr>
          <w:trHeight w:val="349" w:hRule="atLeast"/>
          <w:jc w:val="center"/>
        </w:trPr>
        <w:tc>
          <w:tcPr>
            <w:tcW w:w="1136" w:type="dxa"/>
            <w:tcBorders>
              <w:top w:val="nil"/>
              <w:left w:val="nil"/>
              <w:bottom w:val="single" w:color="000000" w:sz="4" w:space="0"/>
              <w:right w:val="nil"/>
              <w:tl2br w:val="nil"/>
            </w:tcBorders>
            <w:shd w:val="clear" w:color="auto" w:fill="FFFFFF"/>
            <w:vAlign w:val="center"/>
          </w:tcPr>
          <w:p w14:paraId="34A2777C">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Portfolio</w:t>
            </w:r>
          </w:p>
        </w:tc>
        <w:tc>
          <w:tcPr>
            <w:tcW w:w="1851" w:type="dxa"/>
            <w:tcBorders>
              <w:top w:val="nil"/>
              <w:left w:val="nil"/>
              <w:bottom w:val="single" w:color="000000" w:sz="4" w:space="0"/>
              <w:right w:val="nil"/>
            </w:tcBorders>
            <w:shd w:val="clear" w:color="auto" w:fill="FFFFFF"/>
            <w:vAlign w:val="center"/>
          </w:tcPr>
          <w:p w14:paraId="57CE8E16">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Annualized_Return</w:t>
            </w:r>
          </w:p>
        </w:tc>
        <w:tc>
          <w:tcPr>
            <w:tcW w:w="1546" w:type="dxa"/>
            <w:tcBorders>
              <w:top w:val="nil"/>
              <w:left w:val="nil"/>
              <w:bottom w:val="single" w:color="000000" w:sz="4" w:space="0"/>
              <w:right w:val="nil"/>
            </w:tcBorders>
            <w:shd w:val="clear" w:color="auto" w:fill="FFFFFF"/>
            <w:vAlign w:val="center"/>
          </w:tcPr>
          <w:p w14:paraId="2A2DCB1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Annualized_Std</w:t>
            </w:r>
          </w:p>
        </w:tc>
        <w:tc>
          <w:tcPr>
            <w:tcW w:w="1360" w:type="dxa"/>
            <w:tcBorders>
              <w:top w:val="nil"/>
              <w:left w:val="nil"/>
              <w:bottom w:val="single" w:color="000000" w:sz="4" w:space="0"/>
              <w:right w:val="nil"/>
            </w:tcBorders>
            <w:shd w:val="clear" w:color="auto" w:fill="FFFFFF"/>
            <w:vAlign w:val="center"/>
          </w:tcPr>
          <w:p w14:paraId="39D611A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Sharpe_Ratio</w:t>
            </w:r>
          </w:p>
        </w:tc>
      </w:tr>
      <w:tr w14:paraId="44A51D44">
        <w:tblPrEx>
          <w:tblCellMar>
            <w:top w:w="0" w:type="dxa"/>
            <w:left w:w="108" w:type="dxa"/>
            <w:bottom w:w="0" w:type="dxa"/>
            <w:right w:w="108" w:type="dxa"/>
          </w:tblCellMar>
        </w:tblPrEx>
        <w:trPr>
          <w:trHeight w:val="349" w:hRule="atLeast"/>
          <w:jc w:val="center"/>
        </w:trPr>
        <w:tc>
          <w:tcPr>
            <w:tcW w:w="1136" w:type="dxa"/>
            <w:tcBorders>
              <w:top w:val="single" w:color="000000" w:sz="4" w:space="0"/>
              <w:left w:val="nil"/>
              <w:bottom w:val="nil"/>
              <w:right w:val="single" w:color="000000" w:sz="4" w:space="0"/>
            </w:tcBorders>
            <w:shd w:val="clear" w:color="auto" w:fill="FFFFFF"/>
            <w:vAlign w:val="center"/>
          </w:tcPr>
          <w:p w14:paraId="512F3820">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Group_1</w:t>
            </w:r>
          </w:p>
        </w:tc>
        <w:tc>
          <w:tcPr>
            <w:tcW w:w="1851" w:type="dxa"/>
            <w:tcBorders>
              <w:top w:val="single" w:color="000000" w:sz="4" w:space="0"/>
              <w:left w:val="single" w:color="000000" w:sz="4" w:space="0"/>
              <w:bottom w:val="nil"/>
              <w:right w:val="nil"/>
            </w:tcBorders>
            <w:shd w:val="clear" w:color="auto" w:fill="FFFFFF"/>
            <w:vAlign w:val="center"/>
          </w:tcPr>
          <w:p w14:paraId="1B88F9DF">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-0.0401</w:t>
            </w:r>
          </w:p>
        </w:tc>
        <w:tc>
          <w:tcPr>
            <w:tcW w:w="1546" w:type="dxa"/>
            <w:tcBorders>
              <w:top w:val="single" w:color="000000" w:sz="4" w:space="0"/>
              <w:left w:val="nil"/>
              <w:bottom w:val="nil"/>
              <w:right w:val="nil"/>
            </w:tcBorders>
            <w:shd w:val="clear" w:color="auto" w:fill="FFFFFF"/>
            <w:vAlign w:val="center"/>
          </w:tcPr>
          <w:p w14:paraId="70E6961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0.2808</w:t>
            </w:r>
          </w:p>
        </w:tc>
        <w:tc>
          <w:tcPr>
            <w:tcW w:w="1360" w:type="dxa"/>
            <w:tcBorders>
              <w:top w:val="single" w:color="000000" w:sz="4" w:space="0"/>
              <w:left w:val="nil"/>
              <w:bottom w:val="nil"/>
              <w:right w:val="nil"/>
            </w:tcBorders>
            <w:shd w:val="clear" w:color="auto" w:fill="FFFFFF"/>
            <w:vAlign w:val="center"/>
          </w:tcPr>
          <w:p w14:paraId="59198F8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-0.1427</w:t>
            </w:r>
          </w:p>
        </w:tc>
      </w:tr>
      <w:tr w14:paraId="1368C0E1">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0D609C03">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Group_2</w:t>
            </w:r>
          </w:p>
        </w:tc>
        <w:tc>
          <w:tcPr>
            <w:tcW w:w="1851" w:type="dxa"/>
            <w:tcBorders>
              <w:top w:val="nil"/>
              <w:left w:val="single" w:color="000000" w:sz="4" w:space="0"/>
              <w:bottom w:val="nil"/>
              <w:right w:val="nil"/>
            </w:tcBorders>
            <w:shd w:val="clear" w:color="auto" w:fill="FFFFFF"/>
            <w:vAlign w:val="center"/>
          </w:tcPr>
          <w:p w14:paraId="4E4DDE8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0.0969</w:t>
            </w:r>
          </w:p>
        </w:tc>
        <w:tc>
          <w:tcPr>
            <w:tcW w:w="1546" w:type="dxa"/>
            <w:tcBorders>
              <w:top w:val="nil"/>
              <w:left w:val="nil"/>
              <w:bottom w:val="nil"/>
              <w:right w:val="nil"/>
            </w:tcBorders>
            <w:shd w:val="clear" w:color="auto" w:fill="FFFFFF"/>
            <w:vAlign w:val="center"/>
          </w:tcPr>
          <w:p w14:paraId="1C5FC1A8">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0.2410</w:t>
            </w:r>
          </w:p>
        </w:tc>
        <w:tc>
          <w:tcPr>
            <w:tcW w:w="1360" w:type="dxa"/>
            <w:tcBorders>
              <w:top w:val="nil"/>
              <w:left w:val="nil"/>
              <w:bottom w:val="nil"/>
              <w:right w:val="nil"/>
            </w:tcBorders>
            <w:shd w:val="clear" w:color="auto" w:fill="FFFFFF"/>
            <w:vAlign w:val="center"/>
          </w:tcPr>
          <w:p w14:paraId="20951C3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0.4019</w:t>
            </w:r>
          </w:p>
        </w:tc>
      </w:tr>
      <w:tr w14:paraId="541F2944">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34BC291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Group_3</w:t>
            </w:r>
          </w:p>
        </w:tc>
        <w:tc>
          <w:tcPr>
            <w:tcW w:w="1851" w:type="dxa"/>
            <w:tcBorders>
              <w:top w:val="nil"/>
              <w:left w:val="single" w:color="000000" w:sz="4" w:space="0"/>
              <w:bottom w:val="nil"/>
              <w:right w:val="nil"/>
            </w:tcBorders>
            <w:shd w:val="clear" w:color="auto" w:fill="FFFFFF"/>
            <w:vAlign w:val="center"/>
          </w:tcPr>
          <w:p w14:paraId="31823246">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0.1339</w:t>
            </w:r>
          </w:p>
        </w:tc>
        <w:tc>
          <w:tcPr>
            <w:tcW w:w="1546" w:type="dxa"/>
            <w:tcBorders>
              <w:top w:val="nil"/>
              <w:left w:val="nil"/>
              <w:bottom w:val="nil"/>
              <w:right w:val="nil"/>
            </w:tcBorders>
            <w:shd w:val="clear" w:color="auto" w:fill="FFFFFF"/>
            <w:vAlign w:val="center"/>
          </w:tcPr>
          <w:p w14:paraId="6ACF811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0.2344</w:t>
            </w:r>
          </w:p>
        </w:tc>
        <w:tc>
          <w:tcPr>
            <w:tcW w:w="1360" w:type="dxa"/>
            <w:tcBorders>
              <w:top w:val="nil"/>
              <w:left w:val="nil"/>
              <w:bottom w:val="nil"/>
              <w:right w:val="nil"/>
            </w:tcBorders>
            <w:shd w:val="clear" w:color="auto" w:fill="FFFFFF"/>
            <w:vAlign w:val="center"/>
          </w:tcPr>
          <w:p w14:paraId="359945FF">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0.5715</w:t>
            </w:r>
          </w:p>
        </w:tc>
      </w:tr>
      <w:tr w14:paraId="3F3AB94C">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4A7F098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Group_4</w:t>
            </w:r>
          </w:p>
        </w:tc>
        <w:tc>
          <w:tcPr>
            <w:tcW w:w="1851" w:type="dxa"/>
            <w:tcBorders>
              <w:top w:val="nil"/>
              <w:left w:val="single" w:color="000000" w:sz="4" w:space="0"/>
              <w:bottom w:val="nil"/>
              <w:right w:val="nil"/>
            </w:tcBorders>
            <w:shd w:val="clear" w:color="auto" w:fill="FFFFFF"/>
            <w:vAlign w:val="center"/>
          </w:tcPr>
          <w:p w14:paraId="069DEC4C">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0.1612</w:t>
            </w:r>
          </w:p>
        </w:tc>
        <w:tc>
          <w:tcPr>
            <w:tcW w:w="1546" w:type="dxa"/>
            <w:tcBorders>
              <w:top w:val="nil"/>
              <w:left w:val="nil"/>
              <w:bottom w:val="nil"/>
              <w:right w:val="nil"/>
            </w:tcBorders>
            <w:shd w:val="clear" w:color="auto" w:fill="FFFFFF"/>
            <w:vAlign w:val="center"/>
          </w:tcPr>
          <w:p w14:paraId="737EC811">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0.2308</w:t>
            </w:r>
          </w:p>
        </w:tc>
        <w:tc>
          <w:tcPr>
            <w:tcW w:w="1360" w:type="dxa"/>
            <w:tcBorders>
              <w:top w:val="nil"/>
              <w:left w:val="nil"/>
              <w:bottom w:val="nil"/>
              <w:right w:val="nil"/>
            </w:tcBorders>
            <w:shd w:val="clear" w:color="auto" w:fill="FFFFFF"/>
            <w:vAlign w:val="center"/>
          </w:tcPr>
          <w:p w14:paraId="61CE37AC">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0.6983</w:t>
            </w:r>
          </w:p>
        </w:tc>
      </w:tr>
      <w:tr w14:paraId="35E13F7F">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4AE35D18">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Group_5</w:t>
            </w:r>
          </w:p>
        </w:tc>
        <w:tc>
          <w:tcPr>
            <w:tcW w:w="1851" w:type="dxa"/>
            <w:tcBorders>
              <w:top w:val="nil"/>
              <w:left w:val="single" w:color="000000" w:sz="4" w:space="0"/>
              <w:bottom w:val="nil"/>
              <w:right w:val="nil"/>
            </w:tcBorders>
            <w:shd w:val="clear" w:color="auto" w:fill="FFFFFF"/>
            <w:vAlign w:val="center"/>
          </w:tcPr>
          <w:p w14:paraId="0F773C4F">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0.1683</w:t>
            </w:r>
          </w:p>
        </w:tc>
        <w:tc>
          <w:tcPr>
            <w:tcW w:w="1546" w:type="dxa"/>
            <w:tcBorders>
              <w:top w:val="nil"/>
              <w:left w:val="nil"/>
              <w:bottom w:val="nil"/>
              <w:right w:val="nil"/>
            </w:tcBorders>
            <w:shd w:val="clear" w:color="auto" w:fill="FFFFFF"/>
            <w:vAlign w:val="center"/>
          </w:tcPr>
          <w:p w14:paraId="6C516D53">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0.2308</w:t>
            </w:r>
          </w:p>
        </w:tc>
        <w:tc>
          <w:tcPr>
            <w:tcW w:w="1360" w:type="dxa"/>
            <w:tcBorders>
              <w:top w:val="nil"/>
              <w:left w:val="nil"/>
              <w:bottom w:val="nil"/>
              <w:right w:val="nil"/>
            </w:tcBorders>
            <w:shd w:val="clear" w:color="auto" w:fill="FFFFFF"/>
            <w:vAlign w:val="center"/>
          </w:tcPr>
          <w:p w14:paraId="0ADC0610">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0.7292</w:t>
            </w:r>
          </w:p>
        </w:tc>
      </w:tr>
      <w:tr w14:paraId="04061E3F">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1D4DC102">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long_short</w:t>
            </w:r>
          </w:p>
        </w:tc>
        <w:tc>
          <w:tcPr>
            <w:tcW w:w="1851" w:type="dxa"/>
            <w:tcBorders>
              <w:top w:val="nil"/>
              <w:left w:val="single" w:color="000000" w:sz="4" w:space="0"/>
              <w:bottom w:val="nil"/>
              <w:right w:val="nil"/>
            </w:tcBorders>
            <w:shd w:val="clear" w:color="auto" w:fill="FFFFFF"/>
            <w:vAlign w:val="center"/>
          </w:tcPr>
          <w:p w14:paraId="4AF22359">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0.2084</w:t>
            </w:r>
          </w:p>
        </w:tc>
        <w:tc>
          <w:tcPr>
            <w:tcW w:w="1546" w:type="dxa"/>
            <w:tcBorders>
              <w:top w:val="nil"/>
              <w:left w:val="nil"/>
              <w:bottom w:val="nil"/>
              <w:right w:val="nil"/>
            </w:tcBorders>
            <w:shd w:val="clear" w:color="auto" w:fill="FFFFFF"/>
            <w:vAlign w:val="center"/>
          </w:tcPr>
          <w:p w14:paraId="4642DAF5">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0.1025</w:t>
            </w:r>
          </w:p>
        </w:tc>
        <w:tc>
          <w:tcPr>
            <w:tcW w:w="1360" w:type="dxa"/>
            <w:tcBorders>
              <w:top w:val="nil"/>
              <w:left w:val="nil"/>
              <w:bottom w:val="nil"/>
              <w:right w:val="nil"/>
            </w:tcBorders>
            <w:shd w:val="clear" w:color="auto" w:fill="FFFFFF"/>
            <w:vAlign w:val="center"/>
          </w:tcPr>
          <w:p w14:paraId="0DD6C9BD">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2.0320</w:t>
            </w:r>
          </w:p>
        </w:tc>
      </w:tr>
    </w:tbl>
    <w:p w14:paraId="79C30E68">
      <w:pPr>
        <w:rPr>
          <w:rFonts w:hint="default" w:ascii="Times New Roman" w:hAnsi="Times New Roman" w:cs="Times New Roman"/>
        </w:rPr>
      </w:pPr>
    </w:p>
    <w:p w14:paraId="1D769D52">
      <w:pPr>
        <w:numPr>
          <w:ilvl w:val="0"/>
          <w:numId w:val="4"/>
        </w:numPr>
        <w:ind w:left="0" w:leftChars="0" w:firstLine="0" w:firstLineChars="0"/>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机器学习模型</w:t>
      </w:r>
    </w:p>
    <w:p w14:paraId="011AC228">
      <w:pPr>
        <w:ind w:firstLine="420"/>
        <w:rPr>
          <w:rFonts w:hint="default" w:ascii="Times New Roman" w:hAnsi="Times New Roman" w:cs="Times New Roman"/>
          <w:lang w:val="en-US" w:eastAsia="zh-CN"/>
        </w:rPr>
      </w:pPr>
      <w:r>
        <w:rPr>
          <w:rFonts w:hint="default" w:ascii="Times New Roman" w:hAnsi="Times New Roman" w:cs="Times New Roman"/>
        </w:rPr>
        <w:t>机器学习模型我们选取了轻量的梯度提升模型LightGBM。</w:t>
      </w:r>
      <w:r>
        <w:rPr>
          <w:rFonts w:hint="default" w:ascii="Times New Roman" w:hAnsi="Times New Roman" w:cs="Times New Roman"/>
          <w:lang w:val="en-US" w:eastAsia="zh-CN"/>
        </w:rPr>
        <w:t>该模型具有处理大规模数据速度快、精度高的优势。</w:t>
      </w:r>
    </w:p>
    <w:p w14:paraId="4B0C9C79">
      <w:pPr>
        <w:ind w:firstLine="420"/>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通过对long_short收益率的最大化，我们对样本内数据进行了网格寻参，确定了模型的最终参数。</w:t>
      </w:r>
    </w:p>
    <w:p w14:paraId="3DDBAEFD">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809240"/>
            <wp:effectExtent l="0" t="0" r="10160" b="10160"/>
            <wp:docPr id="3" name="图片 3" descr="lightGBM_train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ightGBM_train_cumulative_returns_plot"/>
                    <pic:cNvPicPr>
                      <a:picLocks noChangeAspect="1"/>
                    </pic:cNvPicPr>
                  </pic:nvPicPr>
                  <pic:blipFill>
                    <a:blip r:embed="rId9"/>
                    <a:stretch>
                      <a:fillRect/>
                    </a:stretch>
                  </pic:blipFill>
                  <pic:spPr>
                    <a:xfrm>
                      <a:off x="0" y="0"/>
                      <a:ext cx="5266690" cy="2809240"/>
                    </a:xfrm>
                    <a:prstGeom prst="rect">
                      <a:avLst/>
                    </a:prstGeom>
                  </pic:spPr>
                </pic:pic>
              </a:graphicData>
            </a:graphic>
          </wp:inline>
        </w:drawing>
      </w:r>
    </w:p>
    <w:tbl>
      <w:tblPr>
        <w:tblStyle w:val="9"/>
        <w:tblW w:w="0" w:type="auto"/>
        <w:jc w:val="center"/>
        <w:tblLayout w:type="autofit"/>
        <w:tblCellMar>
          <w:top w:w="0" w:type="dxa"/>
          <w:left w:w="108" w:type="dxa"/>
          <w:bottom w:w="0" w:type="dxa"/>
          <w:right w:w="108" w:type="dxa"/>
        </w:tblCellMar>
      </w:tblPr>
      <w:tblGrid>
        <w:gridCol w:w="1158"/>
        <w:gridCol w:w="1939"/>
        <w:gridCol w:w="1634"/>
        <w:gridCol w:w="1414"/>
      </w:tblGrid>
      <w:tr w14:paraId="6FF133E1">
        <w:tblPrEx>
          <w:tblCellMar>
            <w:top w:w="0" w:type="dxa"/>
            <w:left w:w="108" w:type="dxa"/>
            <w:bottom w:w="0" w:type="dxa"/>
            <w:right w:w="108" w:type="dxa"/>
          </w:tblCellMar>
        </w:tblPrEx>
        <w:trPr>
          <w:trHeight w:val="312" w:hRule="atLeast"/>
          <w:jc w:val="center"/>
        </w:trPr>
        <w:tc>
          <w:tcPr>
            <w:tcW w:w="1136" w:type="dxa"/>
            <w:tcBorders>
              <w:top w:val="nil"/>
              <w:left w:val="nil"/>
              <w:bottom w:val="single" w:color="000000" w:sz="4" w:space="0"/>
              <w:right w:val="nil"/>
              <w:tl2br w:val="nil"/>
            </w:tcBorders>
            <w:shd w:val="clear" w:color="auto" w:fill="FFFFFF"/>
            <w:vAlign w:val="center"/>
          </w:tcPr>
          <w:p w14:paraId="2FD5025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Portfolio</w:t>
            </w:r>
          </w:p>
        </w:tc>
        <w:tc>
          <w:tcPr>
            <w:tcW w:w="1851" w:type="dxa"/>
            <w:tcBorders>
              <w:top w:val="nil"/>
              <w:left w:val="nil"/>
              <w:bottom w:val="single" w:color="000000" w:sz="4" w:space="0"/>
              <w:right w:val="nil"/>
            </w:tcBorders>
            <w:shd w:val="clear" w:color="auto" w:fill="FFFFFF"/>
            <w:vAlign w:val="center"/>
          </w:tcPr>
          <w:p w14:paraId="19C89D8D">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Annualized_Return</w:t>
            </w:r>
          </w:p>
        </w:tc>
        <w:tc>
          <w:tcPr>
            <w:tcW w:w="1546" w:type="dxa"/>
            <w:tcBorders>
              <w:top w:val="nil"/>
              <w:left w:val="nil"/>
              <w:bottom w:val="single" w:color="000000" w:sz="4" w:space="0"/>
              <w:right w:val="nil"/>
            </w:tcBorders>
            <w:shd w:val="clear" w:color="auto" w:fill="FFFFFF"/>
            <w:vAlign w:val="center"/>
          </w:tcPr>
          <w:p w14:paraId="4050F60D">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Annualized_Std</w:t>
            </w:r>
          </w:p>
        </w:tc>
        <w:tc>
          <w:tcPr>
            <w:tcW w:w="1360" w:type="dxa"/>
            <w:tcBorders>
              <w:top w:val="nil"/>
              <w:left w:val="nil"/>
              <w:bottom w:val="single" w:color="000000" w:sz="4" w:space="0"/>
              <w:right w:val="nil"/>
            </w:tcBorders>
            <w:shd w:val="clear" w:color="auto" w:fill="FFFFFF"/>
            <w:vAlign w:val="center"/>
          </w:tcPr>
          <w:p w14:paraId="7CFC23AA">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Sharpe_Ratio</w:t>
            </w:r>
          </w:p>
        </w:tc>
      </w:tr>
      <w:tr w14:paraId="74F6E0C7">
        <w:tblPrEx>
          <w:tblCellMar>
            <w:top w:w="0" w:type="dxa"/>
            <w:left w:w="108" w:type="dxa"/>
            <w:bottom w:w="0" w:type="dxa"/>
            <w:right w:w="108" w:type="dxa"/>
          </w:tblCellMar>
        </w:tblPrEx>
        <w:trPr>
          <w:trHeight w:val="312" w:hRule="atLeast"/>
          <w:jc w:val="center"/>
        </w:trPr>
        <w:tc>
          <w:tcPr>
            <w:tcW w:w="1136" w:type="dxa"/>
            <w:tcBorders>
              <w:top w:val="single" w:color="000000" w:sz="4" w:space="0"/>
              <w:left w:val="nil"/>
              <w:bottom w:val="nil"/>
              <w:right w:val="single" w:color="000000" w:sz="4" w:space="0"/>
            </w:tcBorders>
            <w:shd w:val="clear" w:color="auto" w:fill="FFFFFF"/>
            <w:vAlign w:val="center"/>
          </w:tcPr>
          <w:p w14:paraId="13603A26">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Group_1</w:t>
            </w:r>
          </w:p>
        </w:tc>
        <w:tc>
          <w:tcPr>
            <w:tcW w:w="1851" w:type="dxa"/>
            <w:tcBorders>
              <w:top w:val="single" w:color="000000" w:sz="4" w:space="0"/>
              <w:left w:val="single" w:color="000000" w:sz="4" w:space="0"/>
              <w:bottom w:val="nil"/>
              <w:right w:val="nil"/>
            </w:tcBorders>
            <w:shd w:val="clear" w:color="auto" w:fill="FFFFFF"/>
            <w:vAlign w:val="center"/>
          </w:tcPr>
          <w:p w14:paraId="6DA37D92">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-0.0284</w:t>
            </w:r>
          </w:p>
        </w:tc>
        <w:tc>
          <w:tcPr>
            <w:tcW w:w="1546" w:type="dxa"/>
            <w:tcBorders>
              <w:top w:val="single" w:color="000000" w:sz="4" w:space="0"/>
              <w:left w:val="nil"/>
              <w:bottom w:val="nil"/>
              <w:right w:val="nil"/>
            </w:tcBorders>
            <w:shd w:val="clear" w:color="auto" w:fill="FFFFFF"/>
            <w:vAlign w:val="center"/>
          </w:tcPr>
          <w:p w14:paraId="34154BF7">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0.2789</w:t>
            </w:r>
          </w:p>
        </w:tc>
        <w:tc>
          <w:tcPr>
            <w:tcW w:w="1360" w:type="dxa"/>
            <w:tcBorders>
              <w:top w:val="single" w:color="000000" w:sz="4" w:space="0"/>
              <w:left w:val="nil"/>
              <w:bottom w:val="nil"/>
              <w:right w:val="nil"/>
            </w:tcBorders>
            <w:shd w:val="clear" w:color="auto" w:fill="FFFFFF"/>
            <w:vAlign w:val="center"/>
          </w:tcPr>
          <w:p w14:paraId="30101B5F">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-0.1017</w:t>
            </w:r>
          </w:p>
        </w:tc>
      </w:tr>
      <w:tr w14:paraId="7676C04F">
        <w:tblPrEx>
          <w:tblCellMar>
            <w:top w:w="0" w:type="dxa"/>
            <w:left w:w="108" w:type="dxa"/>
            <w:bottom w:w="0" w:type="dxa"/>
            <w:right w:w="108" w:type="dxa"/>
          </w:tblCellMar>
        </w:tblPrEx>
        <w:trPr>
          <w:trHeight w:val="312" w:hRule="atLeast"/>
          <w:jc w:val="center"/>
        </w:trPr>
        <w:tc>
          <w:tcPr>
            <w:tcW w:w="1136" w:type="dxa"/>
            <w:tcBorders>
              <w:top w:val="nil"/>
              <w:left w:val="nil"/>
              <w:bottom w:val="nil"/>
              <w:right w:val="single" w:color="000000" w:sz="4" w:space="0"/>
            </w:tcBorders>
            <w:shd w:val="clear" w:color="auto" w:fill="FFFFFF"/>
            <w:vAlign w:val="center"/>
          </w:tcPr>
          <w:p w14:paraId="3E1A2742">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Group_2</w:t>
            </w:r>
          </w:p>
        </w:tc>
        <w:tc>
          <w:tcPr>
            <w:tcW w:w="1851" w:type="dxa"/>
            <w:tcBorders>
              <w:top w:val="nil"/>
              <w:left w:val="single" w:color="000000" w:sz="4" w:space="0"/>
              <w:bottom w:val="nil"/>
              <w:right w:val="nil"/>
            </w:tcBorders>
            <w:shd w:val="clear" w:color="auto" w:fill="FFFFFF"/>
            <w:vAlign w:val="center"/>
          </w:tcPr>
          <w:p w14:paraId="0C60D749">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0.1049</w:t>
            </w:r>
          </w:p>
        </w:tc>
        <w:tc>
          <w:tcPr>
            <w:tcW w:w="1546" w:type="dxa"/>
            <w:tcBorders>
              <w:top w:val="nil"/>
              <w:left w:val="nil"/>
              <w:bottom w:val="nil"/>
              <w:right w:val="nil"/>
            </w:tcBorders>
            <w:shd w:val="clear" w:color="auto" w:fill="FFFFFF"/>
            <w:vAlign w:val="center"/>
          </w:tcPr>
          <w:p w14:paraId="7A2FC9D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0.2400</w:t>
            </w:r>
          </w:p>
        </w:tc>
        <w:tc>
          <w:tcPr>
            <w:tcW w:w="1360" w:type="dxa"/>
            <w:tcBorders>
              <w:top w:val="nil"/>
              <w:left w:val="nil"/>
              <w:bottom w:val="nil"/>
              <w:right w:val="nil"/>
            </w:tcBorders>
            <w:shd w:val="clear" w:color="auto" w:fill="FFFFFF"/>
            <w:vAlign w:val="center"/>
          </w:tcPr>
          <w:p w14:paraId="165FDB8F">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0.4370</w:t>
            </w:r>
          </w:p>
        </w:tc>
      </w:tr>
      <w:tr w14:paraId="452B5E7C">
        <w:tblPrEx>
          <w:tblCellMar>
            <w:top w:w="0" w:type="dxa"/>
            <w:left w:w="108" w:type="dxa"/>
            <w:bottom w:w="0" w:type="dxa"/>
            <w:right w:w="108" w:type="dxa"/>
          </w:tblCellMar>
        </w:tblPrEx>
        <w:trPr>
          <w:trHeight w:val="312" w:hRule="atLeast"/>
          <w:jc w:val="center"/>
        </w:trPr>
        <w:tc>
          <w:tcPr>
            <w:tcW w:w="1136" w:type="dxa"/>
            <w:tcBorders>
              <w:top w:val="nil"/>
              <w:left w:val="nil"/>
              <w:bottom w:val="nil"/>
              <w:right w:val="single" w:color="000000" w:sz="4" w:space="0"/>
            </w:tcBorders>
            <w:shd w:val="clear" w:color="auto" w:fill="FFFFFF"/>
            <w:vAlign w:val="center"/>
          </w:tcPr>
          <w:p w14:paraId="44BC7BDA">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Group_3</w:t>
            </w:r>
          </w:p>
        </w:tc>
        <w:tc>
          <w:tcPr>
            <w:tcW w:w="1851" w:type="dxa"/>
            <w:tcBorders>
              <w:top w:val="nil"/>
              <w:left w:val="single" w:color="000000" w:sz="4" w:space="0"/>
              <w:bottom w:val="nil"/>
              <w:right w:val="nil"/>
            </w:tcBorders>
            <w:shd w:val="clear" w:color="auto" w:fill="FFFFFF"/>
            <w:vAlign w:val="center"/>
          </w:tcPr>
          <w:p w14:paraId="0DE83C6E">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0.1458</w:t>
            </w:r>
          </w:p>
        </w:tc>
        <w:tc>
          <w:tcPr>
            <w:tcW w:w="1546" w:type="dxa"/>
            <w:tcBorders>
              <w:top w:val="nil"/>
              <w:left w:val="nil"/>
              <w:bottom w:val="nil"/>
              <w:right w:val="nil"/>
            </w:tcBorders>
            <w:shd w:val="clear" w:color="auto" w:fill="FFFFFF"/>
            <w:vAlign w:val="center"/>
          </w:tcPr>
          <w:p w14:paraId="21630076">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0.2318</w:t>
            </w:r>
          </w:p>
        </w:tc>
        <w:tc>
          <w:tcPr>
            <w:tcW w:w="1360" w:type="dxa"/>
            <w:tcBorders>
              <w:top w:val="nil"/>
              <w:left w:val="nil"/>
              <w:bottom w:val="nil"/>
              <w:right w:val="nil"/>
            </w:tcBorders>
            <w:shd w:val="clear" w:color="auto" w:fill="FFFFFF"/>
            <w:vAlign w:val="center"/>
          </w:tcPr>
          <w:p w14:paraId="6E1560B1">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0.6291</w:t>
            </w:r>
          </w:p>
        </w:tc>
      </w:tr>
      <w:tr w14:paraId="6FC09F70">
        <w:tblPrEx>
          <w:tblCellMar>
            <w:top w:w="0" w:type="dxa"/>
            <w:left w:w="108" w:type="dxa"/>
            <w:bottom w:w="0" w:type="dxa"/>
            <w:right w:w="108" w:type="dxa"/>
          </w:tblCellMar>
        </w:tblPrEx>
        <w:trPr>
          <w:trHeight w:val="312" w:hRule="atLeast"/>
          <w:jc w:val="center"/>
        </w:trPr>
        <w:tc>
          <w:tcPr>
            <w:tcW w:w="1136" w:type="dxa"/>
            <w:tcBorders>
              <w:top w:val="nil"/>
              <w:left w:val="nil"/>
              <w:bottom w:val="nil"/>
              <w:right w:val="single" w:color="000000" w:sz="4" w:space="0"/>
            </w:tcBorders>
            <w:shd w:val="clear" w:color="auto" w:fill="FFFFFF"/>
            <w:vAlign w:val="center"/>
          </w:tcPr>
          <w:p w14:paraId="2BD4A260">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Group_4</w:t>
            </w:r>
          </w:p>
        </w:tc>
        <w:tc>
          <w:tcPr>
            <w:tcW w:w="1851" w:type="dxa"/>
            <w:tcBorders>
              <w:top w:val="nil"/>
              <w:left w:val="single" w:color="000000" w:sz="4" w:space="0"/>
              <w:bottom w:val="nil"/>
              <w:right w:val="nil"/>
            </w:tcBorders>
            <w:shd w:val="clear" w:color="auto" w:fill="FFFFFF"/>
            <w:vAlign w:val="center"/>
          </w:tcPr>
          <w:p w14:paraId="176602DC">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0.1445</w:t>
            </w:r>
          </w:p>
        </w:tc>
        <w:tc>
          <w:tcPr>
            <w:tcW w:w="1546" w:type="dxa"/>
            <w:tcBorders>
              <w:top w:val="nil"/>
              <w:left w:val="nil"/>
              <w:bottom w:val="nil"/>
              <w:right w:val="nil"/>
            </w:tcBorders>
            <w:shd w:val="clear" w:color="auto" w:fill="FFFFFF"/>
            <w:vAlign w:val="center"/>
          </w:tcPr>
          <w:p w14:paraId="3F887E6D">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0.2299</w:t>
            </w:r>
          </w:p>
        </w:tc>
        <w:tc>
          <w:tcPr>
            <w:tcW w:w="1360" w:type="dxa"/>
            <w:tcBorders>
              <w:top w:val="nil"/>
              <w:left w:val="nil"/>
              <w:bottom w:val="nil"/>
              <w:right w:val="nil"/>
            </w:tcBorders>
            <w:shd w:val="clear" w:color="auto" w:fill="FFFFFF"/>
            <w:vAlign w:val="center"/>
          </w:tcPr>
          <w:p w14:paraId="7266E087">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0.6286</w:t>
            </w:r>
          </w:p>
        </w:tc>
      </w:tr>
      <w:tr w14:paraId="28D17C68">
        <w:tblPrEx>
          <w:tblCellMar>
            <w:top w:w="0" w:type="dxa"/>
            <w:left w:w="108" w:type="dxa"/>
            <w:bottom w:w="0" w:type="dxa"/>
            <w:right w:w="108" w:type="dxa"/>
          </w:tblCellMar>
        </w:tblPrEx>
        <w:trPr>
          <w:trHeight w:val="312" w:hRule="atLeast"/>
          <w:jc w:val="center"/>
        </w:trPr>
        <w:tc>
          <w:tcPr>
            <w:tcW w:w="1136" w:type="dxa"/>
            <w:tcBorders>
              <w:top w:val="nil"/>
              <w:left w:val="nil"/>
              <w:bottom w:val="nil"/>
              <w:right w:val="single" w:color="000000" w:sz="4" w:space="0"/>
            </w:tcBorders>
            <w:shd w:val="clear" w:color="auto" w:fill="FFFFFF"/>
            <w:vAlign w:val="center"/>
          </w:tcPr>
          <w:p w14:paraId="4BB18A64">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Group_5</w:t>
            </w:r>
          </w:p>
        </w:tc>
        <w:tc>
          <w:tcPr>
            <w:tcW w:w="1851" w:type="dxa"/>
            <w:tcBorders>
              <w:top w:val="nil"/>
              <w:left w:val="single" w:color="000000" w:sz="4" w:space="0"/>
              <w:bottom w:val="nil"/>
              <w:right w:val="nil"/>
            </w:tcBorders>
            <w:shd w:val="clear" w:color="auto" w:fill="FFFFFF"/>
            <w:vAlign w:val="center"/>
          </w:tcPr>
          <w:p w14:paraId="7516FE29">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0.1536</w:t>
            </w:r>
          </w:p>
        </w:tc>
        <w:tc>
          <w:tcPr>
            <w:tcW w:w="1546" w:type="dxa"/>
            <w:tcBorders>
              <w:top w:val="nil"/>
              <w:left w:val="nil"/>
              <w:bottom w:val="nil"/>
              <w:right w:val="nil"/>
            </w:tcBorders>
            <w:shd w:val="clear" w:color="auto" w:fill="FFFFFF"/>
            <w:vAlign w:val="center"/>
          </w:tcPr>
          <w:p w14:paraId="0E2150F3">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0.2344</w:t>
            </w:r>
          </w:p>
        </w:tc>
        <w:tc>
          <w:tcPr>
            <w:tcW w:w="1360" w:type="dxa"/>
            <w:tcBorders>
              <w:top w:val="nil"/>
              <w:left w:val="nil"/>
              <w:bottom w:val="nil"/>
              <w:right w:val="nil"/>
            </w:tcBorders>
            <w:shd w:val="clear" w:color="auto" w:fill="FFFFFF"/>
            <w:vAlign w:val="center"/>
          </w:tcPr>
          <w:p w14:paraId="2F2B3D0A">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0.6553</w:t>
            </w:r>
          </w:p>
        </w:tc>
      </w:tr>
      <w:tr w14:paraId="02056FC2">
        <w:tblPrEx>
          <w:tblCellMar>
            <w:top w:w="0" w:type="dxa"/>
            <w:left w:w="108" w:type="dxa"/>
            <w:bottom w:w="0" w:type="dxa"/>
            <w:right w:w="108" w:type="dxa"/>
          </w:tblCellMar>
        </w:tblPrEx>
        <w:trPr>
          <w:trHeight w:val="312" w:hRule="atLeast"/>
          <w:jc w:val="center"/>
        </w:trPr>
        <w:tc>
          <w:tcPr>
            <w:tcW w:w="1136" w:type="dxa"/>
            <w:tcBorders>
              <w:top w:val="nil"/>
              <w:left w:val="nil"/>
              <w:bottom w:val="nil"/>
              <w:right w:val="single" w:color="000000" w:sz="4" w:space="0"/>
            </w:tcBorders>
            <w:shd w:val="clear" w:color="auto" w:fill="FFFFFF"/>
            <w:vAlign w:val="center"/>
          </w:tcPr>
          <w:p w14:paraId="079E581C">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long_short</w:t>
            </w:r>
          </w:p>
        </w:tc>
        <w:tc>
          <w:tcPr>
            <w:tcW w:w="1851" w:type="dxa"/>
            <w:tcBorders>
              <w:top w:val="nil"/>
              <w:left w:val="single" w:color="000000" w:sz="4" w:space="0"/>
              <w:bottom w:val="nil"/>
              <w:right w:val="nil"/>
            </w:tcBorders>
            <w:shd w:val="clear" w:color="auto" w:fill="FFFFFF"/>
            <w:vAlign w:val="center"/>
          </w:tcPr>
          <w:p w14:paraId="60A6D1BB">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0.1819</w:t>
            </w:r>
          </w:p>
        </w:tc>
        <w:tc>
          <w:tcPr>
            <w:tcW w:w="1546" w:type="dxa"/>
            <w:tcBorders>
              <w:top w:val="nil"/>
              <w:left w:val="nil"/>
              <w:bottom w:val="nil"/>
              <w:right w:val="nil"/>
            </w:tcBorders>
            <w:shd w:val="clear" w:color="auto" w:fill="FFFFFF"/>
            <w:vAlign w:val="center"/>
          </w:tcPr>
          <w:p w14:paraId="7AC8EF89">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0.0912</w:t>
            </w:r>
          </w:p>
        </w:tc>
        <w:tc>
          <w:tcPr>
            <w:tcW w:w="1360" w:type="dxa"/>
            <w:tcBorders>
              <w:top w:val="nil"/>
              <w:left w:val="nil"/>
              <w:bottom w:val="nil"/>
              <w:right w:val="nil"/>
            </w:tcBorders>
            <w:shd w:val="clear" w:color="auto" w:fill="FFFFFF"/>
            <w:vAlign w:val="center"/>
          </w:tcPr>
          <w:p w14:paraId="099A5D99">
            <w:pPr>
              <w:keepNext w:val="0"/>
              <w:keepLines w:val="0"/>
              <w:widowControl/>
              <w:suppressLineNumbers w:val="0"/>
              <w:jc w:val="center"/>
              <w:textAlignment w:val="center"/>
              <w:rPr>
                <w:rFonts w:hint="default" w:ascii="Times New Roman" w:hAnsi="Times New Roman" w:eastAsia="宋体" w:cs="Times New Roman"/>
                <w:color w:val="000000"/>
                <w:szCs w:val="21"/>
              </w:rPr>
            </w:pPr>
            <w:r>
              <w:rPr>
                <w:rFonts w:hint="default" w:ascii="Times New Roman" w:hAnsi="Times New Roman" w:eastAsia="宋体" w:cs="Times New Roman"/>
                <w:i w:val="0"/>
                <w:iCs w:val="0"/>
                <w:color w:val="000000"/>
                <w:kern w:val="0"/>
                <w:sz w:val="22"/>
                <w:szCs w:val="22"/>
                <w:u w:val="none"/>
                <w:lang w:val="en-US" w:eastAsia="zh-CN" w:bidi="ar"/>
              </w:rPr>
              <w:t>1.9956</w:t>
            </w:r>
          </w:p>
        </w:tc>
      </w:tr>
    </w:tbl>
    <w:p w14:paraId="259D094B">
      <w:p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可以看到，相比于线性模型，lightGBM模型对于高收益股票的区分度较低，导致最终的多空收益率相对较差。</w:t>
      </w:r>
    </w:p>
    <w:p w14:paraId="4CFC987F">
      <w:pPr>
        <w:ind w:firstLine="420" w:firstLineChars="0"/>
        <w:rPr>
          <w:rFonts w:hint="eastAsia" w:ascii="Times New Roman" w:hAnsi="Times New Roman" w:cs="Times New Roman"/>
          <w:lang w:val="en-US" w:eastAsia="zh-CN"/>
        </w:rPr>
      </w:pPr>
    </w:p>
    <w:p w14:paraId="75824BB2">
      <w:pPr>
        <w:numPr>
          <w:ilvl w:val="0"/>
          <w:numId w:val="4"/>
        </w:numPr>
        <w:ind w:left="0" w:leftChars="0" w:firstLine="0" w:firstLineChars="0"/>
        <w:rPr>
          <w:rFonts w:hint="default" w:ascii="Times New Roman" w:hAnsi="Times New Roman" w:cs="Times New Roman"/>
          <w:b/>
          <w:bCs/>
          <w:lang w:val="en-US" w:eastAsia="zh-CN"/>
        </w:rPr>
      </w:pPr>
      <w:r>
        <w:rPr>
          <w:rFonts w:hint="eastAsia" w:ascii="Times New Roman" w:hAnsi="Times New Roman" w:cs="Times New Roman"/>
          <w:b/>
          <w:bCs/>
          <w:lang w:val="en-US" w:eastAsia="zh-CN"/>
        </w:rPr>
        <w:t>深度学习模型</w:t>
      </w:r>
    </w:p>
    <w:p w14:paraId="147A5559">
      <w:pPr>
        <w:ind w:firstLine="420"/>
        <w:rPr>
          <w:rFonts w:hint="default" w:ascii="Times New Roman" w:hAnsi="Times New Roman" w:cs="Times New Roman"/>
        </w:rPr>
      </w:pPr>
      <w:r>
        <w:rPr>
          <w:rFonts w:hint="default" w:ascii="Times New Roman" w:hAnsi="Times New Roman" w:cs="Times New Roman"/>
        </w:rPr>
        <w:t>深度学习模型我们选取了前馈神经网络。在训练过程中，由于是面板数据滚动训练，我们采取了第一次训练使用大学习率、多轮epochs，后续训练使用上一次权重、小学习率、少量epochs微调的训练策略，大幅提高了训练效率。</w:t>
      </w:r>
    </w:p>
    <w:p w14:paraId="392999D7">
      <w:pPr>
        <w:ind w:firstLine="42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通过手动测试，我们确定了深度学习网络的架构以及学习率。我们经过探索发现，复杂的网络（超过三层）、过大的单层神经元数量（我们选取了8个因子，而单层最大参数超过32）以及过小的学习率均产生了更差的结果，我们认为这是过拟合的表现。最终，我们选定了两层的前馈神经网络，每层的神经元数量分别为32、16，学习率为0.001。</w:t>
      </w:r>
    </w:p>
    <w:p w14:paraId="3428EC4F">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809240"/>
            <wp:effectExtent l="0" t="0" r="10160" b="10160"/>
            <wp:docPr id="4" name="图片 4" descr="NeuralNetwork_train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NeuralNetwork_train_cumulative_returns_plot"/>
                    <pic:cNvPicPr>
                      <a:picLocks noChangeAspect="1"/>
                    </pic:cNvPicPr>
                  </pic:nvPicPr>
                  <pic:blipFill>
                    <a:blip r:embed="rId10"/>
                    <a:stretch>
                      <a:fillRect/>
                    </a:stretch>
                  </pic:blipFill>
                  <pic:spPr>
                    <a:xfrm>
                      <a:off x="0" y="0"/>
                      <a:ext cx="5266690" cy="2809240"/>
                    </a:xfrm>
                    <a:prstGeom prst="rect">
                      <a:avLst/>
                    </a:prstGeom>
                  </pic:spPr>
                </pic:pic>
              </a:graphicData>
            </a:graphic>
          </wp:inline>
        </w:drawing>
      </w:r>
    </w:p>
    <w:tbl>
      <w:tblPr>
        <w:tblStyle w:val="9"/>
        <w:tblW w:w="0" w:type="auto"/>
        <w:jc w:val="center"/>
        <w:tblLayout w:type="autofit"/>
        <w:tblCellMar>
          <w:top w:w="0" w:type="dxa"/>
          <w:left w:w="108" w:type="dxa"/>
          <w:bottom w:w="0" w:type="dxa"/>
          <w:right w:w="108" w:type="dxa"/>
        </w:tblCellMar>
      </w:tblPr>
      <w:tblGrid>
        <w:gridCol w:w="1158"/>
        <w:gridCol w:w="1939"/>
        <w:gridCol w:w="1634"/>
        <w:gridCol w:w="1414"/>
      </w:tblGrid>
      <w:tr w14:paraId="035C94C6">
        <w:tblPrEx>
          <w:tblCellMar>
            <w:top w:w="0" w:type="dxa"/>
            <w:left w:w="108" w:type="dxa"/>
            <w:bottom w:w="0" w:type="dxa"/>
            <w:right w:w="108" w:type="dxa"/>
          </w:tblCellMar>
        </w:tblPrEx>
        <w:trPr>
          <w:trHeight w:val="349" w:hRule="atLeast"/>
          <w:jc w:val="center"/>
        </w:trPr>
        <w:tc>
          <w:tcPr>
            <w:tcW w:w="1136" w:type="dxa"/>
            <w:tcBorders>
              <w:top w:val="nil"/>
              <w:left w:val="nil"/>
              <w:bottom w:val="single" w:color="000000" w:sz="4" w:space="0"/>
              <w:right w:val="nil"/>
              <w:tl2br w:val="nil"/>
            </w:tcBorders>
            <w:shd w:val="clear" w:color="auto" w:fill="FFFFFF"/>
            <w:vAlign w:val="center"/>
          </w:tcPr>
          <w:p w14:paraId="20FE5649">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Portfolio</w:t>
            </w:r>
          </w:p>
        </w:tc>
        <w:tc>
          <w:tcPr>
            <w:tcW w:w="1851" w:type="dxa"/>
            <w:tcBorders>
              <w:top w:val="nil"/>
              <w:left w:val="nil"/>
              <w:bottom w:val="single" w:color="000000" w:sz="4" w:space="0"/>
              <w:right w:val="nil"/>
            </w:tcBorders>
            <w:shd w:val="clear" w:color="auto" w:fill="FFFFFF"/>
            <w:vAlign w:val="center"/>
          </w:tcPr>
          <w:p w14:paraId="58410237">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Annualized_Return</w:t>
            </w:r>
          </w:p>
        </w:tc>
        <w:tc>
          <w:tcPr>
            <w:tcW w:w="1546" w:type="dxa"/>
            <w:tcBorders>
              <w:top w:val="nil"/>
              <w:left w:val="nil"/>
              <w:bottom w:val="single" w:color="000000" w:sz="4" w:space="0"/>
              <w:right w:val="nil"/>
            </w:tcBorders>
            <w:shd w:val="clear" w:color="auto" w:fill="FFFFFF"/>
            <w:vAlign w:val="center"/>
          </w:tcPr>
          <w:p w14:paraId="50FECDB3">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Annualized_Std</w:t>
            </w:r>
          </w:p>
        </w:tc>
        <w:tc>
          <w:tcPr>
            <w:tcW w:w="1360" w:type="dxa"/>
            <w:tcBorders>
              <w:top w:val="nil"/>
              <w:left w:val="nil"/>
              <w:bottom w:val="single" w:color="000000" w:sz="4" w:space="0"/>
              <w:right w:val="nil"/>
            </w:tcBorders>
            <w:shd w:val="clear" w:color="auto" w:fill="FFFFFF"/>
            <w:vAlign w:val="center"/>
          </w:tcPr>
          <w:p w14:paraId="5A261E13">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Sharpe_Ratio</w:t>
            </w:r>
          </w:p>
        </w:tc>
      </w:tr>
      <w:tr w14:paraId="0C390ADD">
        <w:tblPrEx>
          <w:tblCellMar>
            <w:top w:w="0" w:type="dxa"/>
            <w:left w:w="108" w:type="dxa"/>
            <w:bottom w:w="0" w:type="dxa"/>
            <w:right w:w="108" w:type="dxa"/>
          </w:tblCellMar>
        </w:tblPrEx>
        <w:trPr>
          <w:trHeight w:val="349" w:hRule="atLeast"/>
          <w:jc w:val="center"/>
        </w:trPr>
        <w:tc>
          <w:tcPr>
            <w:tcW w:w="1136" w:type="dxa"/>
            <w:tcBorders>
              <w:top w:val="single" w:color="000000" w:sz="4" w:space="0"/>
              <w:left w:val="nil"/>
              <w:bottom w:val="nil"/>
              <w:right w:val="single" w:color="000000" w:sz="4" w:space="0"/>
            </w:tcBorders>
            <w:shd w:val="clear" w:color="auto" w:fill="FFFFFF"/>
            <w:vAlign w:val="center"/>
          </w:tcPr>
          <w:p w14:paraId="11C4298D">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Group_1</w:t>
            </w:r>
          </w:p>
        </w:tc>
        <w:tc>
          <w:tcPr>
            <w:tcW w:w="1851" w:type="dxa"/>
            <w:tcBorders>
              <w:top w:val="single" w:color="000000" w:sz="4" w:space="0"/>
              <w:left w:val="single" w:color="000000" w:sz="4" w:space="0"/>
              <w:bottom w:val="nil"/>
              <w:right w:val="nil"/>
            </w:tcBorders>
            <w:shd w:val="clear" w:color="auto" w:fill="FFFFFF"/>
            <w:vAlign w:val="center"/>
          </w:tcPr>
          <w:p w14:paraId="2D7AD3DA">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-0.0172</w:t>
            </w:r>
          </w:p>
        </w:tc>
        <w:tc>
          <w:tcPr>
            <w:tcW w:w="1546" w:type="dxa"/>
            <w:tcBorders>
              <w:top w:val="single" w:color="000000" w:sz="4" w:space="0"/>
              <w:left w:val="nil"/>
              <w:bottom w:val="nil"/>
              <w:right w:val="nil"/>
            </w:tcBorders>
            <w:shd w:val="clear" w:color="auto" w:fill="FFFFFF"/>
            <w:vAlign w:val="center"/>
          </w:tcPr>
          <w:p w14:paraId="5C1E0C90">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0.2717</w:t>
            </w:r>
          </w:p>
        </w:tc>
        <w:tc>
          <w:tcPr>
            <w:tcW w:w="1360" w:type="dxa"/>
            <w:tcBorders>
              <w:top w:val="single" w:color="000000" w:sz="4" w:space="0"/>
              <w:left w:val="nil"/>
              <w:bottom w:val="nil"/>
              <w:right w:val="nil"/>
            </w:tcBorders>
            <w:shd w:val="clear" w:color="auto" w:fill="FFFFFF"/>
            <w:vAlign w:val="center"/>
          </w:tcPr>
          <w:p w14:paraId="07D4DD43">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-0.0634</w:t>
            </w:r>
          </w:p>
        </w:tc>
      </w:tr>
      <w:tr w14:paraId="07CE9D30">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03628A9E">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Group_2</w:t>
            </w:r>
          </w:p>
        </w:tc>
        <w:tc>
          <w:tcPr>
            <w:tcW w:w="1851" w:type="dxa"/>
            <w:tcBorders>
              <w:top w:val="nil"/>
              <w:left w:val="single" w:color="000000" w:sz="4" w:space="0"/>
              <w:bottom w:val="nil"/>
              <w:right w:val="nil"/>
            </w:tcBorders>
            <w:shd w:val="clear" w:color="auto" w:fill="FFFFFF"/>
            <w:vAlign w:val="center"/>
          </w:tcPr>
          <w:p w14:paraId="766C8A10">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0.1049</w:t>
            </w:r>
          </w:p>
        </w:tc>
        <w:tc>
          <w:tcPr>
            <w:tcW w:w="1546" w:type="dxa"/>
            <w:tcBorders>
              <w:top w:val="nil"/>
              <w:left w:val="nil"/>
              <w:bottom w:val="nil"/>
              <w:right w:val="nil"/>
            </w:tcBorders>
            <w:shd w:val="clear" w:color="auto" w:fill="FFFFFF"/>
            <w:vAlign w:val="center"/>
          </w:tcPr>
          <w:p w14:paraId="3CF990A2">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0.2351</w:t>
            </w:r>
          </w:p>
        </w:tc>
        <w:tc>
          <w:tcPr>
            <w:tcW w:w="1360" w:type="dxa"/>
            <w:tcBorders>
              <w:top w:val="nil"/>
              <w:left w:val="nil"/>
              <w:bottom w:val="nil"/>
              <w:right w:val="nil"/>
            </w:tcBorders>
            <w:shd w:val="clear" w:color="auto" w:fill="FFFFFF"/>
            <w:vAlign w:val="center"/>
          </w:tcPr>
          <w:p w14:paraId="4D2E6467">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0.4464</w:t>
            </w:r>
          </w:p>
        </w:tc>
      </w:tr>
      <w:tr w14:paraId="2F95C033">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1C70DEC8">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Group_3</w:t>
            </w:r>
          </w:p>
        </w:tc>
        <w:tc>
          <w:tcPr>
            <w:tcW w:w="1851" w:type="dxa"/>
            <w:tcBorders>
              <w:top w:val="nil"/>
              <w:left w:val="single" w:color="000000" w:sz="4" w:space="0"/>
              <w:bottom w:val="nil"/>
              <w:right w:val="nil"/>
            </w:tcBorders>
            <w:shd w:val="clear" w:color="auto" w:fill="FFFFFF"/>
            <w:vAlign w:val="center"/>
          </w:tcPr>
          <w:p w14:paraId="311F55CE">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0.1214</w:t>
            </w:r>
          </w:p>
        </w:tc>
        <w:tc>
          <w:tcPr>
            <w:tcW w:w="1546" w:type="dxa"/>
            <w:tcBorders>
              <w:top w:val="nil"/>
              <w:left w:val="nil"/>
              <w:bottom w:val="nil"/>
              <w:right w:val="nil"/>
            </w:tcBorders>
            <w:shd w:val="clear" w:color="auto" w:fill="FFFFFF"/>
            <w:vAlign w:val="center"/>
          </w:tcPr>
          <w:p w14:paraId="1A2B8DB0">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0.2376</w:t>
            </w:r>
          </w:p>
        </w:tc>
        <w:tc>
          <w:tcPr>
            <w:tcW w:w="1360" w:type="dxa"/>
            <w:tcBorders>
              <w:top w:val="nil"/>
              <w:left w:val="nil"/>
              <w:bottom w:val="nil"/>
              <w:right w:val="nil"/>
            </w:tcBorders>
            <w:shd w:val="clear" w:color="auto" w:fill="FFFFFF"/>
            <w:vAlign w:val="center"/>
          </w:tcPr>
          <w:p w14:paraId="13E76837">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0.5112</w:t>
            </w:r>
          </w:p>
        </w:tc>
      </w:tr>
      <w:tr w14:paraId="15A417E7">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1EFB438A">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Group_4</w:t>
            </w:r>
          </w:p>
        </w:tc>
        <w:tc>
          <w:tcPr>
            <w:tcW w:w="1851" w:type="dxa"/>
            <w:tcBorders>
              <w:top w:val="nil"/>
              <w:left w:val="single" w:color="000000" w:sz="4" w:space="0"/>
              <w:bottom w:val="nil"/>
              <w:right w:val="nil"/>
            </w:tcBorders>
            <w:shd w:val="clear" w:color="auto" w:fill="FFFFFF"/>
            <w:vAlign w:val="center"/>
          </w:tcPr>
          <w:p w14:paraId="285AC4E6">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0.1460</w:t>
            </w:r>
          </w:p>
        </w:tc>
        <w:tc>
          <w:tcPr>
            <w:tcW w:w="1546" w:type="dxa"/>
            <w:tcBorders>
              <w:top w:val="nil"/>
              <w:left w:val="nil"/>
              <w:bottom w:val="nil"/>
              <w:right w:val="nil"/>
            </w:tcBorders>
            <w:shd w:val="clear" w:color="auto" w:fill="FFFFFF"/>
            <w:vAlign w:val="center"/>
          </w:tcPr>
          <w:p w14:paraId="3D407522">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0.2352</w:t>
            </w:r>
          </w:p>
        </w:tc>
        <w:tc>
          <w:tcPr>
            <w:tcW w:w="1360" w:type="dxa"/>
            <w:tcBorders>
              <w:top w:val="nil"/>
              <w:left w:val="nil"/>
              <w:bottom w:val="nil"/>
              <w:right w:val="nil"/>
            </w:tcBorders>
            <w:shd w:val="clear" w:color="auto" w:fill="FFFFFF"/>
            <w:vAlign w:val="center"/>
          </w:tcPr>
          <w:p w14:paraId="6CDA816D">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0.6207</w:t>
            </w:r>
          </w:p>
        </w:tc>
      </w:tr>
      <w:tr w14:paraId="089BB562">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5335C292">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Group_5</w:t>
            </w:r>
          </w:p>
        </w:tc>
        <w:tc>
          <w:tcPr>
            <w:tcW w:w="1851" w:type="dxa"/>
            <w:tcBorders>
              <w:top w:val="nil"/>
              <w:left w:val="single" w:color="000000" w:sz="4" w:space="0"/>
              <w:bottom w:val="nil"/>
              <w:right w:val="nil"/>
            </w:tcBorders>
            <w:shd w:val="clear" w:color="auto" w:fill="FFFFFF"/>
            <w:vAlign w:val="center"/>
          </w:tcPr>
          <w:p w14:paraId="50764A15">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0.1679</w:t>
            </w:r>
          </w:p>
        </w:tc>
        <w:tc>
          <w:tcPr>
            <w:tcW w:w="1546" w:type="dxa"/>
            <w:tcBorders>
              <w:top w:val="nil"/>
              <w:left w:val="nil"/>
              <w:bottom w:val="nil"/>
              <w:right w:val="nil"/>
            </w:tcBorders>
            <w:shd w:val="clear" w:color="auto" w:fill="FFFFFF"/>
            <w:vAlign w:val="center"/>
          </w:tcPr>
          <w:p w14:paraId="6504E8CF">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0.2332</w:t>
            </w:r>
          </w:p>
        </w:tc>
        <w:tc>
          <w:tcPr>
            <w:tcW w:w="1360" w:type="dxa"/>
            <w:tcBorders>
              <w:top w:val="nil"/>
              <w:left w:val="nil"/>
              <w:bottom w:val="nil"/>
              <w:right w:val="nil"/>
            </w:tcBorders>
            <w:shd w:val="clear" w:color="auto" w:fill="FFFFFF"/>
            <w:vAlign w:val="center"/>
          </w:tcPr>
          <w:p w14:paraId="08643D98">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0.7201</w:t>
            </w:r>
          </w:p>
        </w:tc>
      </w:tr>
      <w:tr w14:paraId="54EAE6B6">
        <w:tblPrEx>
          <w:tblCellMar>
            <w:top w:w="0" w:type="dxa"/>
            <w:left w:w="108" w:type="dxa"/>
            <w:bottom w:w="0" w:type="dxa"/>
            <w:right w:w="108" w:type="dxa"/>
          </w:tblCellMar>
        </w:tblPrEx>
        <w:trPr>
          <w:trHeight w:val="349" w:hRule="atLeast"/>
          <w:jc w:val="center"/>
        </w:trPr>
        <w:tc>
          <w:tcPr>
            <w:tcW w:w="1136" w:type="dxa"/>
            <w:tcBorders>
              <w:top w:val="nil"/>
              <w:left w:val="nil"/>
              <w:bottom w:val="nil"/>
              <w:right w:val="single" w:color="000000" w:sz="4" w:space="0"/>
            </w:tcBorders>
            <w:shd w:val="clear" w:color="auto" w:fill="FFFFFF"/>
            <w:vAlign w:val="center"/>
          </w:tcPr>
          <w:p w14:paraId="588A16D0">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long_short</w:t>
            </w:r>
          </w:p>
        </w:tc>
        <w:tc>
          <w:tcPr>
            <w:tcW w:w="1851" w:type="dxa"/>
            <w:tcBorders>
              <w:top w:val="nil"/>
              <w:left w:val="single" w:color="000000" w:sz="4" w:space="0"/>
              <w:bottom w:val="nil"/>
              <w:right w:val="nil"/>
            </w:tcBorders>
            <w:shd w:val="clear" w:color="auto" w:fill="FFFFFF"/>
            <w:vAlign w:val="center"/>
          </w:tcPr>
          <w:p w14:paraId="449A1BD4">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0.1851</w:t>
            </w:r>
          </w:p>
        </w:tc>
        <w:tc>
          <w:tcPr>
            <w:tcW w:w="1546" w:type="dxa"/>
            <w:tcBorders>
              <w:top w:val="nil"/>
              <w:left w:val="nil"/>
              <w:bottom w:val="nil"/>
              <w:right w:val="nil"/>
            </w:tcBorders>
            <w:shd w:val="clear" w:color="auto" w:fill="FFFFFF"/>
            <w:vAlign w:val="center"/>
          </w:tcPr>
          <w:p w14:paraId="672A6DED">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0.0850</w:t>
            </w:r>
          </w:p>
        </w:tc>
        <w:tc>
          <w:tcPr>
            <w:tcW w:w="1360" w:type="dxa"/>
            <w:tcBorders>
              <w:top w:val="nil"/>
              <w:left w:val="nil"/>
              <w:bottom w:val="nil"/>
              <w:right w:val="nil"/>
            </w:tcBorders>
            <w:shd w:val="clear" w:color="auto" w:fill="FFFFFF"/>
            <w:vAlign w:val="center"/>
          </w:tcPr>
          <w:p w14:paraId="61C81C19">
            <w:pPr>
              <w:keepNext w:val="0"/>
              <w:keepLines w:val="0"/>
              <w:widowControl/>
              <w:suppressLineNumbers w:val="0"/>
              <w:jc w:val="center"/>
              <w:textAlignment w:val="center"/>
              <w:rPr>
                <w:rFonts w:hint="default" w:ascii="Times New Roman" w:hAnsi="Times New Roman" w:eastAsia="宋体" w:cs="Times New Roman"/>
                <w:color w:val="000000"/>
                <w:kern w:val="0"/>
                <w:szCs w:val="21"/>
                <w:lang w:bidi="ar"/>
              </w:rPr>
            </w:pPr>
            <w:r>
              <w:rPr>
                <w:rFonts w:hint="default" w:ascii="Times New Roman" w:hAnsi="Times New Roman" w:eastAsia="宋体" w:cs="Times New Roman"/>
                <w:i w:val="0"/>
                <w:iCs w:val="0"/>
                <w:color w:val="000000"/>
                <w:kern w:val="0"/>
                <w:sz w:val="22"/>
                <w:szCs w:val="22"/>
                <w:u w:val="none"/>
                <w:lang w:val="en-US" w:eastAsia="zh-CN" w:bidi="ar"/>
              </w:rPr>
              <w:t>2.1788</w:t>
            </w:r>
          </w:p>
        </w:tc>
      </w:tr>
    </w:tbl>
    <w:p w14:paraId="23E56192">
      <w:pPr>
        <w:ind w:firstLine="420"/>
        <w:rPr>
          <w:rFonts w:hint="default" w:ascii="Times New Roman" w:hAnsi="Times New Roman" w:cs="Times New Roman"/>
        </w:rPr>
      </w:pPr>
    </w:p>
    <w:p w14:paraId="5F284B92">
      <w:pPr>
        <w:numPr>
          <w:ilvl w:val="0"/>
          <w:numId w:val="1"/>
        </w:numPr>
        <w:ind w:left="0" w:leftChars="0" w:firstLine="0" w:firstLineChars="0"/>
        <w:rPr>
          <w:rFonts w:hint="default" w:ascii="Times New Roman" w:hAnsi="Times New Roman" w:cs="Times New Roman" w:eastAsiaTheme="minorEastAsia"/>
          <w:b/>
          <w:bCs/>
          <w:sz w:val="24"/>
          <w:szCs w:val="32"/>
          <w:lang w:val="en-US" w:eastAsia="zh-CN"/>
        </w:rPr>
      </w:pPr>
      <w:r>
        <w:rPr>
          <w:rFonts w:hint="eastAsia" w:ascii="Times New Roman" w:hAnsi="Times New Roman" w:cs="Times New Roman"/>
          <w:b/>
          <w:bCs/>
          <w:sz w:val="24"/>
          <w:szCs w:val="32"/>
          <w:lang w:val="en-US" w:eastAsia="zh-CN"/>
        </w:rPr>
        <w:t>样本外测试</w:t>
      </w:r>
    </w:p>
    <w:p w14:paraId="52A1C914">
      <w:pPr>
        <w:ind w:firstLine="420" w:firstLineChars="0"/>
        <w:rPr>
          <w:rFonts w:hint="eastAsia" w:ascii="Times New Roman" w:hAnsi="Times New Roman" w:cs="Times New Roman"/>
          <w:lang w:val="en-US" w:eastAsia="zh-CN"/>
        </w:rPr>
      </w:pPr>
      <w:r>
        <w:rPr>
          <w:rFonts w:hint="default" w:ascii="Times New Roman" w:hAnsi="Times New Roman" w:cs="Times New Roman"/>
        </w:rPr>
        <w:t>样本外测试选取与样本内一样的模型参数。</w:t>
      </w:r>
      <w:r>
        <w:rPr>
          <w:rFonts w:hint="eastAsia" w:ascii="Times New Roman" w:hAnsi="Times New Roman" w:cs="Times New Roman"/>
          <w:lang w:val="en-US" w:eastAsia="zh-CN"/>
        </w:rPr>
        <w:t>测试从2013年1月开始预测收益率并调整持仓，选用24个月的历史数据进行计算。</w:t>
      </w:r>
    </w:p>
    <w:p w14:paraId="7F1B3253">
      <w:pPr>
        <w:numPr>
          <w:ilvl w:val="0"/>
          <w:numId w:val="5"/>
        </w:numPr>
        <w:rPr>
          <w:rFonts w:hint="default" w:ascii="Times New Roman" w:hAnsi="Times New Roman" w:cs="Times New Roman"/>
          <w:b/>
          <w:bCs/>
          <w:lang w:val="en-US" w:eastAsia="zh-CN"/>
        </w:rPr>
      </w:pPr>
      <w:r>
        <w:rPr>
          <w:rFonts w:hint="eastAsia" w:ascii="Times New Roman" w:hAnsi="Times New Roman" w:cs="Times New Roman"/>
          <w:b/>
          <w:bCs/>
          <w:lang w:val="en-US" w:eastAsia="zh-CN"/>
        </w:rPr>
        <w:t>线性模型</w:t>
      </w:r>
    </w:p>
    <w:p w14:paraId="59DE01AC">
      <w:pPr>
        <w:numPr>
          <w:numId w:val="0"/>
        </w:numPr>
        <w:ind w:firstLine="420" w:firstLineChars="0"/>
        <w:rPr>
          <w:rFonts w:hint="default" w:ascii="Times New Roman" w:hAnsi="Times New Roman" w:cs="Times New Roman"/>
          <w:b/>
          <w:bCs/>
          <w:lang w:val="en-US" w:eastAsia="zh-CN"/>
        </w:rPr>
      </w:pPr>
      <w:r>
        <w:rPr>
          <w:rFonts w:hint="eastAsia" w:ascii="Times New Roman" w:hAnsi="Times New Roman" w:cs="Times New Roman"/>
          <w:b w:val="0"/>
          <w:bCs w:val="0"/>
          <w:lang w:val="en-US" w:eastAsia="zh-CN"/>
        </w:rPr>
        <w:t>线性模型依旧保持了较高的稳定性和泛化能力。由于行情原因，第一组收益率没有显著的负收益，因此多空收益不如样本内数据显著，这是正常的。</w:t>
      </w:r>
    </w:p>
    <w:p w14:paraId="23ABF2DD">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809240"/>
            <wp:effectExtent l="0" t="0" r="10160" b="10160"/>
            <wp:docPr id="7" name="图片 7" descr="ridge_test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idge_test_cumulative_returns_plot"/>
                    <pic:cNvPicPr>
                      <a:picLocks noChangeAspect="1"/>
                    </pic:cNvPicPr>
                  </pic:nvPicPr>
                  <pic:blipFill>
                    <a:blip r:embed="rId11"/>
                    <a:stretch>
                      <a:fillRect/>
                    </a:stretch>
                  </pic:blipFill>
                  <pic:spPr>
                    <a:xfrm>
                      <a:off x="0" y="0"/>
                      <a:ext cx="5266690" cy="2809240"/>
                    </a:xfrm>
                    <a:prstGeom prst="rect">
                      <a:avLst/>
                    </a:prstGeom>
                  </pic:spPr>
                </pic:pic>
              </a:graphicData>
            </a:graphic>
          </wp:inline>
        </w:drawing>
      </w:r>
    </w:p>
    <w:tbl>
      <w:tblPr>
        <w:tblStyle w:val="9"/>
        <w:tblW w:w="4321" w:type="dxa"/>
        <w:jc w:val="center"/>
        <w:tblLayout w:type="autofit"/>
        <w:tblCellMar>
          <w:top w:w="0" w:type="dxa"/>
          <w:left w:w="108" w:type="dxa"/>
          <w:bottom w:w="0" w:type="dxa"/>
          <w:right w:w="108" w:type="dxa"/>
        </w:tblCellMar>
      </w:tblPr>
      <w:tblGrid>
        <w:gridCol w:w="1158"/>
        <w:gridCol w:w="1939"/>
        <w:gridCol w:w="1634"/>
        <w:gridCol w:w="1414"/>
      </w:tblGrid>
      <w:tr w14:paraId="4294CD16">
        <w:tblPrEx>
          <w:tblCellMar>
            <w:top w:w="0" w:type="dxa"/>
            <w:left w:w="108" w:type="dxa"/>
            <w:bottom w:w="0" w:type="dxa"/>
            <w:right w:w="108" w:type="dxa"/>
          </w:tblCellMar>
        </w:tblPrEx>
        <w:trPr>
          <w:trHeight w:val="585" w:hRule="atLeast"/>
          <w:jc w:val="center"/>
        </w:trPr>
        <w:tc>
          <w:tcPr>
            <w:tcW w:w="1080" w:type="dxa"/>
            <w:tcBorders>
              <w:top w:val="nil"/>
              <w:left w:val="nil"/>
              <w:bottom w:val="single" w:color="000000" w:sz="4" w:space="0"/>
              <w:right w:val="nil"/>
              <w:tl2br w:val="nil"/>
            </w:tcBorders>
            <w:shd w:val="clear" w:color="auto" w:fill="FFFFFF"/>
            <w:vAlign w:val="center"/>
          </w:tcPr>
          <w:p w14:paraId="1690BFA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Portfolio</w:t>
            </w:r>
          </w:p>
        </w:tc>
        <w:tc>
          <w:tcPr>
            <w:tcW w:w="1080" w:type="dxa"/>
            <w:tcBorders>
              <w:top w:val="nil"/>
              <w:left w:val="nil"/>
              <w:bottom w:val="single" w:color="000000" w:sz="4" w:space="0"/>
              <w:right w:val="nil"/>
            </w:tcBorders>
            <w:shd w:val="clear" w:color="auto" w:fill="FFFFFF"/>
            <w:vAlign w:val="center"/>
          </w:tcPr>
          <w:p w14:paraId="4A1572C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Annualized_Return</w:t>
            </w:r>
          </w:p>
        </w:tc>
        <w:tc>
          <w:tcPr>
            <w:tcW w:w="1080" w:type="dxa"/>
            <w:tcBorders>
              <w:top w:val="nil"/>
              <w:left w:val="nil"/>
              <w:bottom w:val="single" w:color="000000" w:sz="4" w:space="0"/>
              <w:right w:val="nil"/>
            </w:tcBorders>
            <w:shd w:val="clear" w:color="auto" w:fill="FFFFFF"/>
            <w:vAlign w:val="center"/>
          </w:tcPr>
          <w:p w14:paraId="33E1724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Annualized_Std</w:t>
            </w:r>
          </w:p>
        </w:tc>
        <w:tc>
          <w:tcPr>
            <w:tcW w:w="1080" w:type="dxa"/>
            <w:tcBorders>
              <w:top w:val="nil"/>
              <w:left w:val="nil"/>
              <w:bottom w:val="single" w:color="000000" w:sz="4" w:space="0"/>
              <w:right w:val="nil"/>
            </w:tcBorders>
            <w:shd w:val="clear" w:color="auto" w:fill="FFFFFF"/>
            <w:vAlign w:val="center"/>
          </w:tcPr>
          <w:p w14:paraId="6AEA88F3">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Sharpe_Ratio</w:t>
            </w:r>
          </w:p>
        </w:tc>
      </w:tr>
      <w:tr w14:paraId="402D2AFB">
        <w:tblPrEx>
          <w:tblCellMar>
            <w:top w:w="0" w:type="dxa"/>
            <w:left w:w="108" w:type="dxa"/>
            <w:bottom w:w="0" w:type="dxa"/>
            <w:right w:w="108" w:type="dxa"/>
          </w:tblCellMar>
        </w:tblPrEx>
        <w:trPr>
          <w:trHeight w:val="300" w:hRule="atLeast"/>
          <w:jc w:val="center"/>
        </w:trPr>
        <w:tc>
          <w:tcPr>
            <w:tcW w:w="1080" w:type="dxa"/>
            <w:tcBorders>
              <w:top w:val="single" w:color="000000" w:sz="4" w:space="0"/>
              <w:left w:val="nil"/>
              <w:bottom w:val="nil"/>
              <w:right w:val="single" w:color="000000" w:sz="4" w:space="0"/>
            </w:tcBorders>
            <w:shd w:val="clear" w:color="auto" w:fill="FFFFFF"/>
            <w:vAlign w:val="center"/>
          </w:tcPr>
          <w:p w14:paraId="618C93BD">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Group_1</w:t>
            </w:r>
          </w:p>
        </w:tc>
        <w:tc>
          <w:tcPr>
            <w:tcW w:w="1080" w:type="dxa"/>
            <w:tcBorders>
              <w:top w:val="single" w:color="000000" w:sz="4" w:space="0"/>
              <w:left w:val="single" w:color="000000" w:sz="4" w:space="0"/>
              <w:bottom w:val="nil"/>
              <w:right w:val="nil"/>
            </w:tcBorders>
            <w:shd w:val="clear" w:color="auto" w:fill="FFFFFF"/>
            <w:vAlign w:val="center"/>
          </w:tcPr>
          <w:p w14:paraId="690CB63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0.1025</w:t>
            </w:r>
          </w:p>
        </w:tc>
        <w:tc>
          <w:tcPr>
            <w:tcW w:w="1080" w:type="dxa"/>
            <w:tcBorders>
              <w:top w:val="single" w:color="000000" w:sz="4" w:space="0"/>
              <w:left w:val="nil"/>
              <w:bottom w:val="nil"/>
              <w:right w:val="nil"/>
            </w:tcBorders>
            <w:shd w:val="clear" w:color="auto" w:fill="FFFFFF"/>
            <w:vAlign w:val="center"/>
          </w:tcPr>
          <w:p w14:paraId="27B64B4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0.3333</w:t>
            </w:r>
          </w:p>
        </w:tc>
        <w:tc>
          <w:tcPr>
            <w:tcW w:w="1080" w:type="dxa"/>
            <w:tcBorders>
              <w:top w:val="single" w:color="000000" w:sz="4" w:space="0"/>
              <w:left w:val="nil"/>
              <w:bottom w:val="nil"/>
              <w:right w:val="nil"/>
            </w:tcBorders>
            <w:shd w:val="clear" w:color="auto" w:fill="FFFFFF"/>
            <w:vAlign w:val="center"/>
          </w:tcPr>
          <w:p w14:paraId="17735FC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0.3076</w:t>
            </w:r>
          </w:p>
        </w:tc>
      </w:tr>
      <w:tr w14:paraId="72EB2451">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1FD6BE0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Group_2</w:t>
            </w:r>
          </w:p>
        </w:tc>
        <w:tc>
          <w:tcPr>
            <w:tcW w:w="1080" w:type="dxa"/>
            <w:tcBorders>
              <w:top w:val="nil"/>
              <w:left w:val="single" w:color="000000" w:sz="4" w:space="0"/>
              <w:bottom w:val="nil"/>
              <w:right w:val="nil"/>
            </w:tcBorders>
            <w:shd w:val="clear" w:color="auto" w:fill="FFFFFF"/>
            <w:vAlign w:val="center"/>
          </w:tcPr>
          <w:p w14:paraId="0C45843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0.1812</w:t>
            </w:r>
          </w:p>
        </w:tc>
        <w:tc>
          <w:tcPr>
            <w:tcW w:w="1080" w:type="dxa"/>
            <w:tcBorders>
              <w:top w:val="nil"/>
              <w:left w:val="nil"/>
              <w:bottom w:val="nil"/>
              <w:right w:val="nil"/>
            </w:tcBorders>
            <w:shd w:val="clear" w:color="auto" w:fill="FFFFFF"/>
            <w:vAlign w:val="center"/>
          </w:tcPr>
          <w:p w14:paraId="61ECF742">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0.3033</w:t>
            </w:r>
          </w:p>
        </w:tc>
        <w:tc>
          <w:tcPr>
            <w:tcW w:w="1080" w:type="dxa"/>
            <w:tcBorders>
              <w:top w:val="nil"/>
              <w:left w:val="nil"/>
              <w:bottom w:val="nil"/>
              <w:right w:val="nil"/>
            </w:tcBorders>
            <w:shd w:val="clear" w:color="auto" w:fill="FFFFFF"/>
            <w:vAlign w:val="center"/>
          </w:tcPr>
          <w:p w14:paraId="5AD6864D">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0.5973</w:t>
            </w:r>
          </w:p>
        </w:tc>
      </w:tr>
      <w:tr w14:paraId="2B6710AA">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41DD2A4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Group_3</w:t>
            </w:r>
          </w:p>
        </w:tc>
        <w:tc>
          <w:tcPr>
            <w:tcW w:w="1080" w:type="dxa"/>
            <w:tcBorders>
              <w:top w:val="nil"/>
              <w:left w:val="single" w:color="000000" w:sz="4" w:space="0"/>
              <w:bottom w:val="nil"/>
              <w:right w:val="nil"/>
            </w:tcBorders>
            <w:shd w:val="clear" w:color="auto" w:fill="FFFFFF"/>
            <w:vAlign w:val="center"/>
          </w:tcPr>
          <w:p w14:paraId="5CAC444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0.1893</w:t>
            </w:r>
          </w:p>
        </w:tc>
        <w:tc>
          <w:tcPr>
            <w:tcW w:w="1080" w:type="dxa"/>
            <w:tcBorders>
              <w:top w:val="nil"/>
              <w:left w:val="nil"/>
              <w:bottom w:val="nil"/>
              <w:right w:val="nil"/>
            </w:tcBorders>
            <w:shd w:val="clear" w:color="auto" w:fill="FFFFFF"/>
            <w:vAlign w:val="center"/>
          </w:tcPr>
          <w:p w14:paraId="57C3569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0.2974</w:t>
            </w:r>
          </w:p>
        </w:tc>
        <w:tc>
          <w:tcPr>
            <w:tcW w:w="1080" w:type="dxa"/>
            <w:tcBorders>
              <w:top w:val="nil"/>
              <w:left w:val="nil"/>
              <w:bottom w:val="nil"/>
              <w:right w:val="nil"/>
            </w:tcBorders>
            <w:shd w:val="clear" w:color="auto" w:fill="FFFFFF"/>
            <w:vAlign w:val="center"/>
          </w:tcPr>
          <w:p w14:paraId="7BDEBF8A">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0.6365</w:t>
            </w:r>
          </w:p>
        </w:tc>
      </w:tr>
      <w:tr w14:paraId="5C9F7E3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2BF7033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Group_4</w:t>
            </w:r>
          </w:p>
        </w:tc>
        <w:tc>
          <w:tcPr>
            <w:tcW w:w="1080" w:type="dxa"/>
            <w:tcBorders>
              <w:top w:val="nil"/>
              <w:left w:val="single" w:color="000000" w:sz="4" w:space="0"/>
              <w:bottom w:val="nil"/>
              <w:right w:val="nil"/>
            </w:tcBorders>
            <w:shd w:val="clear" w:color="auto" w:fill="FFFFFF"/>
            <w:vAlign w:val="center"/>
          </w:tcPr>
          <w:p w14:paraId="3E43AE2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0.2240</w:t>
            </w:r>
          </w:p>
        </w:tc>
        <w:tc>
          <w:tcPr>
            <w:tcW w:w="1080" w:type="dxa"/>
            <w:tcBorders>
              <w:top w:val="nil"/>
              <w:left w:val="nil"/>
              <w:bottom w:val="nil"/>
              <w:right w:val="nil"/>
            </w:tcBorders>
            <w:shd w:val="clear" w:color="auto" w:fill="FFFFFF"/>
            <w:vAlign w:val="center"/>
          </w:tcPr>
          <w:p w14:paraId="457BC43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0.2934</w:t>
            </w:r>
          </w:p>
        </w:tc>
        <w:tc>
          <w:tcPr>
            <w:tcW w:w="1080" w:type="dxa"/>
            <w:tcBorders>
              <w:top w:val="nil"/>
              <w:left w:val="nil"/>
              <w:bottom w:val="nil"/>
              <w:right w:val="nil"/>
            </w:tcBorders>
            <w:shd w:val="clear" w:color="auto" w:fill="FFFFFF"/>
            <w:vAlign w:val="center"/>
          </w:tcPr>
          <w:p w14:paraId="38241DF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0.7635</w:t>
            </w:r>
          </w:p>
        </w:tc>
      </w:tr>
      <w:tr w14:paraId="19A0CAC5">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6DB95E1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Group_5</w:t>
            </w:r>
          </w:p>
        </w:tc>
        <w:tc>
          <w:tcPr>
            <w:tcW w:w="1080" w:type="dxa"/>
            <w:tcBorders>
              <w:top w:val="nil"/>
              <w:left w:val="single" w:color="000000" w:sz="4" w:space="0"/>
              <w:bottom w:val="nil"/>
              <w:right w:val="nil"/>
            </w:tcBorders>
            <w:shd w:val="clear" w:color="auto" w:fill="FFFFFF"/>
            <w:vAlign w:val="center"/>
          </w:tcPr>
          <w:p w14:paraId="7B5A8F7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0.2260</w:t>
            </w:r>
          </w:p>
        </w:tc>
        <w:tc>
          <w:tcPr>
            <w:tcW w:w="1080" w:type="dxa"/>
            <w:tcBorders>
              <w:top w:val="nil"/>
              <w:left w:val="nil"/>
              <w:bottom w:val="nil"/>
              <w:right w:val="nil"/>
            </w:tcBorders>
            <w:shd w:val="clear" w:color="auto" w:fill="FFFFFF"/>
            <w:vAlign w:val="center"/>
          </w:tcPr>
          <w:p w14:paraId="5C3E814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0.2934</w:t>
            </w:r>
          </w:p>
        </w:tc>
        <w:tc>
          <w:tcPr>
            <w:tcW w:w="1080" w:type="dxa"/>
            <w:tcBorders>
              <w:top w:val="nil"/>
              <w:left w:val="nil"/>
              <w:bottom w:val="nil"/>
              <w:right w:val="nil"/>
            </w:tcBorders>
            <w:shd w:val="clear" w:color="auto" w:fill="FFFFFF"/>
            <w:vAlign w:val="center"/>
          </w:tcPr>
          <w:p w14:paraId="64F156E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0.7701</w:t>
            </w:r>
          </w:p>
        </w:tc>
      </w:tr>
      <w:tr w14:paraId="3859EAB8">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488FA708">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long_short</w:t>
            </w:r>
          </w:p>
        </w:tc>
        <w:tc>
          <w:tcPr>
            <w:tcW w:w="1080" w:type="dxa"/>
            <w:tcBorders>
              <w:top w:val="nil"/>
              <w:left w:val="single" w:color="000000" w:sz="4" w:space="0"/>
              <w:bottom w:val="nil"/>
              <w:right w:val="nil"/>
            </w:tcBorders>
            <w:shd w:val="clear" w:color="auto" w:fill="FFFFFF"/>
            <w:vAlign w:val="center"/>
          </w:tcPr>
          <w:p w14:paraId="4A07B1FA">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0.1234</w:t>
            </w:r>
          </w:p>
        </w:tc>
        <w:tc>
          <w:tcPr>
            <w:tcW w:w="1080" w:type="dxa"/>
            <w:tcBorders>
              <w:top w:val="nil"/>
              <w:left w:val="nil"/>
              <w:bottom w:val="nil"/>
              <w:right w:val="nil"/>
            </w:tcBorders>
            <w:shd w:val="clear" w:color="auto" w:fill="FFFFFF"/>
            <w:vAlign w:val="center"/>
          </w:tcPr>
          <w:p w14:paraId="2443960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0.1069</w:t>
            </w:r>
          </w:p>
        </w:tc>
        <w:tc>
          <w:tcPr>
            <w:tcW w:w="1080" w:type="dxa"/>
            <w:tcBorders>
              <w:top w:val="nil"/>
              <w:left w:val="nil"/>
              <w:bottom w:val="nil"/>
              <w:right w:val="nil"/>
            </w:tcBorders>
            <w:shd w:val="clear" w:color="auto" w:fill="FFFFFF"/>
            <w:vAlign w:val="center"/>
          </w:tcPr>
          <w:p w14:paraId="4FDEFB42">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1.1548</w:t>
            </w:r>
          </w:p>
        </w:tc>
      </w:tr>
    </w:tbl>
    <w:p w14:paraId="0EF18782">
      <w:pPr>
        <w:rPr>
          <w:rFonts w:hint="eastAsia" w:ascii="Times New Roman" w:hAnsi="Times New Roman" w:cs="Times New Roman" w:eastAsiaTheme="minorEastAsia"/>
          <w:lang w:eastAsia="zh-CN"/>
        </w:rPr>
      </w:pPr>
    </w:p>
    <w:p w14:paraId="19622F0F">
      <w:pPr>
        <w:numPr>
          <w:ilvl w:val="0"/>
          <w:numId w:val="5"/>
        </w:numPr>
        <w:ind w:left="0" w:leftChars="0" w:firstLine="0" w:firstLineChars="0"/>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机器学习模型</w:t>
      </w:r>
    </w:p>
    <w:p w14:paraId="5C5693F1">
      <w:pPr>
        <w:widowControl w:val="0"/>
        <w:numPr>
          <w:numId w:val="0"/>
        </w:numPr>
        <w:ind w:firstLine="420" w:firstLineChars="0"/>
        <w:jc w:val="both"/>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LightGBM模型虽然没有线性模型的收益高，但是持仓波动小，多空夏普比率高。证明lightGBM模型有其选股的能力。</w:t>
      </w:r>
    </w:p>
    <w:p w14:paraId="6C8E6337">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809240"/>
            <wp:effectExtent l="0" t="0" r="10160" b="10160"/>
            <wp:docPr id="8" name="图片 8" descr="lightGBM_test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ightGBM_test_cumulative_returns_plot"/>
                    <pic:cNvPicPr>
                      <a:picLocks noChangeAspect="1"/>
                    </pic:cNvPicPr>
                  </pic:nvPicPr>
                  <pic:blipFill>
                    <a:blip r:embed="rId12"/>
                    <a:stretch>
                      <a:fillRect/>
                    </a:stretch>
                  </pic:blipFill>
                  <pic:spPr>
                    <a:xfrm>
                      <a:off x="0" y="0"/>
                      <a:ext cx="5266690" cy="2809240"/>
                    </a:xfrm>
                    <a:prstGeom prst="rect">
                      <a:avLst/>
                    </a:prstGeom>
                  </pic:spPr>
                </pic:pic>
              </a:graphicData>
            </a:graphic>
          </wp:inline>
        </w:drawing>
      </w:r>
    </w:p>
    <w:tbl>
      <w:tblPr>
        <w:tblStyle w:val="9"/>
        <w:tblW w:w="4321" w:type="dxa"/>
        <w:jc w:val="center"/>
        <w:tblLayout w:type="autofit"/>
        <w:tblCellMar>
          <w:top w:w="0" w:type="dxa"/>
          <w:left w:w="108" w:type="dxa"/>
          <w:bottom w:w="0" w:type="dxa"/>
          <w:right w:w="108" w:type="dxa"/>
        </w:tblCellMar>
      </w:tblPr>
      <w:tblGrid>
        <w:gridCol w:w="1158"/>
        <w:gridCol w:w="1939"/>
        <w:gridCol w:w="1634"/>
        <w:gridCol w:w="1414"/>
      </w:tblGrid>
      <w:tr w14:paraId="170AFDA8">
        <w:tblPrEx>
          <w:tblCellMar>
            <w:top w:w="0" w:type="dxa"/>
            <w:left w:w="108" w:type="dxa"/>
            <w:bottom w:w="0" w:type="dxa"/>
            <w:right w:w="108" w:type="dxa"/>
          </w:tblCellMar>
        </w:tblPrEx>
        <w:trPr>
          <w:trHeight w:val="585" w:hRule="atLeast"/>
          <w:jc w:val="center"/>
        </w:trPr>
        <w:tc>
          <w:tcPr>
            <w:tcW w:w="1080" w:type="dxa"/>
            <w:tcBorders>
              <w:top w:val="nil"/>
              <w:left w:val="nil"/>
              <w:bottom w:val="single" w:color="000000" w:sz="4" w:space="0"/>
              <w:right w:val="nil"/>
              <w:tl2br w:val="nil"/>
            </w:tcBorders>
            <w:shd w:val="clear" w:color="auto" w:fill="FFFFFF"/>
            <w:vAlign w:val="center"/>
          </w:tcPr>
          <w:p w14:paraId="451F1E5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Portfolio</w:t>
            </w:r>
          </w:p>
        </w:tc>
        <w:tc>
          <w:tcPr>
            <w:tcW w:w="1080" w:type="dxa"/>
            <w:tcBorders>
              <w:top w:val="nil"/>
              <w:left w:val="nil"/>
              <w:bottom w:val="single" w:color="000000" w:sz="4" w:space="0"/>
              <w:right w:val="nil"/>
            </w:tcBorders>
            <w:shd w:val="clear" w:color="auto" w:fill="FFFFFF"/>
            <w:vAlign w:val="center"/>
          </w:tcPr>
          <w:p w14:paraId="5D09C35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Annualized_Return</w:t>
            </w:r>
          </w:p>
        </w:tc>
        <w:tc>
          <w:tcPr>
            <w:tcW w:w="1080" w:type="dxa"/>
            <w:tcBorders>
              <w:top w:val="nil"/>
              <w:left w:val="nil"/>
              <w:bottom w:val="single" w:color="000000" w:sz="4" w:space="0"/>
              <w:right w:val="nil"/>
            </w:tcBorders>
            <w:shd w:val="clear" w:color="auto" w:fill="FFFFFF"/>
            <w:vAlign w:val="center"/>
          </w:tcPr>
          <w:p w14:paraId="7D770C9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Annualized_Std</w:t>
            </w:r>
          </w:p>
        </w:tc>
        <w:tc>
          <w:tcPr>
            <w:tcW w:w="1080" w:type="dxa"/>
            <w:tcBorders>
              <w:top w:val="nil"/>
              <w:left w:val="nil"/>
              <w:bottom w:val="single" w:color="000000" w:sz="4" w:space="0"/>
              <w:right w:val="nil"/>
            </w:tcBorders>
            <w:shd w:val="clear" w:color="auto" w:fill="FFFFFF"/>
            <w:vAlign w:val="center"/>
          </w:tcPr>
          <w:p w14:paraId="7F7AAF33">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Sharpe_Ratio</w:t>
            </w:r>
          </w:p>
        </w:tc>
      </w:tr>
      <w:tr w14:paraId="4B05559A">
        <w:tblPrEx>
          <w:tblCellMar>
            <w:top w:w="0" w:type="dxa"/>
            <w:left w:w="108" w:type="dxa"/>
            <w:bottom w:w="0" w:type="dxa"/>
            <w:right w:w="108" w:type="dxa"/>
          </w:tblCellMar>
        </w:tblPrEx>
        <w:trPr>
          <w:trHeight w:val="300" w:hRule="atLeast"/>
          <w:jc w:val="center"/>
        </w:trPr>
        <w:tc>
          <w:tcPr>
            <w:tcW w:w="1080" w:type="dxa"/>
            <w:tcBorders>
              <w:top w:val="single" w:color="000000" w:sz="4" w:space="0"/>
              <w:left w:val="nil"/>
              <w:bottom w:val="nil"/>
              <w:right w:val="single" w:color="000000" w:sz="4" w:space="0"/>
            </w:tcBorders>
            <w:shd w:val="clear" w:color="auto" w:fill="FFFFFF"/>
            <w:vAlign w:val="center"/>
          </w:tcPr>
          <w:p w14:paraId="2C3E588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Group_1</w:t>
            </w:r>
          </w:p>
        </w:tc>
        <w:tc>
          <w:tcPr>
            <w:tcW w:w="1080" w:type="dxa"/>
            <w:tcBorders>
              <w:top w:val="single" w:color="000000" w:sz="4" w:space="0"/>
              <w:left w:val="single" w:color="000000" w:sz="4" w:space="0"/>
              <w:bottom w:val="nil"/>
              <w:right w:val="nil"/>
            </w:tcBorders>
            <w:shd w:val="clear" w:color="auto" w:fill="FFFFFF"/>
            <w:vAlign w:val="center"/>
          </w:tcPr>
          <w:p w14:paraId="357A7147">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0.1040</w:t>
            </w:r>
          </w:p>
        </w:tc>
        <w:tc>
          <w:tcPr>
            <w:tcW w:w="1080" w:type="dxa"/>
            <w:tcBorders>
              <w:top w:val="single" w:color="000000" w:sz="4" w:space="0"/>
              <w:left w:val="nil"/>
              <w:bottom w:val="nil"/>
              <w:right w:val="nil"/>
            </w:tcBorders>
            <w:shd w:val="clear" w:color="auto" w:fill="FFFFFF"/>
            <w:vAlign w:val="center"/>
          </w:tcPr>
          <w:p w14:paraId="4F7BACA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0.3260</w:t>
            </w:r>
          </w:p>
        </w:tc>
        <w:tc>
          <w:tcPr>
            <w:tcW w:w="1080" w:type="dxa"/>
            <w:tcBorders>
              <w:top w:val="single" w:color="000000" w:sz="4" w:space="0"/>
              <w:left w:val="nil"/>
              <w:bottom w:val="nil"/>
              <w:right w:val="nil"/>
            </w:tcBorders>
            <w:shd w:val="clear" w:color="auto" w:fill="FFFFFF"/>
            <w:vAlign w:val="center"/>
          </w:tcPr>
          <w:p w14:paraId="194C5916">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0.3191</w:t>
            </w:r>
          </w:p>
        </w:tc>
      </w:tr>
      <w:tr w14:paraId="1A588E8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5EC93A8F">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Group_2</w:t>
            </w:r>
          </w:p>
        </w:tc>
        <w:tc>
          <w:tcPr>
            <w:tcW w:w="1080" w:type="dxa"/>
            <w:tcBorders>
              <w:top w:val="nil"/>
              <w:left w:val="single" w:color="000000" w:sz="4" w:space="0"/>
              <w:bottom w:val="nil"/>
              <w:right w:val="nil"/>
            </w:tcBorders>
            <w:shd w:val="clear" w:color="auto" w:fill="FFFFFF"/>
            <w:vAlign w:val="center"/>
          </w:tcPr>
          <w:p w14:paraId="76D0A31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0.1951</w:t>
            </w:r>
          </w:p>
        </w:tc>
        <w:tc>
          <w:tcPr>
            <w:tcW w:w="1080" w:type="dxa"/>
            <w:tcBorders>
              <w:top w:val="nil"/>
              <w:left w:val="nil"/>
              <w:bottom w:val="nil"/>
              <w:right w:val="nil"/>
            </w:tcBorders>
            <w:shd w:val="clear" w:color="auto" w:fill="FFFFFF"/>
            <w:vAlign w:val="center"/>
          </w:tcPr>
          <w:p w14:paraId="3E52EA7D">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0.3107</w:t>
            </w:r>
          </w:p>
        </w:tc>
        <w:tc>
          <w:tcPr>
            <w:tcW w:w="1080" w:type="dxa"/>
            <w:tcBorders>
              <w:top w:val="nil"/>
              <w:left w:val="nil"/>
              <w:bottom w:val="nil"/>
              <w:right w:val="nil"/>
            </w:tcBorders>
            <w:shd w:val="clear" w:color="auto" w:fill="FFFFFF"/>
            <w:vAlign w:val="center"/>
          </w:tcPr>
          <w:p w14:paraId="29F568E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0.6280</w:t>
            </w:r>
          </w:p>
        </w:tc>
      </w:tr>
      <w:tr w14:paraId="1F69A4F1">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257A7548">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Group_3</w:t>
            </w:r>
          </w:p>
        </w:tc>
        <w:tc>
          <w:tcPr>
            <w:tcW w:w="1080" w:type="dxa"/>
            <w:tcBorders>
              <w:top w:val="nil"/>
              <w:left w:val="single" w:color="000000" w:sz="4" w:space="0"/>
              <w:bottom w:val="nil"/>
              <w:right w:val="nil"/>
            </w:tcBorders>
            <w:shd w:val="clear" w:color="auto" w:fill="FFFFFF"/>
            <w:vAlign w:val="center"/>
          </w:tcPr>
          <w:p w14:paraId="1F8FDA66">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0.2015</w:t>
            </w:r>
          </w:p>
        </w:tc>
        <w:tc>
          <w:tcPr>
            <w:tcW w:w="1080" w:type="dxa"/>
            <w:tcBorders>
              <w:top w:val="nil"/>
              <w:left w:val="nil"/>
              <w:bottom w:val="nil"/>
              <w:right w:val="nil"/>
            </w:tcBorders>
            <w:shd w:val="clear" w:color="auto" w:fill="FFFFFF"/>
            <w:vAlign w:val="center"/>
          </w:tcPr>
          <w:p w14:paraId="74F009F4">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0.2968</w:t>
            </w:r>
          </w:p>
        </w:tc>
        <w:tc>
          <w:tcPr>
            <w:tcW w:w="1080" w:type="dxa"/>
            <w:tcBorders>
              <w:top w:val="nil"/>
              <w:left w:val="nil"/>
              <w:bottom w:val="nil"/>
              <w:right w:val="nil"/>
            </w:tcBorders>
            <w:shd w:val="clear" w:color="auto" w:fill="FFFFFF"/>
            <w:vAlign w:val="center"/>
          </w:tcPr>
          <w:p w14:paraId="068C141E">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0.6790</w:t>
            </w:r>
          </w:p>
        </w:tc>
      </w:tr>
      <w:tr w14:paraId="16ECBBCF">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787B3E3A">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Group_4</w:t>
            </w:r>
          </w:p>
        </w:tc>
        <w:tc>
          <w:tcPr>
            <w:tcW w:w="1080" w:type="dxa"/>
            <w:tcBorders>
              <w:top w:val="nil"/>
              <w:left w:val="single" w:color="000000" w:sz="4" w:space="0"/>
              <w:bottom w:val="nil"/>
              <w:right w:val="nil"/>
            </w:tcBorders>
            <w:shd w:val="clear" w:color="auto" w:fill="FFFFFF"/>
            <w:vAlign w:val="center"/>
          </w:tcPr>
          <w:p w14:paraId="6C43E893">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0.2042</w:t>
            </w:r>
          </w:p>
        </w:tc>
        <w:tc>
          <w:tcPr>
            <w:tcW w:w="1080" w:type="dxa"/>
            <w:tcBorders>
              <w:top w:val="nil"/>
              <w:left w:val="nil"/>
              <w:bottom w:val="nil"/>
              <w:right w:val="nil"/>
            </w:tcBorders>
            <w:shd w:val="clear" w:color="auto" w:fill="FFFFFF"/>
            <w:vAlign w:val="center"/>
          </w:tcPr>
          <w:p w14:paraId="54B4EC96">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0.2923</w:t>
            </w:r>
          </w:p>
        </w:tc>
        <w:tc>
          <w:tcPr>
            <w:tcW w:w="1080" w:type="dxa"/>
            <w:tcBorders>
              <w:top w:val="nil"/>
              <w:left w:val="nil"/>
              <w:bottom w:val="nil"/>
              <w:right w:val="nil"/>
            </w:tcBorders>
            <w:shd w:val="clear" w:color="auto" w:fill="FFFFFF"/>
            <w:vAlign w:val="center"/>
          </w:tcPr>
          <w:p w14:paraId="756DD8F8">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0.6985</w:t>
            </w:r>
          </w:p>
        </w:tc>
      </w:tr>
      <w:tr w14:paraId="27B3204B">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5EB6F96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Group_5</w:t>
            </w:r>
          </w:p>
        </w:tc>
        <w:tc>
          <w:tcPr>
            <w:tcW w:w="1080" w:type="dxa"/>
            <w:tcBorders>
              <w:top w:val="nil"/>
              <w:left w:val="single" w:color="000000" w:sz="4" w:space="0"/>
              <w:bottom w:val="nil"/>
              <w:right w:val="nil"/>
            </w:tcBorders>
            <w:shd w:val="clear" w:color="auto" w:fill="FFFFFF"/>
            <w:vAlign w:val="center"/>
          </w:tcPr>
          <w:p w14:paraId="4ED2291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0.2191</w:t>
            </w:r>
          </w:p>
        </w:tc>
        <w:tc>
          <w:tcPr>
            <w:tcW w:w="1080" w:type="dxa"/>
            <w:tcBorders>
              <w:top w:val="nil"/>
              <w:left w:val="nil"/>
              <w:bottom w:val="nil"/>
              <w:right w:val="nil"/>
            </w:tcBorders>
            <w:shd w:val="clear" w:color="auto" w:fill="FFFFFF"/>
            <w:vAlign w:val="center"/>
          </w:tcPr>
          <w:p w14:paraId="1BD5934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0.2903</w:t>
            </w:r>
          </w:p>
        </w:tc>
        <w:tc>
          <w:tcPr>
            <w:tcW w:w="1080" w:type="dxa"/>
            <w:tcBorders>
              <w:top w:val="nil"/>
              <w:left w:val="nil"/>
              <w:bottom w:val="nil"/>
              <w:right w:val="nil"/>
            </w:tcBorders>
            <w:shd w:val="clear" w:color="auto" w:fill="FFFFFF"/>
            <w:vAlign w:val="center"/>
          </w:tcPr>
          <w:p w14:paraId="00C88F62">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0.7550</w:t>
            </w:r>
          </w:p>
        </w:tc>
      </w:tr>
      <w:tr w14:paraId="673B3F4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5738BF1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long_short</w:t>
            </w:r>
          </w:p>
        </w:tc>
        <w:tc>
          <w:tcPr>
            <w:tcW w:w="1080" w:type="dxa"/>
            <w:tcBorders>
              <w:top w:val="nil"/>
              <w:left w:val="single" w:color="000000" w:sz="4" w:space="0"/>
              <w:bottom w:val="nil"/>
              <w:right w:val="nil"/>
            </w:tcBorders>
            <w:shd w:val="clear" w:color="auto" w:fill="FFFFFF"/>
            <w:vAlign w:val="center"/>
          </w:tcPr>
          <w:p w14:paraId="17DAF244">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0.1151</w:t>
            </w:r>
          </w:p>
        </w:tc>
        <w:tc>
          <w:tcPr>
            <w:tcW w:w="1080" w:type="dxa"/>
            <w:tcBorders>
              <w:top w:val="nil"/>
              <w:left w:val="nil"/>
              <w:bottom w:val="nil"/>
              <w:right w:val="nil"/>
            </w:tcBorders>
            <w:shd w:val="clear" w:color="auto" w:fill="FFFFFF"/>
            <w:vAlign w:val="center"/>
          </w:tcPr>
          <w:p w14:paraId="09BB32E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0.0849</w:t>
            </w:r>
          </w:p>
        </w:tc>
        <w:tc>
          <w:tcPr>
            <w:tcW w:w="1080" w:type="dxa"/>
            <w:tcBorders>
              <w:top w:val="nil"/>
              <w:left w:val="nil"/>
              <w:bottom w:val="nil"/>
              <w:right w:val="nil"/>
            </w:tcBorders>
            <w:shd w:val="clear" w:color="auto" w:fill="FFFFFF"/>
            <w:vAlign w:val="center"/>
          </w:tcPr>
          <w:p w14:paraId="118487A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1.3555</w:t>
            </w:r>
          </w:p>
        </w:tc>
      </w:tr>
    </w:tbl>
    <w:p w14:paraId="643B8120">
      <w:pPr>
        <w:rPr>
          <w:rFonts w:hint="eastAsia" w:ascii="Times New Roman" w:hAnsi="Times New Roman" w:cs="Times New Roman" w:eastAsiaTheme="minorEastAsia"/>
          <w:lang w:eastAsia="zh-CN"/>
        </w:rPr>
      </w:pPr>
    </w:p>
    <w:p w14:paraId="2479C11F">
      <w:pPr>
        <w:numPr>
          <w:ilvl w:val="0"/>
          <w:numId w:val="5"/>
        </w:numPr>
        <w:ind w:left="0" w:leftChars="0" w:firstLine="0" w:firstLineChars="0"/>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深度学习模型</w:t>
      </w:r>
    </w:p>
    <w:p w14:paraId="3E14B4F3">
      <w:pPr>
        <w:widowControl w:val="0"/>
        <w:numPr>
          <w:numId w:val="0"/>
        </w:numPr>
        <w:ind w:firstLine="420" w:firstLineChars="0"/>
        <w:jc w:val="both"/>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深度学习模型没有表现出比线性模型和lightGBM更好的结果。</w:t>
      </w:r>
    </w:p>
    <w:p w14:paraId="2D813509">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809240"/>
            <wp:effectExtent l="0" t="0" r="10160" b="10160"/>
            <wp:docPr id="12" name="图片 12" descr="NeuralNetwork_test_cumulative_return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NeuralNetwork_test_cumulative_returns_plot"/>
                    <pic:cNvPicPr>
                      <a:picLocks noChangeAspect="1"/>
                    </pic:cNvPicPr>
                  </pic:nvPicPr>
                  <pic:blipFill>
                    <a:blip r:embed="rId13"/>
                    <a:stretch>
                      <a:fillRect/>
                    </a:stretch>
                  </pic:blipFill>
                  <pic:spPr>
                    <a:xfrm>
                      <a:off x="0" y="0"/>
                      <a:ext cx="5266690" cy="2809240"/>
                    </a:xfrm>
                    <a:prstGeom prst="rect">
                      <a:avLst/>
                    </a:prstGeom>
                  </pic:spPr>
                </pic:pic>
              </a:graphicData>
            </a:graphic>
          </wp:inline>
        </w:drawing>
      </w:r>
    </w:p>
    <w:tbl>
      <w:tblPr>
        <w:tblStyle w:val="9"/>
        <w:tblW w:w="4321" w:type="dxa"/>
        <w:jc w:val="center"/>
        <w:tblLayout w:type="autofit"/>
        <w:tblCellMar>
          <w:top w:w="0" w:type="dxa"/>
          <w:left w:w="108" w:type="dxa"/>
          <w:bottom w:w="0" w:type="dxa"/>
          <w:right w:w="108" w:type="dxa"/>
        </w:tblCellMar>
      </w:tblPr>
      <w:tblGrid>
        <w:gridCol w:w="1158"/>
        <w:gridCol w:w="1939"/>
        <w:gridCol w:w="1634"/>
        <w:gridCol w:w="1414"/>
      </w:tblGrid>
      <w:tr w14:paraId="5755D91E">
        <w:tblPrEx>
          <w:tblCellMar>
            <w:top w:w="0" w:type="dxa"/>
            <w:left w:w="108" w:type="dxa"/>
            <w:bottom w:w="0" w:type="dxa"/>
            <w:right w:w="108" w:type="dxa"/>
          </w:tblCellMar>
        </w:tblPrEx>
        <w:trPr>
          <w:trHeight w:val="585" w:hRule="atLeast"/>
          <w:jc w:val="center"/>
        </w:trPr>
        <w:tc>
          <w:tcPr>
            <w:tcW w:w="1080" w:type="dxa"/>
            <w:tcBorders>
              <w:top w:val="nil"/>
              <w:left w:val="nil"/>
              <w:bottom w:val="single" w:color="000000" w:sz="4" w:space="0"/>
              <w:right w:val="nil"/>
              <w:tl2br w:val="nil"/>
            </w:tcBorders>
            <w:shd w:val="clear" w:color="auto" w:fill="FFFFFF"/>
            <w:vAlign w:val="center"/>
          </w:tcPr>
          <w:p w14:paraId="656B633A">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Portfolio</w:t>
            </w:r>
          </w:p>
        </w:tc>
        <w:tc>
          <w:tcPr>
            <w:tcW w:w="1080" w:type="dxa"/>
            <w:tcBorders>
              <w:top w:val="nil"/>
              <w:left w:val="nil"/>
              <w:bottom w:val="single" w:color="000000" w:sz="4" w:space="0"/>
              <w:right w:val="nil"/>
            </w:tcBorders>
            <w:shd w:val="clear" w:color="auto" w:fill="FFFFFF"/>
            <w:vAlign w:val="center"/>
          </w:tcPr>
          <w:p w14:paraId="0C84B75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Annualized_Return</w:t>
            </w:r>
          </w:p>
        </w:tc>
        <w:tc>
          <w:tcPr>
            <w:tcW w:w="1080" w:type="dxa"/>
            <w:tcBorders>
              <w:top w:val="nil"/>
              <w:left w:val="nil"/>
              <w:bottom w:val="single" w:color="000000" w:sz="4" w:space="0"/>
              <w:right w:val="nil"/>
            </w:tcBorders>
            <w:shd w:val="clear" w:color="auto" w:fill="FFFFFF"/>
            <w:vAlign w:val="center"/>
          </w:tcPr>
          <w:p w14:paraId="1DE846D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Annualized_Std</w:t>
            </w:r>
          </w:p>
        </w:tc>
        <w:tc>
          <w:tcPr>
            <w:tcW w:w="1080" w:type="dxa"/>
            <w:tcBorders>
              <w:top w:val="nil"/>
              <w:left w:val="nil"/>
              <w:bottom w:val="single" w:color="000000" w:sz="4" w:space="0"/>
              <w:right w:val="nil"/>
            </w:tcBorders>
            <w:shd w:val="clear" w:color="auto" w:fill="FFFFFF"/>
            <w:vAlign w:val="center"/>
          </w:tcPr>
          <w:p w14:paraId="0AD7525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Sharpe_Ratio</w:t>
            </w:r>
          </w:p>
        </w:tc>
      </w:tr>
      <w:tr w14:paraId="4CF0E188">
        <w:tblPrEx>
          <w:tblCellMar>
            <w:top w:w="0" w:type="dxa"/>
            <w:left w:w="108" w:type="dxa"/>
            <w:bottom w:w="0" w:type="dxa"/>
            <w:right w:w="108" w:type="dxa"/>
          </w:tblCellMar>
        </w:tblPrEx>
        <w:trPr>
          <w:trHeight w:val="300" w:hRule="atLeast"/>
          <w:jc w:val="center"/>
        </w:trPr>
        <w:tc>
          <w:tcPr>
            <w:tcW w:w="1080" w:type="dxa"/>
            <w:tcBorders>
              <w:top w:val="single" w:color="000000" w:sz="4" w:space="0"/>
              <w:left w:val="nil"/>
              <w:bottom w:val="nil"/>
              <w:right w:val="single" w:color="000000" w:sz="4" w:space="0"/>
            </w:tcBorders>
            <w:shd w:val="clear" w:color="auto" w:fill="FFFFFF"/>
            <w:vAlign w:val="center"/>
          </w:tcPr>
          <w:p w14:paraId="6DD57D3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Group_1</w:t>
            </w:r>
          </w:p>
        </w:tc>
        <w:tc>
          <w:tcPr>
            <w:tcW w:w="1080" w:type="dxa"/>
            <w:tcBorders>
              <w:top w:val="single" w:color="000000" w:sz="4" w:space="0"/>
              <w:left w:val="single" w:color="000000" w:sz="4" w:space="0"/>
              <w:bottom w:val="nil"/>
              <w:right w:val="nil"/>
            </w:tcBorders>
            <w:shd w:val="clear" w:color="auto" w:fill="FFFFFF"/>
            <w:vAlign w:val="center"/>
          </w:tcPr>
          <w:p w14:paraId="54E6AD1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0.1200</w:t>
            </w:r>
          </w:p>
        </w:tc>
        <w:tc>
          <w:tcPr>
            <w:tcW w:w="1080" w:type="dxa"/>
            <w:tcBorders>
              <w:top w:val="single" w:color="000000" w:sz="4" w:space="0"/>
              <w:left w:val="nil"/>
              <w:bottom w:val="nil"/>
              <w:right w:val="nil"/>
            </w:tcBorders>
            <w:shd w:val="clear" w:color="auto" w:fill="FFFFFF"/>
            <w:vAlign w:val="center"/>
          </w:tcPr>
          <w:p w14:paraId="09C8C35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0.3211</w:t>
            </w:r>
          </w:p>
        </w:tc>
        <w:tc>
          <w:tcPr>
            <w:tcW w:w="1080" w:type="dxa"/>
            <w:tcBorders>
              <w:top w:val="single" w:color="000000" w:sz="4" w:space="0"/>
              <w:left w:val="nil"/>
              <w:bottom w:val="nil"/>
              <w:right w:val="nil"/>
            </w:tcBorders>
            <w:shd w:val="clear" w:color="auto" w:fill="FFFFFF"/>
            <w:vAlign w:val="center"/>
          </w:tcPr>
          <w:p w14:paraId="0C3DF95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0.3738</w:t>
            </w:r>
          </w:p>
        </w:tc>
      </w:tr>
      <w:tr w14:paraId="0A2139E2">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2E22C906">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Group_2</w:t>
            </w:r>
          </w:p>
        </w:tc>
        <w:tc>
          <w:tcPr>
            <w:tcW w:w="1080" w:type="dxa"/>
            <w:tcBorders>
              <w:top w:val="nil"/>
              <w:left w:val="single" w:color="000000" w:sz="4" w:space="0"/>
              <w:bottom w:val="nil"/>
              <w:right w:val="nil"/>
            </w:tcBorders>
            <w:shd w:val="clear" w:color="auto" w:fill="FFFFFF"/>
            <w:vAlign w:val="center"/>
          </w:tcPr>
          <w:p w14:paraId="750AC7A4">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0.2090</w:t>
            </w:r>
          </w:p>
        </w:tc>
        <w:tc>
          <w:tcPr>
            <w:tcW w:w="1080" w:type="dxa"/>
            <w:tcBorders>
              <w:top w:val="nil"/>
              <w:left w:val="nil"/>
              <w:bottom w:val="nil"/>
              <w:right w:val="nil"/>
            </w:tcBorders>
            <w:shd w:val="clear" w:color="auto" w:fill="FFFFFF"/>
            <w:vAlign w:val="center"/>
          </w:tcPr>
          <w:p w14:paraId="5A699FE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0.3159</w:t>
            </w:r>
          </w:p>
        </w:tc>
        <w:tc>
          <w:tcPr>
            <w:tcW w:w="1080" w:type="dxa"/>
            <w:tcBorders>
              <w:top w:val="nil"/>
              <w:left w:val="nil"/>
              <w:bottom w:val="nil"/>
              <w:right w:val="nil"/>
            </w:tcBorders>
            <w:shd w:val="clear" w:color="auto" w:fill="FFFFFF"/>
            <w:vAlign w:val="center"/>
          </w:tcPr>
          <w:p w14:paraId="0DC460C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0.6616</w:t>
            </w:r>
          </w:p>
        </w:tc>
      </w:tr>
      <w:tr w14:paraId="04748520">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5680735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Group_3</w:t>
            </w:r>
          </w:p>
        </w:tc>
        <w:tc>
          <w:tcPr>
            <w:tcW w:w="1080" w:type="dxa"/>
            <w:tcBorders>
              <w:top w:val="nil"/>
              <w:left w:val="single" w:color="000000" w:sz="4" w:space="0"/>
              <w:bottom w:val="nil"/>
              <w:right w:val="nil"/>
            </w:tcBorders>
            <w:shd w:val="clear" w:color="auto" w:fill="FFFFFF"/>
            <w:vAlign w:val="center"/>
          </w:tcPr>
          <w:p w14:paraId="7CCE03B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0.1873</w:t>
            </w:r>
          </w:p>
        </w:tc>
        <w:tc>
          <w:tcPr>
            <w:tcW w:w="1080" w:type="dxa"/>
            <w:tcBorders>
              <w:top w:val="nil"/>
              <w:left w:val="nil"/>
              <w:bottom w:val="nil"/>
              <w:right w:val="nil"/>
            </w:tcBorders>
            <w:shd w:val="clear" w:color="auto" w:fill="FFFFFF"/>
            <w:vAlign w:val="center"/>
          </w:tcPr>
          <w:p w14:paraId="4CDB8ED8">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0.2970</w:t>
            </w:r>
          </w:p>
        </w:tc>
        <w:tc>
          <w:tcPr>
            <w:tcW w:w="1080" w:type="dxa"/>
            <w:tcBorders>
              <w:top w:val="nil"/>
              <w:left w:val="nil"/>
              <w:bottom w:val="nil"/>
              <w:right w:val="nil"/>
            </w:tcBorders>
            <w:shd w:val="clear" w:color="auto" w:fill="FFFFFF"/>
            <w:vAlign w:val="center"/>
          </w:tcPr>
          <w:p w14:paraId="1986A9F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0.6306</w:t>
            </w:r>
          </w:p>
        </w:tc>
      </w:tr>
      <w:tr w14:paraId="22442D9F">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38273BAD">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Group_4</w:t>
            </w:r>
          </w:p>
        </w:tc>
        <w:tc>
          <w:tcPr>
            <w:tcW w:w="1080" w:type="dxa"/>
            <w:tcBorders>
              <w:top w:val="nil"/>
              <w:left w:val="single" w:color="000000" w:sz="4" w:space="0"/>
              <w:bottom w:val="nil"/>
              <w:right w:val="nil"/>
            </w:tcBorders>
            <w:shd w:val="clear" w:color="auto" w:fill="FFFFFF"/>
            <w:vAlign w:val="center"/>
          </w:tcPr>
          <w:p w14:paraId="59E7BF2F">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0.1975</w:t>
            </w:r>
          </w:p>
        </w:tc>
        <w:tc>
          <w:tcPr>
            <w:tcW w:w="1080" w:type="dxa"/>
            <w:tcBorders>
              <w:top w:val="nil"/>
              <w:left w:val="nil"/>
              <w:bottom w:val="nil"/>
              <w:right w:val="nil"/>
            </w:tcBorders>
            <w:shd w:val="clear" w:color="auto" w:fill="FFFFFF"/>
            <w:vAlign w:val="center"/>
          </w:tcPr>
          <w:p w14:paraId="74C48BE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0.2899</w:t>
            </w:r>
          </w:p>
        </w:tc>
        <w:tc>
          <w:tcPr>
            <w:tcW w:w="1080" w:type="dxa"/>
            <w:tcBorders>
              <w:top w:val="nil"/>
              <w:left w:val="nil"/>
              <w:bottom w:val="nil"/>
              <w:right w:val="nil"/>
            </w:tcBorders>
            <w:shd w:val="clear" w:color="auto" w:fill="FFFFFF"/>
            <w:vAlign w:val="center"/>
          </w:tcPr>
          <w:p w14:paraId="4184828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0.6813</w:t>
            </w:r>
          </w:p>
        </w:tc>
      </w:tr>
      <w:tr w14:paraId="0C8B9F3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44B36AFF">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Group_5</w:t>
            </w:r>
          </w:p>
        </w:tc>
        <w:tc>
          <w:tcPr>
            <w:tcW w:w="1080" w:type="dxa"/>
            <w:tcBorders>
              <w:top w:val="nil"/>
              <w:left w:val="single" w:color="000000" w:sz="4" w:space="0"/>
              <w:bottom w:val="nil"/>
              <w:right w:val="nil"/>
            </w:tcBorders>
            <w:shd w:val="clear" w:color="auto" w:fill="FFFFFF"/>
            <w:vAlign w:val="center"/>
          </w:tcPr>
          <w:p w14:paraId="6519218B">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0.2087</w:t>
            </w:r>
          </w:p>
        </w:tc>
        <w:tc>
          <w:tcPr>
            <w:tcW w:w="1080" w:type="dxa"/>
            <w:tcBorders>
              <w:top w:val="nil"/>
              <w:left w:val="nil"/>
              <w:bottom w:val="nil"/>
              <w:right w:val="nil"/>
            </w:tcBorders>
            <w:shd w:val="clear" w:color="auto" w:fill="FFFFFF"/>
            <w:vAlign w:val="center"/>
          </w:tcPr>
          <w:p w14:paraId="5BC676D1">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0.2912</w:t>
            </w:r>
          </w:p>
        </w:tc>
        <w:tc>
          <w:tcPr>
            <w:tcW w:w="1080" w:type="dxa"/>
            <w:tcBorders>
              <w:top w:val="nil"/>
              <w:left w:val="nil"/>
              <w:bottom w:val="nil"/>
              <w:right w:val="nil"/>
            </w:tcBorders>
            <w:shd w:val="clear" w:color="auto" w:fill="FFFFFF"/>
            <w:vAlign w:val="center"/>
          </w:tcPr>
          <w:p w14:paraId="47AD4BB9">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0.7168</w:t>
            </w:r>
          </w:p>
        </w:tc>
      </w:tr>
      <w:tr w14:paraId="24C4791E">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single" w:color="000000" w:sz="4" w:space="0"/>
            </w:tcBorders>
            <w:shd w:val="clear" w:color="auto" w:fill="FFFFFF"/>
            <w:vAlign w:val="center"/>
          </w:tcPr>
          <w:p w14:paraId="1BCB695C">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long_short</w:t>
            </w:r>
          </w:p>
        </w:tc>
        <w:tc>
          <w:tcPr>
            <w:tcW w:w="1080" w:type="dxa"/>
            <w:tcBorders>
              <w:top w:val="nil"/>
              <w:left w:val="single" w:color="000000" w:sz="4" w:space="0"/>
              <w:bottom w:val="nil"/>
              <w:right w:val="nil"/>
            </w:tcBorders>
            <w:shd w:val="clear" w:color="auto" w:fill="FFFFFF"/>
            <w:vAlign w:val="center"/>
          </w:tcPr>
          <w:p w14:paraId="16BC67D2">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0.0887</w:t>
            </w:r>
          </w:p>
        </w:tc>
        <w:tc>
          <w:tcPr>
            <w:tcW w:w="1080" w:type="dxa"/>
            <w:tcBorders>
              <w:top w:val="nil"/>
              <w:left w:val="nil"/>
              <w:bottom w:val="nil"/>
              <w:right w:val="nil"/>
            </w:tcBorders>
            <w:shd w:val="clear" w:color="auto" w:fill="FFFFFF"/>
            <w:vAlign w:val="center"/>
          </w:tcPr>
          <w:p w14:paraId="29D19005">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0.0890</w:t>
            </w:r>
          </w:p>
        </w:tc>
        <w:tc>
          <w:tcPr>
            <w:tcW w:w="1080" w:type="dxa"/>
            <w:tcBorders>
              <w:top w:val="nil"/>
              <w:left w:val="nil"/>
              <w:bottom w:val="nil"/>
              <w:right w:val="nil"/>
            </w:tcBorders>
            <w:shd w:val="clear" w:color="auto" w:fill="FFFFFF"/>
            <w:vAlign w:val="center"/>
          </w:tcPr>
          <w:p w14:paraId="6F873C90">
            <w:pPr>
              <w:keepNext w:val="0"/>
              <w:keepLines w:val="0"/>
              <w:widowControl/>
              <w:suppressLineNumbers w:val="0"/>
              <w:jc w:val="center"/>
              <w:textAlignment w:val="center"/>
              <w:rPr>
                <w:rFonts w:hint="default" w:ascii="Times New Roman" w:hAnsi="Times New Roman" w:eastAsia="宋体" w:cs="Times New Roman"/>
                <w:b w:val="0"/>
                <w:color w:val="000000"/>
                <w:szCs w:val="21"/>
              </w:rPr>
            </w:pPr>
            <w:r>
              <w:rPr>
                <w:rFonts w:hint="default" w:ascii="Times New Roman" w:hAnsi="Times New Roman" w:eastAsia="宋体" w:cs="Times New Roman"/>
                <w:b w:val="0"/>
                <w:i w:val="0"/>
                <w:iCs w:val="0"/>
                <w:color w:val="000000"/>
                <w:kern w:val="0"/>
                <w:sz w:val="22"/>
                <w:szCs w:val="22"/>
                <w:u w:val="none"/>
                <w:lang w:val="en-US" w:eastAsia="zh-CN" w:bidi="ar"/>
              </w:rPr>
              <w:t>0.9960</w:t>
            </w:r>
          </w:p>
        </w:tc>
      </w:tr>
    </w:tbl>
    <w:p w14:paraId="50DC5E14">
      <w:pPr>
        <w:rPr>
          <w:rFonts w:hint="default" w:ascii="Times New Roman" w:hAnsi="Times New Roman" w:cs="Times New Roman"/>
        </w:rPr>
      </w:pPr>
    </w:p>
    <w:p w14:paraId="31120DDE">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绩效分析</w:t>
      </w:r>
    </w:p>
    <w:p w14:paraId="5680ABD3">
      <w:pPr>
        <w:ind w:firstLine="420"/>
        <w:rPr>
          <w:rFonts w:hint="default" w:ascii="Times New Roman" w:hAnsi="Times New Roman" w:cs="Times New Roman"/>
        </w:rPr>
      </w:pPr>
      <w:r>
        <w:rPr>
          <w:rFonts w:hint="default" w:ascii="Times New Roman" w:hAnsi="Times New Roman" w:cs="Times New Roman"/>
        </w:rPr>
        <w:t>对样本外数据集的分组选股情况进行绩效分析。本次绩效分析采用Fama_French五因子（市场（MKT）、规模（SMB）、价值（HML）、盈利（RMW）与投资（CMA））在时序上进行回归。回归</w:t>
      </w:r>
      <w:r>
        <w:rPr>
          <w:rFonts w:hint="eastAsia" w:ascii="Times New Roman" w:hAnsi="Times New Roman" w:cs="Times New Roman"/>
          <w:lang w:val="en-US" w:eastAsia="zh-CN"/>
        </w:rPr>
        <w:t>完整</w:t>
      </w:r>
      <w:r>
        <w:rPr>
          <w:rFonts w:hint="default" w:ascii="Times New Roman" w:hAnsi="Times New Roman" w:cs="Times New Roman"/>
        </w:rPr>
        <w:t>结果</w:t>
      </w:r>
      <w:r>
        <w:rPr>
          <w:rFonts w:hint="eastAsia" w:ascii="Times New Roman" w:hAnsi="Times New Roman" w:cs="Times New Roman"/>
          <w:lang w:val="en-US" w:eastAsia="zh-CN"/>
        </w:rPr>
        <w:t>见</w:t>
      </w:r>
      <w:r>
        <w:rPr>
          <w:rFonts w:hint="eastAsia" w:ascii="Times New Roman" w:hAnsi="Times New Roman" w:cs="Times New Roman"/>
          <w:i/>
          <w:iCs/>
          <w:lang w:val="en-US" w:eastAsia="zh-CN"/>
        </w:rPr>
        <w:t>results/performance_analysis/regression_summary.csv</w:t>
      </w:r>
      <w:r>
        <w:rPr>
          <w:rFonts w:hint="eastAsia" w:ascii="Times New Roman" w:hAnsi="Times New Roman" w:cs="Times New Roman"/>
          <w:lang w:val="en-US" w:eastAsia="zh-CN"/>
        </w:rPr>
        <w:t>。</w:t>
      </w:r>
    </w:p>
    <w:tbl>
      <w:tblP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03"/>
        <w:gridCol w:w="1206"/>
        <w:gridCol w:w="1037"/>
        <w:gridCol w:w="1037"/>
        <w:gridCol w:w="986"/>
        <w:gridCol w:w="925"/>
        <w:gridCol w:w="925"/>
      </w:tblGrid>
      <w:tr w14:paraId="38DE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single" w:color="000000" w:sz="12" w:space="0"/>
              <w:left w:val="nil"/>
              <w:bottom w:val="single" w:color="000000" w:sz="4" w:space="0"/>
              <w:right w:val="nil"/>
              <w:tl2br w:val="nil"/>
            </w:tcBorders>
            <w:shd w:val="clear" w:color="auto" w:fill="FFFFFF"/>
            <w:noWrap/>
            <w:vAlign w:val="center"/>
          </w:tcPr>
          <w:p w14:paraId="2E4522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Strategy</w:t>
            </w:r>
          </w:p>
        </w:tc>
        <w:tc>
          <w:tcPr>
            <w:tcW w:w="684" w:type="pct"/>
            <w:tcBorders>
              <w:top w:val="single" w:color="000000" w:sz="12" w:space="0"/>
              <w:left w:val="nil"/>
              <w:bottom w:val="single" w:color="000000" w:sz="4" w:space="0"/>
              <w:right w:val="nil"/>
            </w:tcBorders>
            <w:shd w:val="clear" w:color="auto" w:fill="FFFFFF"/>
            <w:noWrap/>
            <w:vAlign w:val="center"/>
          </w:tcPr>
          <w:p w14:paraId="12F2B1D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Portfolio</w:t>
            </w:r>
          </w:p>
        </w:tc>
        <w:tc>
          <w:tcPr>
            <w:tcW w:w="618" w:type="pct"/>
            <w:tcBorders>
              <w:top w:val="single" w:color="000000" w:sz="12" w:space="0"/>
              <w:left w:val="nil"/>
              <w:bottom w:val="single" w:color="000000" w:sz="4" w:space="0"/>
              <w:right w:val="nil"/>
            </w:tcBorders>
            <w:shd w:val="clear" w:color="auto" w:fill="FFFFFF"/>
            <w:noWrap/>
            <w:vAlign w:val="center"/>
          </w:tcPr>
          <w:p w14:paraId="1E7084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Alpha</w:t>
            </w:r>
          </w:p>
        </w:tc>
        <w:tc>
          <w:tcPr>
            <w:tcW w:w="618" w:type="pct"/>
            <w:tcBorders>
              <w:top w:val="single" w:color="000000" w:sz="12" w:space="0"/>
              <w:left w:val="nil"/>
              <w:bottom w:val="single" w:color="000000" w:sz="4" w:space="0"/>
              <w:right w:val="nil"/>
            </w:tcBorders>
            <w:shd w:val="clear" w:color="auto" w:fill="FFFFFF"/>
            <w:noWrap/>
            <w:vAlign w:val="center"/>
          </w:tcPr>
          <w:p w14:paraId="3B11627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Alpha_t</w:t>
            </w:r>
          </w:p>
        </w:tc>
        <w:tc>
          <w:tcPr>
            <w:tcW w:w="552" w:type="pct"/>
            <w:tcBorders>
              <w:top w:val="single" w:color="000000" w:sz="12" w:space="0"/>
              <w:left w:val="nil"/>
              <w:bottom w:val="single" w:color="000000" w:sz="4" w:space="0"/>
              <w:right w:val="nil"/>
            </w:tcBorders>
            <w:shd w:val="clear" w:color="auto" w:fill="FFFFFF"/>
            <w:noWrap/>
            <w:vAlign w:val="center"/>
          </w:tcPr>
          <w:p w14:paraId="01E2F1E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Alpha_p</w:t>
            </w:r>
          </w:p>
        </w:tc>
        <w:tc>
          <w:tcPr>
            <w:tcW w:w="552" w:type="pct"/>
            <w:tcBorders>
              <w:top w:val="single" w:color="000000" w:sz="12" w:space="0"/>
              <w:left w:val="nil"/>
              <w:bottom w:val="single" w:color="000000" w:sz="4" w:space="0"/>
              <w:right w:val="nil"/>
            </w:tcBorders>
            <w:shd w:val="clear" w:color="auto" w:fill="FFFFFF"/>
            <w:noWrap/>
            <w:vAlign w:val="center"/>
          </w:tcPr>
          <w:p w14:paraId="4373FA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R2</w:t>
            </w:r>
          </w:p>
        </w:tc>
        <w:tc>
          <w:tcPr>
            <w:tcW w:w="552" w:type="pct"/>
            <w:tcBorders>
              <w:top w:val="single" w:color="000000" w:sz="12" w:space="0"/>
              <w:left w:val="nil"/>
              <w:bottom w:val="single" w:color="000000" w:sz="4" w:space="0"/>
              <w:right w:val="nil"/>
            </w:tcBorders>
            <w:shd w:val="clear" w:color="auto" w:fill="FFFFFF"/>
            <w:noWrap/>
            <w:vAlign w:val="center"/>
          </w:tcPr>
          <w:p w14:paraId="3E60931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Adj_R2</w:t>
            </w:r>
          </w:p>
        </w:tc>
      </w:tr>
      <w:tr w14:paraId="796BE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single" w:color="000000" w:sz="4" w:space="0"/>
              <w:left w:val="nil"/>
              <w:bottom w:val="nil"/>
              <w:right w:val="nil"/>
            </w:tcBorders>
            <w:shd w:val="clear" w:color="auto" w:fill="FFFFFF"/>
            <w:noWrap/>
            <w:vAlign w:val="center"/>
          </w:tcPr>
          <w:p w14:paraId="695278B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lightGBM_train</w:t>
            </w:r>
          </w:p>
        </w:tc>
        <w:tc>
          <w:tcPr>
            <w:tcW w:w="684" w:type="pct"/>
            <w:tcBorders>
              <w:top w:val="single" w:color="000000" w:sz="4" w:space="0"/>
              <w:left w:val="nil"/>
              <w:bottom w:val="nil"/>
              <w:right w:val="nil"/>
            </w:tcBorders>
            <w:shd w:val="clear" w:color="auto" w:fill="FFFFFF"/>
            <w:noWrap/>
            <w:vAlign w:val="center"/>
          </w:tcPr>
          <w:p w14:paraId="1627D9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single" w:color="000000" w:sz="4" w:space="0"/>
              <w:left w:val="nil"/>
              <w:bottom w:val="nil"/>
              <w:right w:val="nil"/>
            </w:tcBorders>
            <w:shd w:val="clear" w:color="auto" w:fill="FFFFFF"/>
            <w:noWrap/>
            <w:vAlign w:val="center"/>
          </w:tcPr>
          <w:p w14:paraId="4519207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-0.0138</w:t>
            </w:r>
          </w:p>
        </w:tc>
        <w:tc>
          <w:tcPr>
            <w:tcW w:w="618" w:type="pct"/>
            <w:tcBorders>
              <w:top w:val="single" w:color="000000" w:sz="4" w:space="0"/>
              <w:left w:val="nil"/>
              <w:bottom w:val="nil"/>
              <w:right w:val="nil"/>
            </w:tcBorders>
            <w:shd w:val="clear" w:color="auto" w:fill="FFFFFF"/>
            <w:noWrap/>
            <w:vAlign w:val="center"/>
          </w:tcPr>
          <w:p w14:paraId="4FD5DA0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-6.9714</w:t>
            </w:r>
          </w:p>
        </w:tc>
        <w:tc>
          <w:tcPr>
            <w:tcW w:w="552" w:type="pct"/>
            <w:tcBorders>
              <w:top w:val="single" w:color="000000" w:sz="4" w:space="0"/>
              <w:left w:val="nil"/>
              <w:bottom w:val="nil"/>
              <w:right w:val="nil"/>
            </w:tcBorders>
            <w:shd w:val="clear" w:color="auto" w:fill="FFFFFF"/>
            <w:noWrap/>
            <w:vAlign w:val="center"/>
          </w:tcPr>
          <w:p w14:paraId="03051D2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0.0000</w:t>
            </w:r>
          </w:p>
        </w:tc>
        <w:tc>
          <w:tcPr>
            <w:tcW w:w="552" w:type="pct"/>
            <w:tcBorders>
              <w:top w:val="single" w:color="000000" w:sz="4" w:space="0"/>
              <w:left w:val="nil"/>
              <w:bottom w:val="nil"/>
              <w:right w:val="nil"/>
            </w:tcBorders>
            <w:shd w:val="clear" w:color="auto" w:fill="FFFFFF"/>
            <w:noWrap/>
            <w:vAlign w:val="center"/>
          </w:tcPr>
          <w:p w14:paraId="4741666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0.8689</w:t>
            </w:r>
          </w:p>
        </w:tc>
        <w:tc>
          <w:tcPr>
            <w:tcW w:w="552" w:type="pct"/>
            <w:tcBorders>
              <w:top w:val="single" w:color="000000" w:sz="4" w:space="0"/>
              <w:left w:val="nil"/>
              <w:bottom w:val="nil"/>
              <w:right w:val="nil"/>
            </w:tcBorders>
            <w:shd w:val="clear" w:color="auto" w:fill="FFFFFF"/>
            <w:noWrap/>
            <w:vAlign w:val="center"/>
          </w:tcPr>
          <w:p w14:paraId="5AB209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0.8552</w:t>
            </w:r>
          </w:p>
        </w:tc>
      </w:tr>
      <w:tr w14:paraId="414BC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442DD03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lightGBM_train</w:t>
            </w:r>
          </w:p>
        </w:tc>
        <w:tc>
          <w:tcPr>
            <w:tcW w:w="684" w:type="pct"/>
            <w:tcBorders>
              <w:top w:val="nil"/>
              <w:left w:val="nil"/>
              <w:bottom w:val="nil"/>
              <w:right w:val="nil"/>
            </w:tcBorders>
            <w:shd w:val="clear" w:color="auto" w:fill="FFFFFF"/>
            <w:noWrap/>
            <w:vAlign w:val="center"/>
          </w:tcPr>
          <w:p w14:paraId="5AD2929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275C138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-0.0011</w:t>
            </w:r>
          </w:p>
        </w:tc>
        <w:tc>
          <w:tcPr>
            <w:tcW w:w="618" w:type="pct"/>
            <w:tcBorders>
              <w:top w:val="nil"/>
              <w:left w:val="nil"/>
              <w:bottom w:val="nil"/>
              <w:right w:val="nil"/>
            </w:tcBorders>
            <w:shd w:val="clear" w:color="auto" w:fill="FFFFFF"/>
            <w:noWrap/>
            <w:vAlign w:val="center"/>
          </w:tcPr>
          <w:p w14:paraId="146292A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-0.5000</w:t>
            </w:r>
          </w:p>
        </w:tc>
        <w:tc>
          <w:tcPr>
            <w:tcW w:w="552" w:type="pct"/>
            <w:tcBorders>
              <w:top w:val="nil"/>
              <w:left w:val="nil"/>
              <w:bottom w:val="nil"/>
              <w:right w:val="nil"/>
            </w:tcBorders>
            <w:shd w:val="clear" w:color="auto" w:fill="FFFFFF"/>
            <w:noWrap/>
            <w:vAlign w:val="center"/>
          </w:tcPr>
          <w:p w14:paraId="6FFAD3A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0.6171</w:t>
            </w:r>
          </w:p>
        </w:tc>
        <w:tc>
          <w:tcPr>
            <w:tcW w:w="552" w:type="pct"/>
            <w:tcBorders>
              <w:top w:val="nil"/>
              <w:left w:val="nil"/>
              <w:bottom w:val="nil"/>
              <w:right w:val="nil"/>
            </w:tcBorders>
            <w:shd w:val="clear" w:color="auto" w:fill="FFFFFF"/>
            <w:noWrap/>
            <w:vAlign w:val="center"/>
          </w:tcPr>
          <w:p w14:paraId="5D86126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0.8782</w:t>
            </w:r>
          </w:p>
        </w:tc>
        <w:tc>
          <w:tcPr>
            <w:tcW w:w="552" w:type="pct"/>
            <w:tcBorders>
              <w:top w:val="nil"/>
              <w:left w:val="nil"/>
              <w:bottom w:val="nil"/>
              <w:right w:val="nil"/>
            </w:tcBorders>
            <w:shd w:val="clear" w:color="auto" w:fill="FFFFFF"/>
            <w:noWrap/>
            <w:vAlign w:val="center"/>
          </w:tcPr>
          <w:p w14:paraId="683FD8A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0.8656</w:t>
            </w:r>
          </w:p>
        </w:tc>
      </w:tr>
      <w:tr w14:paraId="3B8BF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347F39D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lightGBM_train</w:t>
            </w:r>
          </w:p>
        </w:tc>
        <w:tc>
          <w:tcPr>
            <w:tcW w:w="684" w:type="pct"/>
            <w:tcBorders>
              <w:top w:val="nil"/>
              <w:left w:val="nil"/>
              <w:bottom w:val="nil"/>
              <w:right w:val="nil"/>
            </w:tcBorders>
            <w:shd w:val="clear" w:color="auto" w:fill="FFFFFF"/>
            <w:noWrap/>
            <w:vAlign w:val="center"/>
          </w:tcPr>
          <w:p w14:paraId="418D790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2531740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0.0028</w:t>
            </w:r>
          </w:p>
        </w:tc>
        <w:tc>
          <w:tcPr>
            <w:tcW w:w="618" w:type="pct"/>
            <w:tcBorders>
              <w:top w:val="nil"/>
              <w:left w:val="nil"/>
              <w:bottom w:val="nil"/>
              <w:right w:val="nil"/>
            </w:tcBorders>
            <w:shd w:val="clear" w:color="auto" w:fill="FFFFFF"/>
            <w:noWrap/>
            <w:vAlign w:val="center"/>
          </w:tcPr>
          <w:p w14:paraId="2FE511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1.2016</w:t>
            </w:r>
          </w:p>
        </w:tc>
        <w:tc>
          <w:tcPr>
            <w:tcW w:w="552" w:type="pct"/>
            <w:tcBorders>
              <w:top w:val="nil"/>
              <w:left w:val="nil"/>
              <w:bottom w:val="nil"/>
              <w:right w:val="nil"/>
            </w:tcBorders>
            <w:shd w:val="clear" w:color="auto" w:fill="FFFFFF"/>
            <w:noWrap/>
            <w:vAlign w:val="center"/>
          </w:tcPr>
          <w:p w14:paraId="6694C35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0.2295</w:t>
            </w:r>
          </w:p>
        </w:tc>
        <w:tc>
          <w:tcPr>
            <w:tcW w:w="552" w:type="pct"/>
            <w:tcBorders>
              <w:top w:val="nil"/>
              <w:left w:val="nil"/>
              <w:bottom w:val="nil"/>
              <w:right w:val="nil"/>
            </w:tcBorders>
            <w:shd w:val="clear" w:color="auto" w:fill="FFFFFF"/>
            <w:noWrap/>
            <w:vAlign w:val="center"/>
          </w:tcPr>
          <w:p w14:paraId="535E636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0.8586</w:t>
            </w:r>
          </w:p>
        </w:tc>
        <w:tc>
          <w:tcPr>
            <w:tcW w:w="552" w:type="pct"/>
            <w:tcBorders>
              <w:top w:val="nil"/>
              <w:left w:val="nil"/>
              <w:bottom w:val="nil"/>
              <w:right w:val="nil"/>
            </w:tcBorders>
            <w:shd w:val="clear" w:color="auto" w:fill="FFFFFF"/>
            <w:noWrap/>
            <w:vAlign w:val="center"/>
          </w:tcPr>
          <w:p w14:paraId="7F43AA3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0.8438</w:t>
            </w:r>
          </w:p>
        </w:tc>
      </w:tr>
      <w:tr w14:paraId="65322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10B413A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lightGBM_train</w:t>
            </w:r>
          </w:p>
        </w:tc>
        <w:tc>
          <w:tcPr>
            <w:tcW w:w="684" w:type="pct"/>
            <w:tcBorders>
              <w:top w:val="nil"/>
              <w:left w:val="nil"/>
              <w:bottom w:val="nil"/>
              <w:right w:val="nil"/>
            </w:tcBorders>
            <w:shd w:val="clear" w:color="auto" w:fill="FFFFFF"/>
            <w:noWrap/>
            <w:vAlign w:val="center"/>
          </w:tcPr>
          <w:p w14:paraId="06504E3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6AD4872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0.0028</w:t>
            </w:r>
          </w:p>
        </w:tc>
        <w:tc>
          <w:tcPr>
            <w:tcW w:w="618" w:type="pct"/>
            <w:tcBorders>
              <w:top w:val="nil"/>
              <w:left w:val="nil"/>
              <w:bottom w:val="nil"/>
              <w:right w:val="nil"/>
            </w:tcBorders>
            <w:shd w:val="clear" w:color="auto" w:fill="FFFFFF"/>
            <w:noWrap/>
            <w:vAlign w:val="center"/>
          </w:tcPr>
          <w:p w14:paraId="11C14D5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1.1832</w:t>
            </w:r>
          </w:p>
        </w:tc>
        <w:tc>
          <w:tcPr>
            <w:tcW w:w="552" w:type="pct"/>
            <w:tcBorders>
              <w:top w:val="nil"/>
              <w:left w:val="nil"/>
              <w:bottom w:val="nil"/>
              <w:right w:val="nil"/>
            </w:tcBorders>
            <w:shd w:val="clear" w:color="auto" w:fill="FFFFFF"/>
            <w:noWrap/>
            <w:vAlign w:val="center"/>
          </w:tcPr>
          <w:p w14:paraId="16ABDA2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0.2367</w:t>
            </w:r>
          </w:p>
        </w:tc>
        <w:tc>
          <w:tcPr>
            <w:tcW w:w="552" w:type="pct"/>
            <w:tcBorders>
              <w:top w:val="nil"/>
              <w:left w:val="nil"/>
              <w:bottom w:val="nil"/>
              <w:right w:val="nil"/>
            </w:tcBorders>
            <w:shd w:val="clear" w:color="auto" w:fill="FFFFFF"/>
            <w:noWrap/>
            <w:vAlign w:val="center"/>
          </w:tcPr>
          <w:p w14:paraId="4546B12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0.8603</w:t>
            </w:r>
          </w:p>
        </w:tc>
        <w:tc>
          <w:tcPr>
            <w:tcW w:w="552" w:type="pct"/>
            <w:tcBorders>
              <w:top w:val="nil"/>
              <w:left w:val="nil"/>
              <w:bottom w:val="nil"/>
              <w:right w:val="nil"/>
            </w:tcBorders>
            <w:shd w:val="clear" w:color="auto" w:fill="FFFFFF"/>
            <w:noWrap/>
            <w:vAlign w:val="center"/>
          </w:tcPr>
          <w:p w14:paraId="20DAE18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0.8457</w:t>
            </w:r>
          </w:p>
        </w:tc>
      </w:tr>
      <w:tr w14:paraId="3882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7F67897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lightGBM_train</w:t>
            </w:r>
          </w:p>
        </w:tc>
        <w:tc>
          <w:tcPr>
            <w:tcW w:w="684" w:type="pct"/>
            <w:tcBorders>
              <w:top w:val="nil"/>
              <w:left w:val="nil"/>
              <w:bottom w:val="nil"/>
              <w:right w:val="nil"/>
            </w:tcBorders>
            <w:shd w:val="clear" w:color="auto" w:fill="FFFFFF"/>
            <w:noWrap/>
            <w:vAlign w:val="center"/>
          </w:tcPr>
          <w:p w14:paraId="6B54AD4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nil"/>
              <w:right w:val="nil"/>
            </w:tcBorders>
            <w:shd w:val="clear" w:color="auto" w:fill="FFFFFF"/>
            <w:noWrap/>
            <w:vAlign w:val="center"/>
          </w:tcPr>
          <w:p w14:paraId="692FB3B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0.0033</w:t>
            </w:r>
          </w:p>
        </w:tc>
        <w:tc>
          <w:tcPr>
            <w:tcW w:w="618" w:type="pct"/>
            <w:tcBorders>
              <w:top w:val="nil"/>
              <w:left w:val="nil"/>
              <w:bottom w:val="nil"/>
              <w:right w:val="nil"/>
            </w:tcBorders>
            <w:shd w:val="clear" w:color="auto" w:fill="FFFFFF"/>
            <w:noWrap/>
            <w:vAlign w:val="center"/>
          </w:tcPr>
          <w:p w14:paraId="1F93915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1.2565</w:t>
            </w:r>
          </w:p>
        </w:tc>
        <w:tc>
          <w:tcPr>
            <w:tcW w:w="552" w:type="pct"/>
            <w:tcBorders>
              <w:top w:val="nil"/>
              <w:left w:val="nil"/>
              <w:bottom w:val="nil"/>
              <w:right w:val="nil"/>
            </w:tcBorders>
            <w:shd w:val="clear" w:color="auto" w:fill="FFFFFF"/>
            <w:noWrap/>
            <w:vAlign w:val="center"/>
          </w:tcPr>
          <w:p w14:paraId="47BC85F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0.2089</w:t>
            </w:r>
          </w:p>
        </w:tc>
        <w:tc>
          <w:tcPr>
            <w:tcW w:w="552" w:type="pct"/>
            <w:tcBorders>
              <w:top w:val="nil"/>
              <w:left w:val="nil"/>
              <w:bottom w:val="nil"/>
              <w:right w:val="nil"/>
            </w:tcBorders>
            <w:shd w:val="clear" w:color="auto" w:fill="FFFFFF"/>
            <w:noWrap/>
            <w:vAlign w:val="center"/>
          </w:tcPr>
          <w:p w14:paraId="55770E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0.8596</w:t>
            </w:r>
          </w:p>
        </w:tc>
        <w:tc>
          <w:tcPr>
            <w:tcW w:w="552" w:type="pct"/>
            <w:tcBorders>
              <w:top w:val="nil"/>
              <w:left w:val="nil"/>
              <w:bottom w:val="nil"/>
              <w:right w:val="nil"/>
            </w:tcBorders>
            <w:shd w:val="clear" w:color="auto" w:fill="FFFFFF"/>
            <w:noWrap/>
            <w:vAlign w:val="center"/>
          </w:tcPr>
          <w:p w14:paraId="5E9339B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0.8450</w:t>
            </w:r>
          </w:p>
        </w:tc>
      </w:tr>
      <w:tr w14:paraId="301E7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0B99F77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lightGBM_test</w:t>
            </w:r>
          </w:p>
        </w:tc>
        <w:tc>
          <w:tcPr>
            <w:tcW w:w="684" w:type="pct"/>
            <w:tcBorders>
              <w:top w:val="nil"/>
              <w:left w:val="nil"/>
              <w:bottom w:val="nil"/>
              <w:right w:val="nil"/>
            </w:tcBorders>
            <w:shd w:val="clear" w:color="auto" w:fill="FFFFFF"/>
            <w:noWrap/>
            <w:vAlign w:val="center"/>
          </w:tcPr>
          <w:p w14:paraId="6CA0CE7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nil"/>
              <w:left w:val="nil"/>
              <w:bottom w:val="nil"/>
              <w:right w:val="nil"/>
            </w:tcBorders>
            <w:shd w:val="clear" w:color="auto" w:fill="FFFFFF"/>
            <w:noWrap/>
            <w:vAlign w:val="center"/>
          </w:tcPr>
          <w:p w14:paraId="10BEE0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-0.0076</w:t>
            </w:r>
          </w:p>
        </w:tc>
        <w:tc>
          <w:tcPr>
            <w:tcW w:w="618" w:type="pct"/>
            <w:tcBorders>
              <w:top w:val="nil"/>
              <w:left w:val="nil"/>
              <w:bottom w:val="nil"/>
              <w:right w:val="nil"/>
            </w:tcBorders>
            <w:shd w:val="clear" w:color="auto" w:fill="FFFFFF"/>
            <w:noWrap/>
            <w:vAlign w:val="center"/>
          </w:tcPr>
          <w:p w14:paraId="04C3969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-1.3550</w:t>
            </w:r>
          </w:p>
        </w:tc>
        <w:tc>
          <w:tcPr>
            <w:tcW w:w="552" w:type="pct"/>
            <w:tcBorders>
              <w:top w:val="nil"/>
              <w:left w:val="nil"/>
              <w:bottom w:val="nil"/>
              <w:right w:val="nil"/>
            </w:tcBorders>
            <w:shd w:val="clear" w:color="auto" w:fill="FFFFFF"/>
            <w:noWrap/>
            <w:vAlign w:val="center"/>
          </w:tcPr>
          <w:p w14:paraId="6B3AAAC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0.1754</w:t>
            </w:r>
          </w:p>
        </w:tc>
        <w:tc>
          <w:tcPr>
            <w:tcW w:w="552" w:type="pct"/>
            <w:tcBorders>
              <w:top w:val="nil"/>
              <w:left w:val="nil"/>
              <w:bottom w:val="nil"/>
              <w:right w:val="nil"/>
            </w:tcBorders>
            <w:shd w:val="clear" w:color="auto" w:fill="FFFFFF"/>
            <w:noWrap/>
            <w:vAlign w:val="center"/>
          </w:tcPr>
          <w:p w14:paraId="77245FE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0.8943</w:t>
            </w:r>
          </w:p>
        </w:tc>
        <w:tc>
          <w:tcPr>
            <w:tcW w:w="552" w:type="pct"/>
            <w:tcBorders>
              <w:top w:val="nil"/>
              <w:left w:val="nil"/>
              <w:bottom w:val="nil"/>
              <w:right w:val="nil"/>
            </w:tcBorders>
            <w:shd w:val="clear" w:color="auto" w:fill="FFFFFF"/>
            <w:noWrap/>
            <w:vAlign w:val="center"/>
          </w:tcPr>
          <w:p w14:paraId="6A9061A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0.8747</w:t>
            </w:r>
          </w:p>
        </w:tc>
      </w:tr>
      <w:tr w14:paraId="71DB5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72FE388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lightGBM_test</w:t>
            </w:r>
          </w:p>
        </w:tc>
        <w:tc>
          <w:tcPr>
            <w:tcW w:w="684" w:type="pct"/>
            <w:tcBorders>
              <w:top w:val="nil"/>
              <w:left w:val="nil"/>
              <w:bottom w:val="nil"/>
              <w:right w:val="nil"/>
            </w:tcBorders>
            <w:shd w:val="clear" w:color="auto" w:fill="FFFFFF"/>
            <w:noWrap/>
            <w:vAlign w:val="center"/>
          </w:tcPr>
          <w:p w14:paraId="362BBA2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60BAE46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-0.0045</w:t>
            </w:r>
          </w:p>
        </w:tc>
        <w:tc>
          <w:tcPr>
            <w:tcW w:w="618" w:type="pct"/>
            <w:tcBorders>
              <w:top w:val="nil"/>
              <w:left w:val="nil"/>
              <w:bottom w:val="nil"/>
              <w:right w:val="nil"/>
            </w:tcBorders>
            <w:shd w:val="clear" w:color="auto" w:fill="FFFFFF"/>
            <w:noWrap/>
            <w:vAlign w:val="center"/>
          </w:tcPr>
          <w:p w14:paraId="54531E3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-0.8743</w:t>
            </w:r>
          </w:p>
        </w:tc>
        <w:tc>
          <w:tcPr>
            <w:tcW w:w="552" w:type="pct"/>
            <w:tcBorders>
              <w:top w:val="nil"/>
              <w:left w:val="nil"/>
              <w:bottom w:val="nil"/>
              <w:right w:val="nil"/>
            </w:tcBorders>
            <w:shd w:val="clear" w:color="auto" w:fill="FFFFFF"/>
            <w:noWrap/>
            <w:vAlign w:val="center"/>
          </w:tcPr>
          <w:p w14:paraId="631607E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0.3819</w:t>
            </w:r>
          </w:p>
        </w:tc>
        <w:tc>
          <w:tcPr>
            <w:tcW w:w="552" w:type="pct"/>
            <w:tcBorders>
              <w:top w:val="nil"/>
              <w:left w:val="nil"/>
              <w:bottom w:val="nil"/>
              <w:right w:val="nil"/>
            </w:tcBorders>
            <w:shd w:val="clear" w:color="auto" w:fill="FFFFFF"/>
            <w:noWrap/>
            <w:vAlign w:val="center"/>
          </w:tcPr>
          <w:p w14:paraId="689A980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0.8901</w:t>
            </w:r>
          </w:p>
        </w:tc>
        <w:tc>
          <w:tcPr>
            <w:tcW w:w="552" w:type="pct"/>
            <w:tcBorders>
              <w:top w:val="nil"/>
              <w:left w:val="nil"/>
              <w:bottom w:val="nil"/>
              <w:right w:val="nil"/>
            </w:tcBorders>
            <w:shd w:val="clear" w:color="auto" w:fill="FFFFFF"/>
            <w:noWrap/>
            <w:vAlign w:val="center"/>
          </w:tcPr>
          <w:p w14:paraId="426D7F8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0.8698</w:t>
            </w:r>
          </w:p>
        </w:tc>
      </w:tr>
      <w:tr w14:paraId="76236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131C9B6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lightGBM_test</w:t>
            </w:r>
          </w:p>
        </w:tc>
        <w:tc>
          <w:tcPr>
            <w:tcW w:w="684" w:type="pct"/>
            <w:tcBorders>
              <w:top w:val="nil"/>
              <w:left w:val="nil"/>
              <w:bottom w:val="nil"/>
              <w:right w:val="nil"/>
            </w:tcBorders>
            <w:shd w:val="clear" w:color="auto" w:fill="FFFFFF"/>
            <w:noWrap/>
            <w:vAlign w:val="center"/>
          </w:tcPr>
          <w:p w14:paraId="6B35A2D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76B4CB6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-0.0029</w:t>
            </w:r>
          </w:p>
        </w:tc>
        <w:tc>
          <w:tcPr>
            <w:tcW w:w="618" w:type="pct"/>
            <w:tcBorders>
              <w:top w:val="nil"/>
              <w:left w:val="nil"/>
              <w:bottom w:val="nil"/>
              <w:right w:val="nil"/>
            </w:tcBorders>
            <w:shd w:val="clear" w:color="auto" w:fill="FFFFFF"/>
            <w:noWrap/>
            <w:vAlign w:val="center"/>
          </w:tcPr>
          <w:p w14:paraId="33FCA4A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-0.5860</w:t>
            </w:r>
          </w:p>
        </w:tc>
        <w:tc>
          <w:tcPr>
            <w:tcW w:w="552" w:type="pct"/>
            <w:tcBorders>
              <w:top w:val="nil"/>
              <w:left w:val="nil"/>
              <w:bottom w:val="nil"/>
              <w:right w:val="nil"/>
            </w:tcBorders>
            <w:shd w:val="clear" w:color="auto" w:fill="FFFFFF"/>
            <w:noWrap/>
            <w:vAlign w:val="center"/>
          </w:tcPr>
          <w:p w14:paraId="31BA1EF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0.5578</w:t>
            </w:r>
          </w:p>
        </w:tc>
        <w:tc>
          <w:tcPr>
            <w:tcW w:w="552" w:type="pct"/>
            <w:tcBorders>
              <w:top w:val="nil"/>
              <w:left w:val="nil"/>
              <w:bottom w:val="nil"/>
              <w:right w:val="nil"/>
            </w:tcBorders>
            <w:shd w:val="clear" w:color="auto" w:fill="FFFFFF"/>
            <w:noWrap/>
            <w:vAlign w:val="center"/>
          </w:tcPr>
          <w:p w14:paraId="4944989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0.9001</w:t>
            </w:r>
          </w:p>
        </w:tc>
        <w:tc>
          <w:tcPr>
            <w:tcW w:w="552" w:type="pct"/>
            <w:tcBorders>
              <w:top w:val="nil"/>
              <w:left w:val="nil"/>
              <w:bottom w:val="nil"/>
              <w:right w:val="nil"/>
            </w:tcBorders>
            <w:shd w:val="clear" w:color="auto" w:fill="FFFFFF"/>
            <w:noWrap/>
            <w:vAlign w:val="center"/>
          </w:tcPr>
          <w:p w14:paraId="3B28CD5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0.8816</w:t>
            </w:r>
          </w:p>
        </w:tc>
      </w:tr>
      <w:tr w14:paraId="1245C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09D7927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lightGBM_test</w:t>
            </w:r>
          </w:p>
        </w:tc>
        <w:tc>
          <w:tcPr>
            <w:tcW w:w="684" w:type="pct"/>
            <w:tcBorders>
              <w:top w:val="nil"/>
              <w:left w:val="nil"/>
              <w:bottom w:val="nil"/>
              <w:right w:val="nil"/>
            </w:tcBorders>
            <w:shd w:val="clear" w:color="auto" w:fill="FFFFFF"/>
            <w:noWrap/>
            <w:vAlign w:val="center"/>
          </w:tcPr>
          <w:p w14:paraId="188C982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4FB9D9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-0.0026</w:t>
            </w:r>
          </w:p>
        </w:tc>
        <w:tc>
          <w:tcPr>
            <w:tcW w:w="618" w:type="pct"/>
            <w:tcBorders>
              <w:top w:val="nil"/>
              <w:left w:val="nil"/>
              <w:bottom w:val="nil"/>
              <w:right w:val="nil"/>
            </w:tcBorders>
            <w:shd w:val="clear" w:color="auto" w:fill="FFFFFF"/>
            <w:noWrap/>
            <w:vAlign w:val="center"/>
          </w:tcPr>
          <w:p w14:paraId="4A5625B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-0.4700</w:t>
            </w:r>
          </w:p>
        </w:tc>
        <w:tc>
          <w:tcPr>
            <w:tcW w:w="552" w:type="pct"/>
            <w:tcBorders>
              <w:top w:val="nil"/>
              <w:left w:val="nil"/>
              <w:bottom w:val="nil"/>
              <w:right w:val="nil"/>
            </w:tcBorders>
            <w:shd w:val="clear" w:color="auto" w:fill="FFFFFF"/>
            <w:noWrap/>
            <w:vAlign w:val="center"/>
          </w:tcPr>
          <w:p w14:paraId="31637EF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0.6384</w:t>
            </w:r>
          </w:p>
        </w:tc>
        <w:tc>
          <w:tcPr>
            <w:tcW w:w="552" w:type="pct"/>
            <w:tcBorders>
              <w:top w:val="nil"/>
              <w:left w:val="nil"/>
              <w:bottom w:val="nil"/>
              <w:right w:val="nil"/>
            </w:tcBorders>
            <w:shd w:val="clear" w:color="auto" w:fill="FFFFFF"/>
            <w:noWrap/>
            <w:vAlign w:val="center"/>
          </w:tcPr>
          <w:p w14:paraId="78CEFC4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0.8821</w:t>
            </w:r>
          </w:p>
        </w:tc>
        <w:tc>
          <w:tcPr>
            <w:tcW w:w="552" w:type="pct"/>
            <w:tcBorders>
              <w:top w:val="nil"/>
              <w:left w:val="nil"/>
              <w:bottom w:val="nil"/>
              <w:right w:val="nil"/>
            </w:tcBorders>
            <w:shd w:val="clear" w:color="auto" w:fill="FFFFFF"/>
            <w:noWrap/>
            <w:vAlign w:val="center"/>
          </w:tcPr>
          <w:p w14:paraId="4F285A4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0.8602</w:t>
            </w:r>
          </w:p>
        </w:tc>
      </w:tr>
      <w:tr w14:paraId="0DCF1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3324EE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lightGBM_test</w:t>
            </w:r>
          </w:p>
        </w:tc>
        <w:tc>
          <w:tcPr>
            <w:tcW w:w="684" w:type="pct"/>
            <w:tcBorders>
              <w:top w:val="nil"/>
              <w:left w:val="nil"/>
              <w:bottom w:val="nil"/>
              <w:right w:val="nil"/>
            </w:tcBorders>
            <w:shd w:val="clear" w:color="auto" w:fill="FFFFFF"/>
            <w:noWrap/>
            <w:vAlign w:val="center"/>
          </w:tcPr>
          <w:p w14:paraId="5D150F1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nil"/>
              <w:right w:val="nil"/>
            </w:tcBorders>
            <w:shd w:val="clear" w:color="auto" w:fill="FFFFFF"/>
            <w:noWrap/>
            <w:vAlign w:val="center"/>
          </w:tcPr>
          <w:p w14:paraId="6543E56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-0.0025</w:t>
            </w:r>
          </w:p>
        </w:tc>
        <w:tc>
          <w:tcPr>
            <w:tcW w:w="618" w:type="pct"/>
            <w:tcBorders>
              <w:top w:val="nil"/>
              <w:left w:val="nil"/>
              <w:bottom w:val="nil"/>
              <w:right w:val="nil"/>
            </w:tcBorders>
            <w:shd w:val="clear" w:color="auto" w:fill="FFFFFF"/>
            <w:noWrap/>
            <w:vAlign w:val="center"/>
          </w:tcPr>
          <w:p w14:paraId="3575F76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-0.4260</w:t>
            </w:r>
          </w:p>
        </w:tc>
        <w:tc>
          <w:tcPr>
            <w:tcW w:w="552" w:type="pct"/>
            <w:tcBorders>
              <w:top w:val="nil"/>
              <w:left w:val="nil"/>
              <w:bottom w:val="nil"/>
              <w:right w:val="nil"/>
            </w:tcBorders>
            <w:shd w:val="clear" w:color="auto" w:fill="FFFFFF"/>
            <w:noWrap/>
            <w:vAlign w:val="center"/>
          </w:tcPr>
          <w:p w14:paraId="178211A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0.6701</w:t>
            </w:r>
          </w:p>
        </w:tc>
        <w:tc>
          <w:tcPr>
            <w:tcW w:w="552" w:type="pct"/>
            <w:tcBorders>
              <w:top w:val="nil"/>
              <w:left w:val="nil"/>
              <w:bottom w:val="nil"/>
              <w:right w:val="nil"/>
            </w:tcBorders>
            <w:shd w:val="clear" w:color="auto" w:fill="FFFFFF"/>
            <w:noWrap/>
            <w:vAlign w:val="center"/>
          </w:tcPr>
          <w:p w14:paraId="048FD43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0.8948</w:t>
            </w:r>
          </w:p>
        </w:tc>
        <w:tc>
          <w:tcPr>
            <w:tcW w:w="552" w:type="pct"/>
            <w:tcBorders>
              <w:top w:val="nil"/>
              <w:left w:val="nil"/>
              <w:bottom w:val="nil"/>
              <w:right w:val="nil"/>
            </w:tcBorders>
            <w:shd w:val="clear" w:color="auto" w:fill="FFFFFF"/>
            <w:noWrap/>
            <w:vAlign w:val="center"/>
          </w:tcPr>
          <w:p w14:paraId="0EA844B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0.8753</w:t>
            </w:r>
          </w:p>
        </w:tc>
      </w:tr>
      <w:tr w14:paraId="40DC7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0D8523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NeuralNetwork_train</w:t>
            </w:r>
          </w:p>
        </w:tc>
        <w:tc>
          <w:tcPr>
            <w:tcW w:w="684" w:type="pct"/>
            <w:tcBorders>
              <w:top w:val="nil"/>
              <w:left w:val="nil"/>
              <w:bottom w:val="nil"/>
              <w:right w:val="nil"/>
            </w:tcBorders>
            <w:shd w:val="clear" w:color="auto" w:fill="FFFFFF"/>
            <w:noWrap/>
            <w:vAlign w:val="center"/>
          </w:tcPr>
          <w:p w14:paraId="1278168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nil"/>
              <w:left w:val="nil"/>
              <w:bottom w:val="nil"/>
              <w:right w:val="nil"/>
            </w:tcBorders>
            <w:shd w:val="clear" w:color="auto" w:fill="FFFFFF"/>
            <w:noWrap/>
            <w:vAlign w:val="center"/>
          </w:tcPr>
          <w:p w14:paraId="72A71EE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-0.0121</w:t>
            </w:r>
          </w:p>
        </w:tc>
        <w:tc>
          <w:tcPr>
            <w:tcW w:w="618" w:type="pct"/>
            <w:tcBorders>
              <w:top w:val="nil"/>
              <w:left w:val="nil"/>
              <w:bottom w:val="nil"/>
              <w:right w:val="nil"/>
            </w:tcBorders>
            <w:shd w:val="clear" w:color="auto" w:fill="FFFFFF"/>
            <w:noWrap/>
            <w:vAlign w:val="center"/>
          </w:tcPr>
          <w:p w14:paraId="5EDAB1C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-6.1469</w:t>
            </w:r>
          </w:p>
        </w:tc>
        <w:tc>
          <w:tcPr>
            <w:tcW w:w="552" w:type="pct"/>
            <w:tcBorders>
              <w:top w:val="nil"/>
              <w:left w:val="nil"/>
              <w:bottom w:val="nil"/>
              <w:right w:val="nil"/>
            </w:tcBorders>
            <w:shd w:val="clear" w:color="auto" w:fill="FFFFFF"/>
            <w:noWrap/>
            <w:vAlign w:val="center"/>
          </w:tcPr>
          <w:p w14:paraId="29FABA7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0.0000</w:t>
            </w:r>
          </w:p>
        </w:tc>
        <w:tc>
          <w:tcPr>
            <w:tcW w:w="552" w:type="pct"/>
            <w:tcBorders>
              <w:top w:val="nil"/>
              <w:left w:val="nil"/>
              <w:bottom w:val="nil"/>
              <w:right w:val="nil"/>
            </w:tcBorders>
            <w:shd w:val="clear" w:color="auto" w:fill="FFFFFF"/>
            <w:noWrap/>
            <w:vAlign w:val="center"/>
          </w:tcPr>
          <w:p w14:paraId="3F2678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0.8797</w:t>
            </w:r>
          </w:p>
        </w:tc>
        <w:tc>
          <w:tcPr>
            <w:tcW w:w="552" w:type="pct"/>
            <w:tcBorders>
              <w:top w:val="nil"/>
              <w:left w:val="nil"/>
              <w:bottom w:val="nil"/>
              <w:right w:val="nil"/>
            </w:tcBorders>
            <w:shd w:val="clear" w:color="auto" w:fill="FFFFFF"/>
            <w:noWrap/>
            <w:vAlign w:val="center"/>
          </w:tcPr>
          <w:p w14:paraId="27D8602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0.8672</w:t>
            </w:r>
          </w:p>
        </w:tc>
      </w:tr>
      <w:tr w14:paraId="16F4E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529AE4E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NeuralNetwork_train</w:t>
            </w:r>
          </w:p>
        </w:tc>
        <w:tc>
          <w:tcPr>
            <w:tcW w:w="684" w:type="pct"/>
            <w:tcBorders>
              <w:top w:val="nil"/>
              <w:left w:val="nil"/>
              <w:bottom w:val="nil"/>
              <w:right w:val="nil"/>
            </w:tcBorders>
            <w:shd w:val="clear" w:color="auto" w:fill="FFFFFF"/>
            <w:noWrap/>
            <w:vAlign w:val="center"/>
          </w:tcPr>
          <w:p w14:paraId="1FA52E3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798E1B8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-0.0007</w:t>
            </w:r>
          </w:p>
        </w:tc>
        <w:tc>
          <w:tcPr>
            <w:tcW w:w="618" w:type="pct"/>
            <w:tcBorders>
              <w:top w:val="nil"/>
              <w:left w:val="nil"/>
              <w:bottom w:val="nil"/>
              <w:right w:val="nil"/>
            </w:tcBorders>
            <w:shd w:val="clear" w:color="auto" w:fill="FFFFFF"/>
            <w:noWrap/>
            <w:vAlign w:val="center"/>
          </w:tcPr>
          <w:p w14:paraId="18A8A92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-0.3267</w:t>
            </w:r>
          </w:p>
        </w:tc>
        <w:tc>
          <w:tcPr>
            <w:tcW w:w="552" w:type="pct"/>
            <w:tcBorders>
              <w:top w:val="nil"/>
              <w:left w:val="nil"/>
              <w:bottom w:val="nil"/>
              <w:right w:val="nil"/>
            </w:tcBorders>
            <w:shd w:val="clear" w:color="auto" w:fill="FFFFFF"/>
            <w:noWrap/>
            <w:vAlign w:val="center"/>
          </w:tcPr>
          <w:p w14:paraId="7A6ADDA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0.7439</w:t>
            </w:r>
          </w:p>
        </w:tc>
        <w:tc>
          <w:tcPr>
            <w:tcW w:w="552" w:type="pct"/>
            <w:tcBorders>
              <w:top w:val="nil"/>
              <w:left w:val="nil"/>
              <w:bottom w:val="nil"/>
              <w:right w:val="nil"/>
            </w:tcBorders>
            <w:shd w:val="clear" w:color="auto" w:fill="FFFFFF"/>
            <w:noWrap/>
            <w:vAlign w:val="center"/>
          </w:tcPr>
          <w:p w14:paraId="30DAFBC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0.8687</w:t>
            </w:r>
          </w:p>
        </w:tc>
        <w:tc>
          <w:tcPr>
            <w:tcW w:w="552" w:type="pct"/>
            <w:tcBorders>
              <w:top w:val="nil"/>
              <w:left w:val="nil"/>
              <w:bottom w:val="nil"/>
              <w:right w:val="nil"/>
            </w:tcBorders>
            <w:shd w:val="clear" w:color="auto" w:fill="FFFFFF"/>
            <w:noWrap/>
            <w:vAlign w:val="center"/>
          </w:tcPr>
          <w:p w14:paraId="2A3289F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0.8551</w:t>
            </w:r>
          </w:p>
        </w:tc>
      </w:tr>
      <w:tr w14:paraId="59F98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4BBCBBF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NeuralNetwork_train</w:t>
            </w:r>
          </w:p>
        </w:tc>
        <w:tc>
          <w:tcPr>
            <w:tcW w:w="684" w:type="pct"/>
            <w:tcBorders>
              <w:top w:val="nil"/>
              <w:left w:val="nil"/>
              <w:bottom w:val="nil"/>
              <w:right w:val="nil"/>
            </w:tcBorders>
            <w:shd w:val="clear" w:color="auto" w:fill="FFFFFF"/>
            <w:noWrap/>
            <w:vAlign w:val="center"/>
          </w:tcPr>
          <w:p w14:paraId="2D5110C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60EBB26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0.0003</w:t>
            </w:r>
          </w:p>
        </w:tc>
        <w:tc>
          <w:tcPr>
            <w:tcW w:w="618" w:type="pct"/>
            <w:tcBorders>
              <w:top w:val="nil"/>
              <w:left w:val="nil"/>
              <w:bottom w:val="nil"/>
              <w:right w:val="nil"/>
            </w:tcBorders>
            <w:shd w:val="clear" w:color="auto" w:fill="FFFFFF"/>
            <w:noWrap/>
            <w:vAlign w:val="center"/>
          </w:tcPr>
          <w:p w14:paraId="7421569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0.1414</w:t>
            </w:r>
          </w:p>
        </w:tc>
        <w:tc>
          <w:tcPr>
            <w:tcW w:w="552" w:type="pct"/>
            <w:tcBorders>
              <w:top w:val="nil"/>
              <w:left w:val="nil"/>
              <w:bottom w:val="nil"/>
              <w:right w:val="nil"/>
            </w:tcBorders>
            <w:shd w:val="clear" w:color="auto" w:fill="FFFFFF"/>
            <w:noWrap/>
            <w:vAlign w:val="center"/>
          </w:tcPr>
          <w:p w14:paraId="6AB6B46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0.8876</w:t>
            </w:r>
          </w:p>
        </w:tc>
        <w:tc>
          <w:tcPr>
            <w:tcW w:w="552" w:type="pct"/>
            <w:tcBorders>
              <w:top w:val="nil"/>
              <w:left w:val="nil"/>
              <w:bottom w:val="nil"/>
              <w:right w:val="nil"/>
            </w:tcBorders>
            <w:shd w:val="clear" w:color="auto" w:fill="FFFFFF"/>
            <w:noWrap/>
            <w:vAlign w:val="center"/>
          </w:tcPr>
          <w:p w14:paraId="0365622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0.8597</w:t>
            </w:r>
          </w:p>
        </w:tc>
        <w:tc>
          <w:tcPr>
            <w:tcW w:w="552" w:type="pct"/>
            <w:tcBorders>
              <w:top w:val="nil"/>
              <w:left w:val="nil"/>
              <w:bottom w:val="nil"/>
              <w:right w:val="nil"/>
            </w:tcBorders>
            <w:shd w:val="clear" w:color="auto" w:fill="FFFFFF"/>
            <w:noWrap/>
            <w:vAlign w:val="center"/>
          </w:tcPr>
          <w:p w14:paraId="265FBE0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0.8451</w:t>
            </w:r>
          </w:p>
        </w:tc>
      </w:tr>
      <w:tr w14:paraId="0A293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12D0C1B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NeuralNetwork_train</w:t>
            </w:r>
          </w:p>
        </w:tc>
        <w:tc>
          <w:tcPr>
            <w:tcW w:w="684" w:type="pct"/>
            <w:tcBorders>
              <w:top w:val="nil"/>
              <w:left w:val="nil"/>
              <w:bottom w:val="nil"/>
              <w:right w:val="nil"/>
            </w:tcBorders>
            <w:shd w:val="clear" w:color="auto" w:fill="FFFFFF"/>
            <w:noWrap/>
            <w:vAlign w:val="center"/>
          </w:tcPr>
          <w:p w14:paraId="35FC166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5DD130D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0.0024</w:t>
            </w:r>
          </w:p>
        </w:tc>
        <w:tc>
          <w:tcPr>
            <w:tcW w:w="618" w:type="pct"/>
            <w:tcBorders>
              <w:top w:val="nil"/>
              <w:left w:val="nil"/>
              <w:bottom w:val="nil"/>
              <w:right w:val="nil"/>
            </w:tcBorders>
            <w:shd w:val="clear" w:color="auto" w:fill="FFFFFF"/>
            <w:noWrap/>
            <w:vAlign w:val="center"/>
          </w:tcPr>
          <w:p w14:paraId="1334F31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1.0637</w:t>
            </w:r>
          </w:p>
        </w:tc>
        <w:tc>
          <w:tcPr>
            <w:tcW w:w="552" w:type="pct"/>
            <w:tcBorders>
              <w:top w:val="nil"/>
              <w:left w:val="nil"/>
              <w:bottom w:val="nil"/>
              <w:right w:val="nil"/>
            </w:tcBorders>
            <w:shd w:val="clear" w:color="auto" w:fill="FFFFFF"/>
            <w:noWrap/>
            <w:vAlign w:val="center"/>
          </w:tcPr>
          <w:p w14:paraId="769994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0.2874</w:t>
            </w:r>
          </w:p>
        </w:tc>
        <w:tc>
          <w:tcPr>
            <w:tcW w:w="552" w:type="pct"/>
            <w:tcBorders>
              <w:top w:val="nil"/>
              <w:left w:val="nil"/>
              <w:bottom w:val="nil"/>
              <w:right w:val="nil"/>
            </w:tcBorders>
            <w:shd w:val="clear" w:color="auto" w:fill="FFFFFF"/>
            <w:noWrap/>
            <w:vAlign w:val="center"/>
          </w:tcPr>
          <w:p w14:paraId="7435CBE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0.8701</w:t>
            </w:r>
          </w:p>
        </w:tc>
        <w:tc>
          <w:tcPr>
            <w:tcW w:w="552" w:type="pct"/>
            <w:tcBorders>
              <w:top w:val="nil"/>
              <w:left w:val="nil"/>
              <w:bottom w:val="nil"/>
              <w:right w:val="nil"/>
            </w:tcBorders>
            <w:shd w:val="clear" w:color="auto" w:fill="FFFFFF"/>
            <w:noWrap/>
            <w:vAlign w:val="center"/>
          </w:tcPr>
          <w:p w14:paraId="048229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0.8565</w:t>
            </w:r>
          </w:p>
        </w:tc>
      </w:tr>
      <w:tr w14:paraId="7F808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751F398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NeuralNetwork_train</w:t>
            </w:r>
          </w:p>
        </w:tc>
        <w:tc>
          <w:tcPr>
            <w:tcW w:w="684" w:type="pct"/>
            <w:tcBorders>
              <w:top w:val="nil"/>
              <w:left w:val="nil"/>
              <w:bottom w:val="nil"/>
              <w:right w:val="nil"/>
            </w:tcBorders>
            <w:shd w:val="clear" w:color="auto" w:fill="FFFFFF"/>
            <w:noWrap/>
            <w:vAlign w:val="center"/>
          </w:tcPr>
          <w:p w14:paraId="68EB462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nil"/>
              <w:right w:val="nil"/>
            </w:tcBorders>
            <w:shd w:val="clear" w:color="auto" w:fill="FFFFFF"/>
            <w:noWrap/>
            <w:vAlign w:val="center"/>
          </w:tcPr>
          <w:p w14:paraId="675988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0.0044</w:t>
            </w:r>
          </w:p>
        </w:tc>
        <w:tc>
          <w:tcPr>
            <w:tcW w:w="618" w:type="pct"/>
            <w:tcBorders>
              <w:top w:val="nil"/>
              <w:left w:val="nil"/>
              <w:bottom w:val="nil"/>
              <w:right w:val="nil"/>
            </w:tcBorders>
            <w:shd w:val="clear" w:color="auto" w:fill="FFFFFF"/>
            <w:noWrap/>
            <w:vAlign w:val="center"/>
          </w:tcPr>
          <w:p w14:paraId="78C8716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1.6184</w:t>
            </w:r>
          </w:p>
        </w:tc>
        <w:tc>
          <w:tcPr>
            <w:tcW w:w="552" w:type="pct"/>
            <w:tcBorders>
              <w:top w:val="nil"/>
              <w:left w:val="nil"/>
              <w:bottom w:val="nil"/>
              <w:right w:val="nil"/>
            </w:tcBorders>
            <w:shd w:val="clear" w:color="auto" w:fill="FFFFFF"/>
            <w:noWrap/>
            <w:vAlign w:val="center"/>
          </w:tcPr>
          <w:p w14:paraId="750F27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0.1056</w:t>
            </w:r>
          </w:p>
        </w:tc>
        <w:tc>
          <w:tcPr>
            <w:tcW w:w="552" w:type="pct"/>
            <w:tcBorders>
              <w:top w:val="nil"/>
              <w:left w:val="nil"/>
              <w:bottom w:val="nil"/>
              <w:right w:val="nil"/>
            </w:tcBorders>
            <w:shd w:val="clear" w:color="auto" w:fill="FFFFFF"/>
            <w:noWrap/>
            <w:vAlign w:val="center"/>
          </w:tcPr>
          <w:p w14:paraId="39F30AA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0.8558</w:t>
            </w:r>
          </w:p>
        </w:tc>
        <w:tc>
          <w:tcPr>
            <w:tcW w:w="552" w:type="pct"/>
            <w:tcBorders>
              <w:top w:val="nil"/>
              <w:left w:val="nil"/>
              <w:bottom w:val="nil"/>
              <w:right w:val="nil"/>
            </w:tcBorders>
            <w:shd w:val="clear" w:color="auto" w:fill="FFFFFF"/>
            <w:noWrap/>
            <w:vAlign w:val="center"/>
          </w:tcPr>
          <w:p w14:paraId="60604F1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0.8407</w:t>
            </w:r>
          </w:p>
        </w:tc>
      </w:tr>
      <w:tr w14:paraId="43989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3CF3F8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NeuralNetwork_test</w:t>
            </w:r>
          </w:p>
        </w:tc>
        <w:tc>
          <w:tcPr>
            <w:tcW w:w="684" w:type="pct"/>
            <w:tcBorders>
              <w:top w:val="nil"/>
              <w:left w:val="nil"/>
              <w:bottom w:val="nil"/>
              <w:right w:val="nil"/>
            </w:tcBorders>
            <w:shd w:val="clear" w:color="auto" w:fill="FFFFFF"/>
            <w:noWrap/>
            <w:vAlign w:val="center"/>
          </w:tcPr>
          <w:p w14:paraId="001514F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nil"/>
              <w:left w:val="nil"/>
              <w:bottom w:val="nil"/>
              <w:right w:val="nil"/>
            </w:tcBorders>
            <w:shd w:val="clear" w:color="auto" w:fill="FFFFFF"/>
            <w:noWrap/>
            <w:vAlign w:val="center"/>
          </w:tcPr>
          <w:p w14:paraId="661A4D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-0.0071</w:t>
            </w:r>
          </w:p>
        </w:tc>
        <w:tc>
          <w:tcPr>
            <w:tcW w:w="618" w:type="pct"/>
            <w:tcBorders>
              <w:top w:val="nil"/>
              <w:left w:val="nil"/>
              <w:bottom w:val="nil"/>
              <w:right w:val="nil"/>
            </w:tcBorders>
            <w:shd w:val="clear" w:color="auto" w:fill="FFFFFF"/>
            <w:noWrap/>
            <w:vAlign w:val="center"/>
          </w:tcPr>
          <w:p w14:paraId="6EB4D83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-1.4164</w:t>
            </w:r>
          </w:p>
        </w:tc>
        <w:tc>
          <w:tcPr>
            <w:tcW w:w="552" w:type="pct"/>
            <w:tcBorders>
              <w:top w:val="nil"/>
              <w:left w:val="nil"/>
              <w:bottom w:val="nil"/>
              <w:right w:val="nil"/>
            </w:tcBorders>
            <w:shd w:val="clear" w:color="auto" w:fill="FFFFFF"/>
            <w:noWrap/>
            <w:vAlign w:val="center"/>
          </w:tcPr>
          <w:p w14:paraId="54815B9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0.1567</w:t>
            </w:r>
          </w:p>
        </w:tc>
        <w:tc>
          <w:tcPr>
            <w:tcW w:w="552" w:type="pct"/>
            <w:tcBorders>
              <w:top w:val="nil"/>
              <w:left w:val="nil"/>
              <w:bottom w:val="nil"/>
              <w:right w:val="nil"/>
            </w:tcBorders>
            <w:shd w:val="clear" w:color="auto" w:fill="FFFFFF"/>
            <w:noWrap/>
            <w:vAlign w:val="center"/>
          </w:tcPr>
          <w:p w14:paraId="6539985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0.9009</w:t>
            </w:r>
          </w:p>
        </w:tc>
        <w:tc>
          <w:tcPr>
            <w:tcW w:w="552" w:type="pct"/>
            <w:tcBorders>
              <w:top w:val="nil"/>
              <w:left w:val="nil"/>
              <w:bottom w:val="nil"/>
              <w:right w:val="nil"/>
            </w:tcBorders>
            <w:shd w:val="clear" w:color="auto" w:fill="FFFFFF"/>
            <w:noWrap/>
            <w:vAlign w:val="center"/>
          </w:tcPr>
          <w:p w14:paraId="16E4704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0.8826</w:t>
            </w:r>
          </w:p>
        </w:tc>
      </w:tr>
      <w:tr w14:paraId="3468F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583B04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NeuralNetwork_test</w:t>
            </w:r>
          </w:p>
        </w:tc>
        <w:tc>
          <w:tcPr>
            <w:tcW w:w="684" w:type="pct"/>
            <w:tcBorders>
              <w:top w:val="nil"/>
              <w:left w:val="nil"/>
              <w:bottom w:val="nil"/>
              <w:right w:val="nil"/>
            </w:tcBorders>
            <w:shd w:val="clear" w:color="auto" w:fill="FFFFFF"/>
            <w:noWrap/>
            <w:vAlign w:val="center"/>
          </w:tcPr>
          <w:p w14:paraId="66E7285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1B464EF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-0.0030</w:t>
            </w:r>
          </w:p>
        </w:tc>
        <w:tc>
          <w:tcPr>
            <w:tcW w:w="618" w:type="pct"/>
            <w:tcBorders>
              <w:top w:val="nil"/>
              <w:left w:val="nil"/>
              <w:bottom w:val="nil"/>
              <w:right w:val="nil"/>
            </w:tcBorders>
            <w:shd w:val="clear" w:color="auto" w:fill="FFFFFF"/>
            <w:noWrap/>
            <w:vAlign w:val="center"/>
          </w:tcPr>
          <w:p w14:paraId="509F79E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-0.5385</w:t>
            </w:r>
          </w:p>
        </w:tc>
        <w:tc>
          <w:tcPr>
            <w:tcW w:w="552" w:type="pct"/>
            <w:tcBorders>
              <w:top w:val="nil"/>
              <w:left w:val="nil"/>
              <w:bottom w:val="nil"/>
              <w:right w:val="nil"/>
            </w:tcBorders>
            <w:shd w:val="clear" w:color="auto" w:fill="FFFFFF"/>
            <w:noWrap/>
            <w:vAlign w:val="center"/>
          </w:tcPr>
          <w:p w14:paraId="603D75D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0.5903</w:t>
            </w:r>
          </w:p>
        </w:tc>
        <w:tc>
          <w:tcPr>
            <w:tcW w:w="552" w:type="pct"/>
            <w:tcBorders>
              <w:top w:val="nil"/>
              <w:left w:val="nil"/>
              <w:bottom w:val="nil"/>
              <w:right w:val="nil"/>
            </w:tcBorders>
            <w:shd w:val="clear" w:color="auto" w:fill="FFFFFF"/>
            <w:noWrap/>
            <w:vAlign w:val="center"/>
          </w:tcPr>
          <w:p w14:paraId="0B27F7F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0.8845</w:t>
            </w:r>
          </w:p>
        </w:tc>
        <w:tc>
          <w:tcPr>
            <w:tcW w:w="552" w:type="pct"/>
            <w:tcBorders>
              <w:top w:val="nil"/>
              <w:left w:val="nil"/>
              <w:bottom w:val="nil"/>
              <w:right w:val="nil"/>
            </w:tcBorders>
            <w:shd w:val="clear" w:color="auto" w:fill="FFFFFF"/>
            <w:noWrap/>
            <w:vAlign w:val="center"/>
          </w:tcPr>
          <w:p w14:paraId="20F008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0.8631</w:t>
            </w:r>
          </w:p>
        </w:tc>
      </w:tr>
      <w:tr w14:paraId="6CD5B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4E1D51C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NeuralNetwork_test</w:t>
            </w:r>
          </w:p>
        </w:tc>
        <w:tc>
          <w:tcPr>
            <w:tcW w:w="684" w:type="pct"/>
            <w:tcBorders>
              <w:top w:val="nil"/>
              <w:left w:val="nil"/>
              <w:bottom w:val="nil"/>
              <w:right w:val="nil"/>
            </w:tcBorders>
            <w:shd w:val="clear" w:color="auto" w:fill="FFFFFF"/>
            <w:noWrap/>
            <w:vAlign w:val="center"/>
          </w:tcPr>
          <w:p w14:paraId="25D8821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4B0EE6E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-0.0033</w:t>
            </w:r>
          </w:p>
        </w:tc>
        <w:tc>
          <w:tcPr>
            <w:tcW w:w="618" w:type="pct"/>
            <w:tcBorders>
              <w:top w:val="nil"/>
              <w:left w:val="nil"/>
              <w:bottom w:val="nil"/>
              <w:right w:val="nil"/>
            </w:tcBorders>
            <w:shd w:val="clear" w:color="auto" w:fill="FFFFFF"/>
            <w:noWrap/>
            <w:vAlign w:val="center"/>
          </w:tcPr>
          <w:p w14:paraId="7D6168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-0.6336</w:t>
            </w:r>
          </w:p>
        </w:tc>
        <w:tc>
          <w:tcPr>
            <w:tcW w:w="552" w:type="pct"/>
            <w:tcBorders>
              <w:top w:val="nil"/>
              <w:left w:val="nil"/>
              <w:bottom w:val="nil"/>
              <w:right w:val="nil"/>
            </w:tcBorders>
            <w:shd w:val="clear" w:color="auto" w:fill="FFFFFF"/>
            <w:noWrap/>
            <w:vAlign w:val="center"/>
          </w:tcPr>
          <w:p w14:paraId="05767FA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0.5264</w:t>
            </w:r>
          </w:p>
        </w:tc>
        <w:tc>
          <w:tcPr>
            <w:tcW w:w="552" w:type="pct"/>
            <w:tcBorders>
              <w:top w:val="nil"/>
              <w:left w:val="nil"/>
              <w:bottom w:val="nil"/>
              <w:right w:val="nil"/>
            </w:tcBorders>
            <w:shd w:val="clear" w:color="auto" w:fill="FFFFFF"/>
            <w:noWrap/>
            <w:vAlign w:val="center"/>
          </w:tcPr>
          <w:p w14:paraId="11316CA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0.8891</w:t>
            </w:r>
          </w:p>
        </w:tc>
        <w:tc>
          <w:tcPr>
            <w:tcW w:w="552" w:type="pct"/>
            <w:tcBorders>
              <w:top w:val="nil"/>
              <w:left w:val="nil"/>
              <w:bottom w:val="nil"/>
              <w:right w:val="nil"/>
            </w:tcBorders>
            <w:shd w:val="clear" w:color="auto" w:fill="FFFFFF"/>
            <w:noWrap/>
            <w:vAlign w:val="center"/>
          </w:tcPr>
          <w:p w14:paraId="3779299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0.8686</w:t>
            </w:r>
          </w:p>
        </w:tc>
      </w:tr>
      <w:tr w14:paraId="56C3B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76BAA19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NeuralNetwork_test</w:t>
            </w:r>
          </w:p>
        </w:tc>
        <w:tc>
          <w:tcPr>
            <w:tcW w:w="684" w:type="pct"/>
            <w:tcBorders>
              <w:top w:val="nil"/>
              <w:left w:val="nil"/>
              <w:bottom w:val="nil"/>
              <w:right w:val="nil"/>
            </w:tcBorders>
            <w:shd w:val="clear" w:color="auto" w:fill="FFFFFF"/>
            <w:noWrap/>
            <w:vAlign w:val="center"/>
          </w:tcPr>
          <w:p w14:paraId="246319D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5028D46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-0.0024</w:t>
            </w:r>
          </w:p>
        </w:tc>
        <w:tc>
          <w:tcPr>
            <w:tcW w:w="618" w:type="pct"/>
            <w:tcBorders>
              <w:top w:val="nil"/>
              <w:left w:val="nil"/>
              <w:bottom w:val="nil"/>
              <w:right w:val="nil"/>
            </w:tcBorders>
            <w:shd w:val="clear" w:color="auto" w:fill="FFFFFF"/>
            <w:noWrap/>
            <w:vAlign w:val="center"/>
          </w:tcPr>
          <w:p w14:paraId="385ED73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-0.4719</w:t>
            </w:r>
          </w:p>
        </w:tc>
        <w:tc>
          <w:tcPr>
            <w:tcW w:w="552" w:type="pct"/>
            <w:tcBorders>
              <w:top w:val="nil"/>
              <w:left w:val="nil"/>
              <w:bottom w:val="nil"/>
              <w:right w:val="nil"/>
            </w:tcBorders>
            <w:shd w:val="clear" w:color="auto" w:fill="FFFFFF"/>
            <w:noWrap/>
            <w:vAlign w:val="center"/>
          </w:tcPr>
          <w:p w14:paraId="2836C68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0.6370</w:t>
            </w:r>
          </w:p>
        </w:tc>
        <w:tc>
          <w:tcPr>
            <w:tcW w:w="552" w:type="pct"/>
            <w:tcBorders>
              <w:top w:val="nil"/>
              <w:left w:val="nil"/>
              <w:bottom w:val="nil"/>
              <w:right w:val="nil"/>
            </w:tcBorders>
            <w:shd w:val="clear" w:color="auto" w:fill="FFFFFF"/>
            <w:noWrap/>
            <w:vAlign w:val="center"/>
          </w:tcPr>
          <w:p w14:paraId="1F8A302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0.8929</w:t>
            </w:r>
          </w:p>
        </w:tc>
        <w:tc>
          <w:tcPr>
            <w:tcW w:w="552" w:type="pct"/>
            <w:tcBorders>
              <w:top w:val="nil"/>
              <w:left w:val="nil"/>
              <w:bottom w:val="nil"/>
              <w:right w:val="nil"/>
            </w:tcBorders>
            <w:shd w:val="clear" w:color="auto" w:fill="FFFFFF"/>
            <w:noWrap/>
            <w:vAlign w:val="center"/>
          </w:tcPr>
          <w:p w14:paraId="182A458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0.8730</w:t>
            </w:r>
          </w:p>
        </w:tc>
      </w:tr>
      <w:tr w14:paraId="1D83F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35E512D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NeuralNetwork_test</w:t>
            </w:r>
          </w:p>
        </w:tc>
        <w:tc>
          <w:tcPr>
            <w:tcW w:w="684" w:type="pct"/>
            <w:tcBorders>
              <w:top w:val="nil"/>
              <w:left w:val="nil"/>
              <w:bottom w:val="nil"/>
              <w:right w:val="nil"/>
            </w:tcBorders>
            <w:shd w:val="clear" w:color="auto" w:fill="FFFFFF"/>
            <w:noWrap/>
            <w:vAlign w:val="center"/>
          </w:tcPr>
          <w:p w14:paraId="12CD155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nil"/>
              <w:right w:val="nil"/>
            </w:tcBorders>
            <w:shd w:val="clear" w:color="auto" w:fill="FFFFFF"/>
            <w:noWrap/>
            <w:vAlign w:val="center"/>
          </w:tcPr>
          <w:p w14:paraId="025FB53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-0.0043</w:t>
            </w:r>
          </w:p>
        </w:tc>
        <w:tc>
          <w:tcPr>
            <w:tcW w:w="618" w:type="pct"/>
            <w:tcBorders>
              <w:top w:val="nil"/>
              <w:left w:val="nil"/>
              <w:bottom w:val="nil"/>
              <w:right w:val="nil"/>
            </w:tcBorders>
            <w:shd w:val="clear" w:color="auto" w:fill="FFFFFF"/>
            <w:noWrap/>
            <w:vAlign w:val="center"/>
          </w:tcPr>
          <w:p w14:paraId="34F3007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-0.6587</w:t>
            </w:r>
          </w:p>
        </w:tc>
        <w:tc>
          <w:tcPr>
            <w:tcW w:w="552" w:type="pct"/>
            <w:tcBorders>
              <w:top w:val="nil"/>
              <w:left w:val="nil"/>
              <w:bottom w:val="nil"/>
              <w:right w:val="nil"/>
            </w:tcBorders>
            <w:shd w:val="clear" w:color="auto" w:fill="FFFFFF"/>
            <w:noWrap/>
            <w:vAlign w:val="center"/>
          </w:tcPr>
          <w:p w14:paraId="25EF683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0.5101</w:t>
            </w:r>
          </w:p>
        </w:tc>
        <w:tc>
          <w:tcPr>
            <w:tcW w:w="552" w:type="pct"/>
            <w:tcBorders>
              <w:top w:val="nil"/>
              <w:left w:val="nil"/>
              <w:bottom w:val="nil"/>
              <w:right w:val="nil"/>
            </w:tcBorders>
            <w:shd w:val="clear" w:color="auto" w:fill="FFFFFF"/>
            <w:noWrap/>
            <w:vAlign w:val="center"/>
          </w:tcPr>
          <w:p w14:paraId="6486868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0.8858</w:t>
            </w:r>
          </w:p>
        </w:tc>
        <w:tc>
          <w:tcPr>
            <w:tcW w:w="552" w:type="pct"/>
            <w:tcBorders>
              <w:top w:val="nil"/>
              <w:left w:val="nil"/>
              <w:bottom w:val="nil"/>
              <w:right w:val="nil"/>
            </w:tcBorders>
            <w:shd w:val="clear" w:color="auto" w:fill="FFFFFF"/>
            <w:noWrap/>
            <w:vAlign w:val="center"/>
          </w:tcPr>
          <w:p w14:paraId="02C3BD4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0.8647</w:t>
            </w:r>
          </w:p>
        </w:tc>
      </w:tr>
      <w:tr w14:paraId="1E528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6EF7C24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Ridge_train</w:t>
            </w:r>
          </w:p>
        </w:tc>
        <w:tc>
          <w:tcPr>
            <w:tcW w:w="684" w:type="pct"/>
            <w:tcBorders>
              <w:top w:val="nil"/>
              <w:left w:val="nil"/>
              <w:bottom w:val="nil"/>
              <w:right w:val="nil"/>
            </w:tcBorders>
            <w:shd w:val="clear" w:color="auto" w:fill="FFFFFF"/>
            <w:noWrap/>
            <w:vAlign w:val="center"/>
          </w:tcPr>
          <w:p w14:paraId="351DFD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nil"/>
              <w:left w:val="nil"/>
              <w:bottom w:val="nil"/>
              <w:right w:val="nil"/>
            </w:tcBorders>
            <w:shd w:val="clear" w:color="auto" w:fill="FFFFFF"/>
            <w:noWrap/>
            <w:vAlign w:val="center"/>
          </w:tcPr>
          <w:p w14:paraId="7770EF9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-0.0148</w:t>
            </w:r>
          </w:p>
        </w:tc>
        <w:tc>
          <w:tcPr>
            <w:tcW w:w="618" w:type="pct"/>
            <w:tcBorders>
              <w:top w:val="nil"/>
              <w:left w:val="nil"/>
              <w:bottom w:val="nil"/>
              <w:right w:val="nil"/>
            </w:tcBorders>
            <w:shd w:val="clear" w:color="auto" w:fill="FFFFFF"/>
            <w:noWrap/>
            <w:vAlign w:val="center"/>
          </w:tcPr>
          <w:p w14:paraId="0821A2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-6.9249</w:t>
            </w:r>
          </w:p>
        </w:tc>
        <w:tc>
          <w:tcPr>
            <w:tcW w:w="552" w:type="pct"/>
            <w:tcBorders>
              <w:top w:val="nil"/>
              <w:left w:val="nil"/>
              <w:bottom w:val="nil"/>
              <w:right w:val="nil"/>
            </w:tcBorders>
            <w:shd w:val="clear" w:color="auto" w:fill="FFFFFF"/>
            <w:noWrap/>
            <w:vAlign w:val="center"/>
          </w:tcPr>
          <w:p w14:paraId="3242FE5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0.0000</w:t>
            </w:r>
          </w:p>
        </w:tc>
        <w:tc>
          <w:tcPr>
            <w:tcW w:w="552" w:type="pct"/>
            <w:tcBorders>
              <w:top w:val="nil"/>
              <w:left w:val="nil"/>
              <w:bottom w:val="nil"/>
              <w:right w:val="nil"/>
            </w:tcBorders>
            <w:shd w:val="clear" w:color="auto" w:fill="FFFFFF"/>
            <w:noWrap/>
            <w:vAlign w:val="center"/>
          </w:tcPr>
          <w:p w14:paraId="79580EC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0.8570</w:t>
            </w:r>
          </w:p>
        </w:tc>
        <w:tc>
          <w:tcPr>
            <w:tcW w:w="552" w:type="pct"/>
            <w:tcBorders>
              <w:top w:val="nil"/>
              <w:left w:val="nil"/>
              <w:bottom w:val="nil"/>
              <w:right w:val="nil"/>
            </w:tcBorders>
            <w:shd w:val="clear" w:color="auto" w:fill="FFFFFF"/>
            <w:noWrap/>
            <w:vAlign w:val="center"/>
          </w:tcPr>
          <w:p w14:paraId="2CE53D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0.8421</w:t>
            </w:r>
          </w:p>
        </w:tc>
      </w:tr>
      <w:tr w14:paraId="38714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0B5F6E8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Ridge_train</w:t>
            </w:r>
          </w:p>
        </w:tc>
        <w:tc>
          <w:tcPr>
            <w:tcW w:w="684" w:type="pct"/>
            <w:tcBorders>
              <w:top w:val="nil"/>
              <w:left w:val="nil"/>
              <w:bottom w:val="nil"/>
              <w:right w:val="nil"/>
            </w:tcBorders>
            <w:shd w:val="clear" w:color="auto" w:fill="FFFFFF"/>
            <w:noWrap/>
            <w:vAlign w:val="center"/>
          </w:tcPr>
          <w:p w14:paraId="0D57037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3BD8EF7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-0.0015</w:t>
            </w:r>
          </w:p>
        </w:tc>
        <w:tc>
          <w:tcPr>
            <w:tcW w:w="618" w:type="pct"/>
            <w:tcBorders>
              <w:top w:val="nil"/>
              <w:left w:val="nil"/>
              <w:bottom w:val="nil"/>
              <w:right w:val="nil"/>
            </w:tcBorders>
            <w:shd w:val="clear" w:color="auto" w:fill="FFFFFF"/>
            <w:noWrap/>
            <w:vAlign w:val="center"/>
          </w:tcPr>
          <w:p w14:paraId="2BEBF6C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-0.6553</w:t>
            </w:r>
          </w:p>
        </w:tc>
        <w:tc>
          <w:tcPr>
            <w:tcW w:w="552" w:type="pct"/>
            <w:tcBorders>
              <w:top w:val="nil"/>
              <w:left w:val="nil"/>
              <w:bottom w:val="nil"/>
              <w:right w:val="nil"/>
            </w:tcBorders>
            <w:shd w:val="clear" w:color="auto" w:fill="FFFFFF"/>
            <w:noWrap/>
            <w:vAlign w:val="center"/>
          </w:tcPr>
          <w:p w14:paraId="0822DE4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0.5123</w:t>
            </w:r>
          </w:p>
        </w:tc>
        <w:tc>
          <w:tcPr>
            <w:tcW w:w="552" w:type="pct"/>
            <w:tcBorders>
              <w:top w:val="nil"/>
              <w:left w:val="nil"/>
              <w:bottom w:val="nil"/>
              <w:right w:val="nil"/>
            </w:tcBorders>
            <w:shd w:val="clear" w:color="auto" w:fill="FFFFFF"/>
            <w:noWrap/>
            <w:vAlign w:val="center"/>
          </w:tcPr>
          <w:p w14:paraId="5D4C42D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0.8673</w:t>
            </w:r>
          </w:p>
        </w:tc>
        <w:tc>
          <w:tcPr>
            <w:tcW w:w="552" w:type="pct"/>
            <w:tcBorders>
              <w:top w:val="nil"/>
              <w:left w:val="nil"/>
              <w:bottom w:val="nil"/>
              <w:right w:val="nil"/>
            </w:tcBorders>
            <w:shd w:val="clear" w:color="auto" w:fill="FFFFFF"/>
            <w:noWrap/>
            <w:vAlign w:val="center"/>
          </w:tcPr>
          <w:p w14:paraId="661C09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0.8535</w:t>
            </w:r>
          </w:p>
        </w:tc>
      </w:tr>
      <w:tr w14:paraId="7105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6B641AA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Ridge_train</w:t>
            </w:r>
          </w:p>
        </w:tc>
        <w:tc>
          <w:tcPr>
            <w:tcW w:w="684" w:type="pct"/>
            <w:tcBorders>
              <w:top w:val="nil"/>
              <w:left w:val="nil"/>
              <w:bottom w:val="nil"/>
              <w:right w:val="nil"/>
            </w:tcBorders>
            <w:shd w:val="clear" w:color="auto" w:fill="FFFFFF"/>
            <w:noWrap/>
            <w:vAlign w:val="center"/>
          </w:tcPr>
          <w:p w14:paraId="5A2099E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2BE326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0.0019</w:t>
            </w:r>
          </w:p>
        </w:tc>
        <w:tc>
          <w:tcPr>
            <w:tcW w:w="618" w:type="pct"/>
            <w:tcBorders>
              <w:top w:val="nil"/>
              <w:left w:val="nil"/>
              <w:bottom w:val="nil"/>
              <w:right w:val="nil"/>
            </w:tcBorders>
            <w:shd w:val="clear" w:color="auto" w:fill="FFFFFF"/>
            <w:noWrap/>
            <w:vAlign w:val="center"/>
          </w:tcPr>
          <w:p w14:paraId="1B7D2ED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0.7798</w:t>
            </w:r>
          </w:p>
        </w:tc>
        <w:tc>
          <w:tcPr>
            <w:tcW w:w="552" w:type="pct"/>
            <w:tcBorders>
              <w:top w:val="nil"/>
              <w:left w:val="nil"/>
              <w:bottom w:val="nil"/>
              <w:right w:val="nil"/>
            </w:tcBorders>
            <w:shd w:val="clear" w:color="auto" w:fill="FFFFFF"/>
            <w:noWrap/>
            <w:vAlign w:val="center"/>
          </w:tcPr>
          <w:p w14:paraId="4076240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0.4355</w:t>
            </w:r>
          </w:p>
        </w:tc>
        <w:tc>
          <w:tcPr>
            <w:tcW w:w="552" w:type="pct"/>
            <w:tcBorders>
              <w:top w:val="nil"/>
              <w:left w:val="nil"/>
              <w:bottom w:val="nil"/>
              <w:right w:val="nil"/>
            </w:tcBorders>
            <w:shd w:val="clear" w:color="auto" w:fill="FFFFFF"/>
            <w:noWrap/>
            <w:vAlign w:val="center"/>
          </w:tcPr>
          <w:p w14:paraId="5B7CE9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0.8625</w:t>
            </w:r>
          </w:p>
        </w:tc>
        <w:tc>
          <w:tcPr>
            <w:tcW w:w="552" w:type="pct"/>
            <w:tcBorders>
              <w:top w:val="nil"/>
              <w:left w:val="nil"/>
              <w:bottom w:val="nil"/>
              <w:right w:val="nil"/>
            </w:tcBorders>
            <w:shd w:val="clear" w:color="auto" w:fill="FFFFFF"/>
            <w:noWrap/>
            <w:vAlign w:val="center"/>
          </w:tcPr>
          <w:p w14:paraId="5D6154F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0.8481</w:t>
            </w:r>
          </w:p>
        </w:tc>
      </w:tr>
      <w:tr w14:paraId="786D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424EE03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Ridge_train</w:t>
            </w:r>
          </w:p>
        </w:tc>
        <w:tc>
          <w:tcPr>
            <w:tcW w:w="684" w:type="pct"/>
            <w:tcBorders>
              <w:top w:val="nil"/>
              <w:left w:val="nil"/>
              <w:bottom w:val="nil"/>
              <w:right w:val="nil"/>
            </w:tcBorders>
            <w:shd w:val="clear" w:color="auto" w:fill="FFFFFF"/>
            <w:noWrap/>
            <w:vAlign w:val="center"/>
          </w:tcPr>
          <w:p w14:paraId="6500975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416329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0.0041</w:t>
            </w:r>
          </w:p>
        </w:tc>
        <w:tc>
          <w:tcPr>
            <w:tcW w:w="618" w:type="pct"/>
            <w:tcBorders>
              <w:top w:val="nil"/>
              <w:left w:val="nil"/>
              <w:bottom w:val="nil"/>
              <w:right w:val="nil"/>
            </w:tcBorders>
            <w:shd w:val="clear" w:color="auto" w:fill="FFFFFF"/>
            <w:noWrap/>
            <w:vAlign w:val="center"/>
          </w:tcPr>
          <w:p w14:paraId="3DE8D46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1.4349</w:t>
            </w:r>
          </w:p>
        </w:tc>
        <w:tc>
          <w:tcPr>
            <w:tcW w:w="552" w:type="pct"/>
            <w:tcBorders>
              <w:top w:val="nil"/>
              <w:left w:val="nil"/>
              <w:bottom w:val="nil"/>
              <w:right w:val="nil"/>
            </w:tcBorders>
            <w:shd w:val="clear" w:color="auto" w:fill="FFFFFF"/>
            <w:noWrap/>
            <w:vAlign w:val="center"/>
          </w:tcPr>
          <w:p w14:paraId="3DC568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0.1513</w:t>
            </w:r>
          </w:p>
        </w:tc>
        <w:tc>
          <w:tcPr>
            <w:tcW w:w="552" w:type="pct"/>
            <w:tcBorders>
              <w:top w:val="nil"/>
              <w:left w:val="nil"/>
              <w:bottom w:val="nil"/>
              <w:right w:val="nil"/>
            </w:tcBorders>
            <w:shd w:val="clear" w:color="auto" w:fill="FFFFFF"/>
            <w:noWrap/>
            <w:vAlign w:val="center"/>
          </w:tcPr>
          <w:p w14:paraId="738DCE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0.8601</w:t>
            </w:r>
          </w:p>
        </w:tc>
        <w:tc>
          <w:tcPr>
            <w:tcW w:w="552" w:type="pct"/>
            <w:tcBorders>
              <w:top w:val="nil"/>
              <w:left w:val="nil"/>
              <w:bottom w:val="nil"/>
              <w:right w:val="nil"/>
            </w:tcBorders>
            <w:shd w:val="clear" w:color="auto" w:fill="FFFFFF"/>
            <w:noWrap/>
            <w:vAlign w:val="center"/>
          </w:tcPr>
          <w:p w14:paraId="51F43C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0.8455</w:t>
            </w:r>
          </w:p>
        </w:tc>
      </w:tr>
      <w:tr w14:paraId="10E00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5C97B3B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Ridge_train</w:t>
            </w:r>
          </w:p>
        </w:tc>
        <w:tc>
          <w:tcPr>
            <w:tcW w:w="684" w:type="pct"/>
            <w:tcBorders>
              <w:top w:val="nil"/>
              <w:left w:val="nil"/>
              <w:bottom w:val="nil"/>
              <w:right w:val="nil"/>
            </w:tcBorders>
            <w:shd w:val="clear" w:color="auto" w:fill="FFFFFF"/>
            <w:noWrap/>
            <w:vAlign w:val="center"/>
          </w:tcPr>
          <w:p w14:paraId="4F936B9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nil"/>
              <w:right w:val="nil"/>
            </w:tcBorders>
            <w:shd w:val="clear" w:color="auto" w:fill="FFFFFF"/>
            <w:noWrap/>
            <w:vAlign w:val="center"/>
          </w:tcPr>
          <w:p w14:paraId="0FF12F8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0.0043</w:t>
            </w:r>
          </w:p>
        </w:tc>
        <w:tc>
          <w:tcPr>
            <w:tcW w:w="618" w:type="pct"/>
            <w:tcBorders>
              <w:top w:val="nil"/>
              <w:left w:val="nil"/>
              <w:bottom w:val="nil"/>
              <w:right w:val="nil"/>
            </w:tcBorders>
            <w:shd w:val="clear" w:color="auto" w:fill="FFFFFF"/>
            <w:noWrap/>
            <w:vAlign w:val="center"/>
          </w:tcPr>
          <w:p w14:paraId="054DCF6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1.7046</w:t>
            </w:r>
          </w:p>
        </w:tc>
        <w:tc>
          <w:tcPr>
            <w:tcW w:w="552" w:type="pct"/>
            <w:tcBorders>
              <w:top w:val="nil"/>
              <w:left w:val="nil"/>
              <w:bottom w:val="nil"/>
              <w:right w:val="nil"/>
            </w:tcBorders>
            <w:shd w:val="clear" w:color="auto" w:fill="FFFFFF"/>
            <w:noWrap/>
            <w:vAlign w:val="center"/>
          </w:tcPr>
          <w:p w14:paraId="4922D7B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0.0883</w:t>
            </w:r>
          </w:p>
        </w:tc>
        <w:tc>
          <w:tcPr>
            <w:tcW w:w="552" w:type="pct"/>
            <w:tcBorders>
              <w:top w:val="nil"/>
              <w:left w:val="nil"/>
              <w:bottom w:val="nil"/>
              <w:right w:val="nil"/>
            </w:tcBorders>
            <w:shd w:val="clear" w:color="auto" w:fill="FFFFFF"/>
            <w:noWrap/>
            <w:vAlign w:val="center"/>
          </w:tcPr>
          <w:p w14:paraId="182BCC7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0.8625</w:t>
            </w:r>
          </w:p>
        </w:tc>
        <w:tc>
          <w:tcPr>
            <w:tcW w:w="552" w:type="pct"/>
            <w:tcBorders>
              <w:top w:val="nil"/>
              <w:left w:val="nil"/>
              <w:bottom w:val="nil"/>
              <w:right w:val="nil"/>
            </w:tcBorders>
            <w:shd w:val="clear" w:color="auto" w:fill="FFFFFF"/>
            <w:noWrap/>
            <w:vAlign w:val="center"/>
          </w:tcPr>
          <w:p w14:paraId="2BD7648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0.8482</w:t>
            </w:r>
          </w:p>
        </w:tc>
      </w:tr>
      <w:tr w14:paraId="2C166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3BD5BF5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Ridge_test</w:t>
            </w:r>
          </w:p>
        </w:tc>
        <w:tc>
          <w:tcPr>
            <w:tcW w:w="684" w:type="pct"/>
            <w:tcBorders>
              <w:top w:val="nil"/>
              <w:left w:val="nil"/>
              <w:bottom w:val="nil"/>
              <w:right w:val="nil"/>
            </w:tcBorders>
            <w:shd w:val="clear" w:color="auto" w:fill="FFFFFF"/>
            <w:noWrap/>
            <w:vAlign w:val="center"/>
          </w:tcPr>
          <w:p w14:paraId="2942BFE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Group_1</w:t>
            </w:r>
          </w:p>
        </w:tc>
        <w:tc>
          <w:tcPr>
            <w:tcW w:w="618" w:type="pct"/>
            <w:tcBorders>
              <w:top w:val="nil"/>
              <w:left w:val="nil"/>
              <w:bottom w:val="nil"/>
              <w:right w:val="nil"/>
            </w:tcBorders>
            <w:shd w:val="clear" w:color="auto" w:fill="FFFFFF"/>
            <w:noWrap/>
            <w:vAlign w:val="center"/>
          </w:tcPr>
          <w:p w14:paraId="703C1FC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-0.0073</w:t>
            </w:r>
          </w:p>
        </w:tc>
        <w:tc>
          <w:tcPr>
            <w:tcW w:w="618" w:type="pct"/>
            <w:tcBorders>
              <w:top w:val="nil"/>
              <w:left w:val="nil"/>
              <w:bottom w:val="nil"/>
              <w:right w:val="nil"/>
            </w:tcBorders>
            <w:shd w:val="clear" w:color="auto" w:fill="FFFFFF"/>
            <w:noWrap/>
            <w:vAlign w:val="center"/>
          </w:tcPr>
          <w:p w14:paraId="1A5A9D2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-1.2381</w:t>
            </w:r>
          </w:p>
        </w:tc>
        <w:tc>
          <w:tcPr>
            <w:tcW w:w="552" w:type="pct"/>
            <w:tcBorders>
              <w:top w:val="nil"/>
              <w:left w:val="nil"/>
              <w:bottom w:val="nil"/>
              <w:right w:val="nil"/>
            </w:tcBorders>
            <w:shd w:val="clear" w:color="auto" w:fill="FFFFFF"/>
            <w:noWrap/>
            <w:vAlign w:val="center"/>
          </w:tcPr>
          <w:p w14:paraId="5259425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0.2157</w:t>
            </w:r>
          </w:p>
        </w:tc>
        <w:tc>
          <w:tcPr>
            <w:tcW w:w="552" w:type="pct"/>
            <w:tcBorders>
              <w:top w:val="nil"/>
              <w:left w:val="nil"/>
              <w:bottom w:val="nil"/>
              <w:right w:val="nil"/>
            </w:tcBorders>
            <w:shd w:val="clear" w:color="auto" w:fill="FFFFFF"/>
            <w:noWrap/>
            <w:vAlign w:val="center"/>
          </w:tcPr>
          <w:p w14:paraId="600D23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0.8782</w:t>
            </w:r>
          </w:p>
        </w:tc>
        <w:tc>
          <w:tcPr>
            <w:tcW w:w="552" w:type="pct"/>
            <w:tcBorders>
              <w:top w:val="nil"/>
              <w:left w:val="nil"/>
              <w:bottom w:val="nil"/>
              <w:right w:val="nil"/>
            </w:tcBorders>
            <w:shd w:val="clear" w:color="auto" w:fill="FFFFFF"/>
            <w:noWrap/>
            <w:vAlign w:val="center"/>
          </w:tcPr>
          <w:p w14:paraId="0091581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0.8557</w:t>
            </w:r>
          </w:p>
        </w:tc>
      </w:tr>
      <w:tr w14:paraId="0E10C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6F52670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Ridge_test</w:t>
            </w:r>
          </w:p>
        </w:tc>
        <w:tc>
          <w:tcPr>
            <w:tcW w:w="684" w:type="pct"/>
            <w:tcBorders>
              <w:top w:val="nil"/>
              <w:left w:val="nil"/>
              <w:bottom w:val="nil"/>
              <w:right w:val="nil"/>
            </w:tcBorders>
            <w:shd w:val="clear" w:color="auto" w:fill="FFFFFF"/>
            <w:noWrap/>
            <w:vAlign w:val="center"/>
          </w:tcPr>
          <w:p w14:paraId="5E3F2B3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Group_2</w:t>
            </w:r>
          </w:p>
        </w:tc>
        <w:tc>
          <w:tcPr>
            <w:tcW w:w="618" w:type="pct"/>
            <w:tcBorders>
              <w:top w:val="nil"/>
              <w:left w:val="nil"/>
              <w:bottom w:val="nil"/>
              <w:right w:val="nil"/>
            </w:tcBorders>
            <w:shd w:val="clear" w:color="auto" w:fill="FFFFFF"/>
            <w:noWrap/>
            <w:vAlign w:val="center"/>
          </w:tcPr>
          <w:p w14:paraId="259D096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-0.0036</w:t>
            </w:r>
          </w:p>
        </w:tc>
        <w:tc>
          <w:tcPr>
            <w:tcW w:w="618" w:type="pct"/>
            <w:tcBorders>
              <w:top w:val="nil"/>
              <w:left w:val="nil"/>
              <w:bottom w:val="nil"/>
              <w:right w:val="nil"/>
            </w:tcBorders>
            <w:shd w:val="clear" w:color="auto" w:fill="FFFFFF"/>
            <w:noWrap/>
            <w:vAlign w:val="center"/>
          </w:tcPr>
          <w:p w14:paraId="0211A27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-0.7408</w:t>
            </w:r>
          </w:p>
        </w:tc>
        <w:tc>
          <w:tcPr>
            <w:tcW w:w="552" w:type="pct"/>
            <w:tcBorders>
              <w:top w:val="nil"/>
              <w:left w:val="nil"/>
              <w:bottom w:val="nil"/>
              <w:right w:val="nil"/>
            </w:tcBorders>
            <w:shd w:val="clear" w:color="auto" w:fill="FFFFFF"/>
            <w:noWrap/>
            <w:vAlign w:val="center"/>
          </w:tcPr>
          <w:p w14:paraId="71334E7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0.4588</w:t>
            </w:r>
          </w:p>
        </w:tc>
        <w:tc>
          <w:tcPr>
            <w:tcW w:w="552" w:type="pct"/>
            <w:tcBorders>
              <w:top w:val="nil"/>
              <w:left w:val="nil"/>
              <w:bottom w:val="nil"/>
              <w:right w:val="nil"/>
            </w:tcBorders>
            <w:shd w:val="clear" w:color="auto" w:fill="FFFFFF"/>
            <w:noWrap/>
            <w:vAlign w:val="center"/>
          </w:tcPr>
          <w:p w14:paraId="449E6F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0.9025</w:t>
            </w:r>
          </w:p>
        </w:tc>
        <w:tc>
          <w:tcPr>
            <w:tcW w:w="552" w:type="pct"/>
            <w:tcBorders>
              <w:top w:val="nil"/>
              <w:left w:val="nil"/>
              <w:bottom w:val="nil"/>
              <w:right w:val="nil"/>
            </w:tcBorders>
            <w:shd w:val="clear" w:color="auto" w:fill="FFFFFF"/>
            <w:noWrap/>
            <w:vAlign w:val="center"/>
          </w:tcPr>
          <w:p w14:paraId="6E2EE8A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0.8844</w:t>
            </w:r>
          </w:p>
        </w:tc>
      </w:tr>
      <w:tr w14:paraId="765E3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1C513DE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Ridge_test</w:t>
            </w:r>
          </w:p>
        </w:tc>
        <w:tc>
          <w:tcPr>
            <w:tcW w:w="684" w:type="pct"/>
            <w:tcBorders>
              <w:top w:val="nil"/>
              <w:left w:val="nil"/>
              <w:bottom w:val="nil"/>
              <w:right w:val="nil"/>
            </w:tcBorders>
            <w:shd w:val="clear" w:color="auto" w:fill="FFFFFF"/>
            <w:noWrap/>
            <w:vAlign w:val="center"/>
          </w:tcPr>
          <w:p w14:paraId="4C1F76E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Group_3</w:t>
            </w:r>
          </w:p>
        </w:tc>
        <w:tc>
          <w:tcPr>
            <w:tcW w:w="618" w:type="pct"/>
            <w:tcBorders>
              <w:top w:val="nil"/>
              <w:left w:val="nil"/>
              <w:bottom w:val="nil"/>
              <w:right w:val="nil"/>
            </w:tcBorders>
            <w:shd w:val="clear" w:color="auto" w:fill="FFFFFF"/>
            <w:noWrap/>
            <w:vAlign w:val="center"/>
          </w:tcPr>
          <w:p w14:paraId="2FD07E9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-0.0039</w:t>
            </w:r>
          </w:p>
        </w:tc>
        <w:tc>
          <w:tcPr>
            <w:tcW w:w="618" w:type="pct"/>
            <w:tcBorders>
              <w:top w:val="nil"/>
              <w:left w:val="nil"/>
              <w:bottom w:val="nil"/>
              <w:right w:val="nil"/>
            </w:tcBorders>
            <w:shd w:val="clear" w:color="auto" w:fill="FFFFFF"/>
            <w:noWrap/>
            <w:vAlign w:val="center"/>
          </w:tcPr>
          <w:p w14:paraId="16FDA17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-0.7396</w:t>
            </w:r>
          </w:p>
        </w:tc>
        <w:tc>
          <w:tcPr>
            <w:tcW w:w="552" w:type="pct"/>
            <w:tcBorders>
              <w:top w:val="nil"/>
              <w:left w:val="nil"/>
              <w:bottom w:val="nil"/>
              <w:right w:val="nil"/>
            </w:tcBorders>
            <w:shd w:val="clear" w:color="auto" w:fill="FFFFFF"/>
            <w:noWrap/>
            <w:vAlign w:val="center"/>
          </w:tcPr>
          <w:p w14:paraId="40AC988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0.4596</w:t>
            </w:r>
          </w:p>
        </w:tc>
        <w:tc>
          <w:tcPr>
            <w:tcW w:w="552" w:type="pct"/>
            <w:tcBorders>
              <w:top w:val="nil"/>
              <w:left w:val="nil"/>
              <w:bottom w:val="nil"/>
              <w:right w:val="nil"/>
            </w:tcBorders>
            <w:shd w:val="clear" w:color="auto" w:fill="FFFFFF"/>
            <w:noWrap/>
            <w:vAlign w:val="center"/>
          </w:tcPr>
          <w:p w14:paraId="1D97DE3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0.8884</w:t>
            </w:r>
          </w:p>
        </w:tc>
        <w:tc>
          <w:tcPr>
            <w:tcW w:w="552" w:type="pct"/>
            <w:tcBorders>
              <w:top w:val="nil"/>
              <w:left w:val="nil"/>
              <w:bottom w:val="nil"/>
              <w:right w:val="nil"/>
            </w:tcBorders>
            <w:shd w:val="clear" w:color="auto" w:fill="FFFFFF"/>
            <w:noWrap/>
            <w:vAlign w:val="center"/>
          </w:tcPr>
          <w:p w14:paraId="6F32A11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0.8678</w:t>
            </w:r>
          </w:p>
        </w:tc>
      </w:tr>
      <w:tr w14:paraId="2BF63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419" w:type="pct"/>
            <w:tcBorders>
              <w:top w:val="nil"/>
              <w:left w:val="nil"/>
              <w:bottom w:val="nil"/>
              <w:right w:val="nil"/>
            </w:tcBorders>
            <w:shd w:val="clear" w:color="auto" w:fill="FFFFFF"/>
            <w:noWrap/>
            <w:vAlign w:val="center"/>
          </w:tcPr>
          <w:p w14:paraId="17C99A1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Ridge_test</w:t>
            </w:r>
          </w:p>
        </w:tc>
        <w:tc>
          <w:tcPr>
            <w:tcW w:w="684" w:type="pct"/>
            <w:tcBorders>
              <w:top w:val="nil"/>
              <w:left w:val="nil"/>
              <w:bottom w:val="nil"/>
              <w:right w:val="nil"/>
            </w:tcBorders>
            <w:shd w:val="clear" w:color="auto" w:fill="FFFFFF"/>
            <w:noWrap/>
            <w:vAlign w:val="center"/>
          </w:tcPr>
          <w:p w14:paraId="2A08FBF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Group_4</w:t>
            </w:r>
          </w:p>
        </w:tc>
        <w:tc>
          <w:tcPr>
            <w:tcW w:w="618" w:type="pct"/>
            <w:tcBorders>
              <w:top w:val="nil"/>
              <w:left w:val="nil"/>
              <w:bottom w:val="nil"/>
              <w:right w:val="nil"/>
            </w:tcBorders>
            <w:shd w:val="clear" w:color="auto" w:fill="FFFFFF"/>
            <w:noWrap/>
            <w:vAlign w:val="center"/>
          </w:tcPr>
          <w:p w14:paraId="784E119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-0.0028</w:t>
            </w:r>
          </w:p>
        </w:tc>
        <w:tc>
          <w:tcPr>
            <w:tcW w:w="618" w:type="pct"/>
            <w:tcBorders>
              <w:top w:val="nil"/>
              <w:left w:val="nil"/>
              <w:bottom w:val="nil"/>
              <w:right w:val="nil"/>
            </w:tcBorders>
            <w:shd w:val="clear" w:color="auto" w:fill="FFFFFF"/>
            <w:noWrap/>
            <w:vAlign w:val="center"/>
          </w:tcPr>
          <w:p w14:paraId="0449AA8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-0.5387</w:t>
            </w:r>
          </w:p>
        </w:tc>
        <w:tc>
          <w:tcPr>
            <w:tcW w:w="552" w:type="pct"/>
            <w:tcBorders>
              <w:top w:val="nil"/>
              <w:left w:val="nil"/>
              <w:bottom w:val="nil"/>
              <w:right w:val="nil"/>
            </w:tcBorders>
            <w:shd w:val="clear" w:color="auto" w:fill="FFFFFF"/>
            <w:noWrap/>
            <w:vAlign w:val="center"/>
          </w:tcPr>
          <w:p w14:paraId="2C2B0FE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0.5901</w:t>
            </w:r>
          </w:p>
        </w:tc>
        <w:tc>
          <w:tcPr>
            <w:tcW w:w="552" w:type="pct"/>
            <w:tcBorders>
              <w:top w:val="nil"/>
              <w:left w:val="nil"/>
              <w:bottom w:val="nil"/>
              <w:right w:val="nil"/>
            </w:tcBorders>
            <w:shd w:val="clear" w:color="auto" w:fill="FFFFFF"/>
            <w:noWrap/>
            <w:vAlign w:val="center"/>
          </w:tcPr>
          <w:p w14:paraId="23F8BA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0.8951</w:t>
            </w:r>
          </w:p>
        </w:tc>
        <w:tc>
          <w:tcPr>
            <w:tcW w:w="552" w:type="pct"/>
            <w:tcBorders>
              <w:top w:val="nil"/>
              <w:left w:val="nil"/>
              <w:bottom w:val="nil"/>
              <w:right w:val="nil"/>
            </w:tcBorders>
            <w:shd w:val="clear" w:color="auto" w:fill="FFFFFF"/>
            <w:noWrap/>
            <w:vAlign w:val="center"/>
          </w:tcPr>
          <w:p w14:paraId="420A67F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0.8757</w:t>
            </w:r>
          </w:p>
        </w:tc>
      </w:tr>
      <w:tr w14:paraId="48929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jc w:val="center"/>
        </w:trPr>
        <w:tc>
          <w:tcPr>
            <w:tcW w:w="1419" w:type="pct"/>
            <w:tcBorders>
              <w:top w:val="nil"/>
              <w:left w:val="nil"/>
              <w:bottom w:val="single" w:color="000000" w:sz="12" w:space="0"/>
              <w:right w:val="nil"/>
            </w:tcBorders>
            <w:shd w:val="clear" w:color="auto" w:fill="FFFFFF"/>
            <w:noWrap/>
            <w:vAlign w:val="center"/>
          </w:tcPr>
          <w:p w14:paraId="6F88C03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Ridge_test</w:t>
            </w:r>
          </w:p>
        </w:tc>
        <w:tc>
          <w:tcPr>
            <w:tcW w:w="684" w:type="pct"/>
            <w:tcBorders>
              <w:top w:val="nil"/>
              <w:left w:val="nil"/>
              <w:bottom w:val="single" w:color="000000" w:sz="12" w:space="0"/>
              <w:right w:val="nil"/>
            </w:tcBorders>
            <w:shd w:val="clear" w:color="auto" w:fill="FFFFFF"/>
            <w:noWrap/>
            <w:vAlign w:val="center"/>
          </w:tcPr>
          <w:p w14:paraId="63D7EF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Group_5</w:t>
            </w:r>
          </w:p>
        </w:tc>
        <w:tc>
          <w:tcPr>
            <w:tcW w:w="618" w:type="pct"/>
            <w:tcBorders>
              <w:top w:val="nil"/>
              <w:left w:val="nil"/>
              <w:bottom w:val="single" w:color="000000" w:sz="12" w:space="0"/>
              <w:right w:val="nil"/>
            </w:tcBorders>
            <w:shd w:val="clear" w:color="auto" w:fill="FFFFFF"/>
            <w:noWrap/>
            <w:vAlign w:val="center"/>
          </w:tcPr>
          <w:p w14:paraId="2737ADB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-0.0025</w:t>
            </w:r>
          </w:p>
        </w:tc>
        <w:tc>
          <w:tcPr>
            <w:tcW w:w="618" w:type="pct"/>
            <w:tcBorders>
              <w:top w:val="nil"/>
              <w:left w:val="nil"/>
              <w:bottom w:val="single" w:color="000000" w:sz="12" w:space="0"/>
              <w:right w:val="nil"/>
            </w:tcBorders>
            <w:shd w:val="clear" w:color="auto" w:fill="FFFFFF"/>
            <w:noWrap/>
            <w:vAlign w:val="center"/>
          </w:tcPr>
          <w:p w14:paraId="4CDDECC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-0.4226</w:t>
            </w:r>
          </w:p>
        </w:tc>
        <w:tc>
          <w:tcPr>
            <w:tcW w:w="552" w:type="pct"/>
            <w:tcBorders>
              <w:top w:val="nil"/>
              <w:left w:val="nil"/>
              <w:bottom w:val="single" w:color="000000" w:sz="12" w:space="0"/>
              <w:right w:val="nil"/>
            </w:tcBorders>
            <w:shd w:val="clear" w:color="auto" w:fill="FFFFFF"/>
            <w:noWrap/>
            <w:vAlign w:val="center"/>
          </w:tcPr>
          <w:p w14:paraId="1B7D62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0.6726</w:t>
            </w:r>
          </w:p>
        </w:tc>
        <w:tc>
          <w:tcPr>
            <w:tcW w:w="552" w:type="pct"/>
            <w:tcBorders>
              <w:top w:val="nil"/>
              <w:left w:val="nil"/>
              <w:bottom w:val="single" w:color="000000" w:sz="12" w:space="0"/>
              <w:right w:val="nil"/>
            </w:tcBorders>
            <w:shd w:val="clear" w:color="auto" w:fill="FFFFFF"/>
            <w:noWrap/>
            <w:vAlign w:val="center"/>
          </w:tcPr>
          <w:p w14:paraId="69256EB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0.8828</w:t>
            </w:r>
          </w:p>
        </w:tc>
        <w:tc>
          <w:tcPr>
            <w:tcW w:w="552" w:type="pct"/>
            <w:tcBorders>
              <w:top w:val="nil"/>
              <w:left w:val="nil"/>
              <w:bottom w:val="single" w:color="000000" w:sz="12" w:space="0"/>
              <w:right w:val="nil"/>
            </w:tcBorders>
            <w:shd w:val="clear" w:color="auto" w:fill="FFFFFF"/>
            <w:noWrap/>
            <w:vAlign w:val="center"/>
          </w:tcPr>
          <w:p w14:paraId="663975C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0.8611</w:t>
            </w:r>
          </w:p>
        </w:tc>
      </w:tr>
    </w:tbl>
    <w:p w14:paraId="673D456A">
      <w:pPr>
        <w:jc w:val="center"/>
        <w:rPr>
          <w:rFonts w:hint="default" w:ascii="Times New Roman" w:hAnsi="Times New Roman" w:cs="Times New Roman"/>
        </w:rPr>
      </w:pPr>
    </w:p>
    <w:p w14:paraId="6639BE2C">
      <w:pPr>
        <w:ind w:firstLine="420"/>
        <w:rPr>
          <w:rFonts w:hint="default" w:ascii="Times New Roman" w:hAnsi="Times New Roman" w:cs="Times New Roman"/>
        </w:rPr>
      </w:pPr>
      <w:r>
        <w:rPr>
          <w:rFonts w:hint="default" w:ascii="Times New Roman" w:hAnsi="Times New Roman" w:cs="Times New Roman"/>
        </w:rPr>
        <w:t>各分层组合的R²均大于0.8，说明这些投资组合超过80%的收益率波动可以被FF5因子模型中的五个系统性风险因子的共同变动所解释。</w:t>
      </w:r>
    </w:p>
    <w:p w14:paraId="504191E6">
      <w:pPr>
        <w:ind w:firstLine="420"/>
        <w:rPr>
          <w:rFonts w:hint="default" w:ascii="Times New Roman" w:hAnsi="Times New Roman" w:cs="Times New Roman"/>
        </w:rPr>
      </w:pPr>
      <w:r>
        <w:rPr>
          <w:rFonts w:hint="default" w:ascii="Times New Roman" w:hAnsi="Times New Roman" w:cs="Times New Roman"/>
        </w:rPr>
        <w:t>通过做多第5组同时做空第1组所构建的多空组合，其R²值在训练期和测试期显著偏低。这说明该组合的收益率模式与FF5模型中五个因子的协同运动关联度较弱。</w:t>
      </w:r>
    </w:p>
    <w:p w14:paraId="21A10E22">
      <w:pPr>
        <w:ind w:firstLine="420"/>
        <w:rPr>
          <w:rFonts w:hint="default" w:ascii="Times New Roman" w:hAnsi="Times New Roman" w:cs="Times New Roman"/>
        </w:rPr>
      </w:pPr>
      <w:r>
        <w:rPr>
          <w:rFonts w:hint="default" w:ascii="Times New Roman" w:hAnsi="Times New Roman" w:cs="Times New Roman"/>
        </w:rPr>
        <w:t>在Alpha方面，多空组合在训练期的Alpha值及其t统计量均显著为正且高于分层组合，这表明该策略在样本内能产生显著的经风险调整后异常收益，即存在明显的因子溢价。然而，在测试期，其Alpha值与t统计量均大幅下降且不再统计显著。</w:t>
      </w:r>
    </w:p>
    <w:p w14:paraId="57FC8E2A">
      <w:pPr>
        <w:ind w:firstLine="420"/>
        <w:rPr>
          <w:rFonts w:hint="default" w:ascii="Times New Roman" w:hAnsi="Times New Roman" w:cs="Times New Roman"/>
        </w:rPr>
      </w:pPr>
      <w:r>
        <w:rPr>
          <w:rFonts w:hint="default" w:ascii="Times New Roman" w:hAnsi="Times New Roman" w:cs="Times New Roman"/>
        </w:rPr>
        <w:t>下图给出不同选股策略在不同时期下，每个组合收益来源的分解。更加直观地呈现了回归结果包含的信息：</w:t>
      </w:r>
    </w:p>
    <w:p w14:paraId="4DD5B6D8">
      <w:pPr>
        <w:ind w:firstLine="420"/>
        <w:rPr>
          <w:rFonts w:hint="default" w:ascii="Times New Roman" w:hAnsi="Times New Roman" w:cs="Times New Roman"/>
        </w:rPr>
      </w:pPr>
      <w:r>
        <w:rPr>
          <w:rFonts w:hint="default" w:ascii="Times New Roman" w:hAnsi="Times New Roman" w:cs="Times New Roman"/>
        </w:rPr>
        <w:drawing>
          <wp:inline distT="0" distB="0" distL="0" distR="0">
            <wp:extent cx="5274310" cy="2637155"/>
            <wp:effectExtent l="0" t="0" r="2540" b="0"/>
            <wp:docPr id="349612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12040"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637155"/>
                    </a:xfrm>
                    <a:prstGeom prst="rect">
                      <a:avLst/>
                    </a:prstGeom>
                    <a:noFill/>
                    <a:ln>
                      <a:noFill/>
                    </a:ln>
                  </pic:spPr>
                </pic:pic>
              </a:graphicData>
            </a:graphic>
          </wp:inline>
        </w:drawing>
      </w:r>
    </w:p>
    <w:p w14:paraId="18189FEF">
      <w:pPr>
        <w:ind w:firstLine="420"/>
        <w:rPr>
          <w:rFonts w:hint="default" w:ascii="Times New Roman" w:hAnsi="Times New Roman" w:cs="Times New Roman"/>
        </w:rPr>
      </w:pPr>
      <w:r>
        <w:rPr>
          <w:rFonts w:hint="default" w:ascii="Times New Roman" w:hAnsi="Times New Roman" w:cs="Times New Roman"/>
        </w:rPr>
        <w:t>从图中可以看出，分层组合的收益率主要受市场和规模因子影响。表现最差的Group1受显著的负alpha拖累，导致其最终收益率明显低于其他组合，符合累计收益曲线中的形态。</w:t>
      </w:r>
    </w:p>
    <w:p w14:paraId="5C2B75CA">
      <w:pPr>
        <w:ind w:firstLine="420"/>
        <w:rPr>
          <w:rFonts w:hint="default" w:ascii="Times New Roman" w:hAnsi="Times New Roman" w:cs="Times New Roman"/>
        </w:rPr>
      </w:pPr>
      <w:r>
        <w:rPr>
          <w:rFonts w:hint="default" w:ascii="Times New Roman" w:hAnsi="Times New Roman" w:cs="Times New Roman"/>
        </w:rPr>
        <w:t>Group3-5在训练期能取得正alpha，但在测试期难以维持，说明这些组合在样本内表现出的选股能力或模型未捕捉的定价异象，在样本外并不稳定，说明</w:t>
      </w:r>
      <w:r>
        <w:rPr>
          <w:rFonts w:hint="default" w:ascii="Times New Roman" w:hAnsi="Times New Roman" w:cs="Times New Roman"/>
        </w:rPr>
        <w:t>这些组合在样本内表现出的 alpha 可能包含了数据挖掘偏差或过度拟合的成分，而非稳健的定价异象。</w:t>
      </w:r>
    </w:p>
    <w:p w14:paraId="15EE5975">
      <w:pPr>
        <w:ind w:firstLine="420"/>
        <w:rPr>
          <w:rFonts w:hint="default" w:ascii="Times New Roman" w:hAnsi="Times New Roman" w:cs="Times New Roman"/>
        </w:rPr>
      </w:pPr>
      <w:r>
        <w:rPr>
          <w:rFonts w:hint="default" w:ascii="Times New Roman" w:hAnsi="Times New Roman" w:cs="Times New Roman"/>
        </w:rPr>
        <w:t>多空组合在训练期的收益主要来自于正向的alpha，而其他因子的贡献很小。这一结果符合理论预期：该组合在构建时已通过双向头寸对冲掉了大部分共同因子风险（特别是市场风险），使其成为一个近似于“纯”目标因子的投资组合，其收益应主要驱动来源是目标因子本身的溢价，而非FF5模型所代表的广泛系统性风险。</w:t>
      </w:r>
    </w:p>
    <w:p w14:paraId="444B0E6D">
      <w:pPr>
        <w:ind w:firstLine="420"/>
        <w:rPr>
          <w:rFonts w:hint="default" w:ascii="Times New Roman" w:hAnsi="Times New Roman" w:cs="Times New Roman"/>
        </w:rPr>
      </w:pPr>
      <w:r>
        <w:rPr>
          <w:rFonts w:hint="default" w:ascii="Times New Roman" w:hAnsi="Times New Roman" w:cs="Times New Roman"/>
        </w:rPr>
        <w:t>然而alpha对多空组合在测试期的收益的贡献比例明显下降，可能是因为</w:t>
      </w:r>
      <w:r>
        <w:rPr>
          <w:rFonts w:hint="default" w:ascii="Times New Roman" w:hAnsi="Times New Roman" w:cs="Times New Roman"/>
        </w:rPr>
        <w:t>该因子在样本内被充分识别并广泛采用后，其风险溢价在样本外时期被套利交易部分压缩</w:t>
      </w:r>
      <w:r>
        <w:rPr>
          <w:rFonts w:hint="default" w:ascii="Times New Roman" w:hAnsi="Times New Roman" w:cs="Times New Roman"/>
        </w:rPr>
        <w:t>，或</w:t>
      </w:r>
      <w:r>
        <w:rPr>
          <w:rFonts w:hint="default" w:ascii="Times New Roman" w:hAnsi="Times New Roman" w:cs="Times New Roman"/>
        </w:rPr>
        <w:t>FF5模型在测试期对目标因子的定价能力发生变化，导致部分原本由alpha代表的收益被模型因子（如</w:t>
      </w:r>
      <w:r>
        <w:rPr>
          <w:rFonts w:hint="default" w:ascii="Times New Roman" w:hAnsi="Times New Roman" w:cs="Times New Roman"/>
        </w:rPr>
        <w:t>MKT</w:t>
      </w:r>
      <w:r>
        <w:rPr>
          <w:rFonts w:hint="default" w:ascii="Times New Roman" w:hAnsi="Times New Roman" w:cs="Times New Roman"/>
        </w:rPr>
        <w:t>或</w:t>
      </w:r>
      <w:r>
        <w:rPr>
          <w:rFonts w:hint="default" w:ascii="Times New Roman" w:hAnsi="Times New Roman" w:cs="Times New Roman"/>
        </w:rPr>
        <w:t>HML</w:t>
      </w:r>
      <w:r>
        <w:rPr>
          <w:rFonts w:hint="default" w:ascii="Times New Roman" w:hAnsi="Times New Roman" w:cs="Times New Roman"/>
        </w:rPr>
        <w:t>）所解释</w:t>
      </w:r>
      <w:r>
        <w:rPr>
          <w:rFonts w:hint="default" w:ascii="Times New Roman" w:hAnsi="Times New Roman" w:cs="Times New Roman"/>
        </w:rPr>
        <w:t>。</w:t>
      </w:r>
    </w:p>
    <w:p w14:paraId="3FEA87FE">
      <w:pPr>
        <w:ind w:firstLine="420"/>
        <w:rPr>
          <w:rFonts w:hint="default" w:ascii="Times New Roman" w:hAnsi="Times New Roman" w:cs="Times New Roman"/>
        </w:rPr>
      </w:pPr>
      <w:r>
        <w:rPr>
          <w:rFonts w:hint="default" w:ascii="Times New Roman" w:hAnsi="Times New Roman" w:cs="Times New Roman"/>
        </w:rPr>
        <w:drawing>
          <wp:inline distT="0" distB="0" distL="0" distR="0">
            <wp:extent cx="4046855" cy="3035300"/>
            <wp:effectExtent l="0" t="0" r="0" b="0"/>
            <wp:docPr id="21377006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0674" name="图片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098528" cy="3074145"/>
                    </a:xfrm>
                    <a:prstGeom prst="rect">
                      <a:avLst/>
                    </a:prstGeom>
                    <a:noFill/>
                    <a:ln>
                      <a:noFill/>
                    </a:ln>
                  </pic:spPr>
                </pic:pic>
              </a:graphicData>
            </a:graphic>
          </wp:inline>
        </w:drawing>
      </w:r>
    </w:p>
    <w:p w14:paraId="6023491A">
      <w:pPr>
        <w:ind w:firstLine="420"/>
        <w:rPr>
          <w:rFonts w:hint="default" w:ascii="Times New Roman" w:hAnsi="Times New Roman" w:cs="Times New Roman"/>
        </w:rPr>
      </w:pPr>
      <w:r>
        <w:rPr>
          <w:rFonts w:hint="default" w:ascii="Times New Roman" w:hAnsi="Times New Roman" w:cs="Times New Roman"/>
        </w:rPr>
        <w:t>上图为三种学习模型下多空组合R²的比较。</w:t>
      </w:r>
    </w:p>
    <w:p w14:paraId="5804E5D5">
      <w:pPr>
        <w:ind w:firstLine="420"/>
        <w:rPr>
          <w:rFonts w:hint="default" w:ascii="Times New Roman" w:hAnsi="Times New Roman" w:cs="Times New Roman"/>
        </w:rPr>
      </w:pPr>
      <w:r>
        <w:rPr>
          <w:rFonts w:hint="default" w:ascii="Times New Roman" w:hAnsi="Times New Roman" w:cs="Times New Roman"/>
        </w:rPr>
        <w:t>LightGBM模型下多空组合收益的R²在样本外显著提升，说明其</w:t>
      </w:r>
      <w:r>
        <w:rPr>
          <w:rFonts w:hint="default" w:ascii="Times New Roman" w:hAnsi="Times New Roman" w:cs="Times New Roman"/>
        </w:rPr>
        <w:t>在训练期没有充分学习到稳定的收益-因子映射关系，导致其策略收益结构在样本外发生了</w:t>
      </w:r>
      <w:r>
        <w:rPr>
          <w:rFonts w:hint="default" w:ascii="Times New Roman" w:hAnsi="Times New Roman" w:cs="Times New Roman"/>
        </w:rPr>
        <w:t>退化</w:t>
      </w:r>
      <w:r>
        <w:rPr>
          <w:rFonts w:hint="default" w:ascii="Times New Roman" w:hAnsi="Times New Roman" w:cs="Times New Roman"/>
        </w:rPr>
        <w:t>，变得更容易被线性因子解释。</w:t>
      </w:r>
    </w:p>
    <w:p w14:paraId="72DF1DED">
      <w:pPr>
        <w:ind w:firstLine="420"/>
        <w:rPr>
          <w:rFonts w:hint="default" w:ascii="Times New Roman" w:hAnsi="Times New Roman" w:cs="Times New Roman"/>
        </w:rPr>
      </w:pPr>
      <w:r>
        <w:rPr>
          <w:rFonts w:hint="default" w:ascii="Times New Roman" w:hAnsi="Times New Roman" w:cs="Times New Roman"/>
        </w:rPr>
        <w:t>神经网络模型下多空组合收益的R²在样本外小幅下降，表明它存在轻微过拟合，但控制得相对较好。这一点也符合神经网络复杂度高的特质。</w:t>
      </w:r>
    </w:p>
    <w:p w14:paraId="698CCD6D">
      <w:pPr>
        <w:ind w:firstLine="420"/>
        <w:rPr>
          <w:rFonts w:hint="default" w:ascii="Times New Roman" w:hAnsi="Times New Roman" w:cs="Times New Roman"/>
          <w:b/>
          <w:bCs/>
          <w:sz w:val="24"/>
          <w:szCs w:val="32"/>
        </w:rPr>
      </w:pPr>
      <w:r>
        <w:rPr>
          <w:rFonts w:hint="default" w:ascii="Times New Roman" w:hAnsi="Times New Roman" w:cs="Times New Roman"/>
        </w:rPr>
        <w:t>岭回归模型下多空组合收益的R²在样本外小幅上升，且幅度小于神经网络降幅。表明这个简单的线性模型可能略有欠拟合，但它学到的是最稳定、最核心的线性关系，所以泛化能力最好。</w:t>
      </w:r>
    </w:p>
    <w:p w14:paraId="11410F39">
      <w:pPr>
        <w:rPr>
          <w:rFonts w:hint="default" w:ascii="Times New Roman" w:hAnsi="Times New Roman" w:cs="Times New Roman"/>
          <w:b/>
          <w:bCs/>
          <w:sz w:val="24"/>
          <w:szCs w:val="32"/>
        </w:rPr>
      </w:pPr>
    </w:p>
    <w:p w14:paraId="0FA1F458">
      <w:pPr>
        <w:numPr>
          <w:ilvl w:val="0"/>
          <w:numId w:val="1"/>
        </w:numPr>
        <w:rPr>
          <w:rFonts w:hint="default" w:ascii="Times New Roman" w:hAnsi="Times New Roman" w:cs="Times New Roman"/>
          <w:b/>
          <w:bCs/>
          <w:sz w:val="24"/>
          <w:szCs w:val="32"/>
        </w:rPr>
      </w:pPr>
      <w:r>
        <w:rPr>
          <w:rFonts w:hint="default" w:ascii="Times New Roman" w:hAnsi="Times New Roman" w:cs="Times New Roman"/>
          <w:b/>
          <w:bCs/>
          <w:sz w:val="24"/>
          <w:szCs w:val="32"/>
        </w:rPr>
        <w:t>分工</w:t>
      </w:r>
    </w:p>
    <w:p w14:paraId="532795AE">
      <w:pPr>
        <w:ind w:firstLine="420"/>
        <w:rPr>
          <w:rFonts w:hint="default" w:ascii="Times New Roman" w:hAnsi="Times New Roman" w:cs="Times New Roman"/>
        </w:rPr>
      </w:pPr>
      <w:r>
        <w:rPr>
          <w:rFonts w:hint="default" w:ascii="Times New Roman" w:hAnsi="Times New Roman" w:cs="Times New Roman"/>
        </w:rPr>
        <w:t>在第二次作业中，小组3人每人提供了3个因子；亢予凡负责数据下载与清洗、单因子有效性测试部分，李博程负责因子标准化处理、多因子选取部分，李博文负责线性多因子选股模型部分。</w:t>
      </w:r>
    </w:p>
    <w:p w14:paraId="30A61984">
      <w:pPr>
        <w:ind w:firstLine="420"/>
        <w:rPr>
          <w:rFonts w:hint="default" w:ascii="Times New Roman" w:hAnsi="Times New Roman" w:cs="Times New Roman"/>
        </w:rPr>
      </w:pPr>
      <w:r>
        <w:rPr>
          <w:rFonts w:hint="default" w:ascii="Times New Roman" w:hAnsi="Times New Roman" w:cs="Times New Roman"/>
        </w:rPr>
        <w:t>基于第二次作业的数据和python脚本，亢予凡重新清洗了数据，由李博程和李博文增添了新的因子，亢予凡重新整理编写了单因子评测、因子共线性分析、因子筛选的代码，李博程完成了线性模型和机器学习模型的代码，亢予凡完成了深度学习模型的代码，李博文完成了绩效分析部分的工作。</w:t>
      </w:r>
    </w:p>
    <w:p w14:paraId="6F2DA69B">
      <w:pPr>
        <w:rPr>
          <w:rFonts w:hint="default" w:ascii="Times New Roman" w:hAnsi="Times New Roman" w:cs="Times New Roman"/>
        </w:rPr>
      </w:pPr>
      <w:r>
        <w:rPr>
          <w:rFonts w:hint="default" w:ascii="Times New Roman" w:hAnsi="Times New Roman" w:cs="Times New Roman"/>
        </w:rPr>
        <w:br w:type="page"/>
      </w:r>
    </w:p>
    <w:p w14:paraId="455D775A">
      <w:pPr>
        <w:rPr>
          <w:rFonts w:hint="default" w:ascii="Times New Roman" w:hAnsi="Times New Roman" w:cs="Times New Roman"/>
          <w:b/>
          <w:bCs/>
          <w:sz w:val="24"/>
          <w:szCs w:val="32"/>
        </w:rPr>
      </w:pPr>
      <w:r>
        <w:rPr>
          <w:rFonts w:hint="default" w:ascii="Times New Roman" w:hAnsi="Times New Roman" w:cs="Times New Roman"/>
          <w:b/>
          <w:bCs/>
          <w:sz w:val="24"/>
          <w:szCs w:val="32"/>
        </w:rPr>
        <w:t>附录一：因子处理方法</w:t>
      </w:r>
    </w:p>
    <w:p w14:paraId="2DB89907">
      <w:pPr>
        <w:rPr>
          <w:rFonts w:hint="default" w:ascii="Times New Roman" w:hAnsi="Times New Roman" w:cs="Times New Roman"/>
          <w:b/>
          <w:bCs/>
        </w:rPr>
      </w:pPr>
      <w:r>
        <w:rPr>
          <w:rFonts w:hint="default" w:ascii="Times New Roman" w:hAnsi="Times New Roman" w:cs="Times New Roman"/>
          <w:b/>
          <w:bCs/>
        </w:rPr>
        <w:t>具体方法：</w:t>
      </w:r>
    </w:p>
    <w:p w14:paraId="1DD37983">
      <w:pPr>
        <w:rPr>
          <w:rFonts w:hint="default" w:ascii="Times New Roman" w:hAnsi="Times New Roman" w:cs="Times New Roman"/>
          <w:b/>
          <w:bCs/>
        </w:rPr>
      </w:pPr>
      <w:r>
        <w:rPr>
          <w:rFonts w:hint="default" w:ascii="Times New Roman" w:hAnsi="Times New Roman" w:cs="Times New Roman"/>
          <w:b/>
          <w:bCs/>
        </w:rPr>
        <w:t>去极值：MAD法</w:t>
      </w:r>
    </w:p>
    <w:p w14:paraId="54E95381">
      <w:pPr>
        <w:numPr>
          <w:ilvl w:val="0"/>
          <w:numId w:val="6"/>
        </w:numPr>
        <w:rPr>
          <w:rFonts w:hint="default" w:ascii="Times New Roman" w:hAnsi="Times New Roman" w:cs="Times New Roman"/>
          <w:b/>
          <w:bCs/>
        </w:rPr>
      </w:pPr>
      <w:r>
        <w:rPr>
          <w:rFonts w:hint="default" w:ascii="Times New Roman" w:hAnsi="Times New Roman" w:cs="Times New Roman"/>
          <w:b/>
          <w:bCs/>
        </w:rPr>
        <w:t>函数: winsorize_by_mad</w:t>
      </w:r>
    </w:p>
    <w:p w14:paraId="16356F8E">
      <w:pPr>
        <w:numPr>
          <w:ilvl w:val="0"/>
          <w:numId w:val="6"/>
        </w:numPr>
        <w:rPr>
          <w:rFonts w:hint="default" w:ascii="Times New Roman" w:hAnsi="Times New Roman" w:cs="Times New Roman"/>
          <w:b/>
          <w:bCs/>
        </w:rPr>
      </w:pPr>
      <w:r>
        <w:rPr>
          <w:rFonts w:hint="default" w:ascii="Times New Roman" w:hAnsi="Times New Roman" w:cs="Times New Roman"/>
          <w:b/>
          <w:bCs/>
        </w:rPr>
        <w:t xml:space="preserve">原理: </w:t>
      </w:r>
      <w:r>
        <w:rPr>
          <w:rFonts w:hint="default" w:ascii="Times New Roman" w:hAnsi="Times New Roman" w:cs="Times New Roman"/>
        </w:rPr>
        <w:t>使用中位数绝对偏差（MAD）而非标准差来识别离群值，因为它对极端值本身不敏感，更加稳健。</w:t>
      </w:r>
    </w:p>
    <w:p w14:paraId="1B055F73">
      <w:pPr>
        <w:numPr>
          <w:ilvl w:val="0"/>
          <w:numId w:val="6"/>
        </w:numPr>
        <w:rPr>
          <w:rFonts w:hint="default" w:ascii="Times New Roman" w:hAnsi="Times New Roman" w:cs="Times New Roman"/>
          <w:b/>
          <w:bCs/>
        </w:rPr>
      </w:pPr>
      <w:r>
        <w:rPr>
          <w:rFonts w:hint="default" w:ascii="Times New Roman" w:hAnsi="Times New Roman" w:cs="Times New Roman"/>
          <w:b/>
          <w:bCs/>
        </w:rPr>
        <w:t>公式:</w:t>
      </w:r>
    </w:p>
    <w:p w14:paraId="382B6F7B">
      <w:pPr>
        <w:numPr>
          <w:ilvl w:val="1"/>
          <w:numId w:val="6"/>
        </w:numPr>
        <w:rPr>
          <w:rFonts w:hint="default" w:ascii="Times New Roman" w:hAnsi="Times New Roman" w:cs="Times New Roman"/>
        </w:rPr>
      </w:pPr>
      <m:oMath>
        <m:r>
          <m:rPr>
            <m:nor/>
            <m:sty m:val="p"/>
          </m:rPr>
          <w:rPr>
            <w:rFonts w:hint="default" w:ascii="Times New Roman" w:hAnsi="Times New Roman" w:cs="Times New Roman"/>
          </w:rPr>
          <m:t>MAD</m:t>
        </m:r>
        <m:r>
          <m:rPr>
            <m:nor/>
            <m:sty m:val="p"/>
          </m:rPr>
          <w:rPr>
            <w:rFonts w:hint="default" w:ascii="Times New Roman" w:hAnsi="Times New Roman" w:cs="Times New Roman"/>
            <w:i w:val="0"/>
          </w:rPr>
          <m:t>=</m:t>
        </m:r>
        <m:r>
          <m:rPr>
            <m:nor/>
            <m:sty m:val="p"/>
          </m:rPr>
          <w:rPr>
            <w:rFonts w:hint="default" w:ascii="Times New Roman" w:hAnsi="Times New Roman" w:cs="Times New Roman"/>
          </w:rPr>
          <m:t>median</m:t>
        </m:r>
        <m:d>
          <m:dPr>
            <m:ctrlPr>
              <w:rPr>
                <w:rFonts w:hint="default" w:ascii="Cambria Math" w:hAnsi="Cambria Math" w:cs="Times New Roman"/>
                <w:i/>
              </w:rPr>
            </m:ctrlPr>
          </m:dPr>
          <m:e>
            <m:d>
              <m:dPr>
                <m:begChr m:val="|"/>
                <m:endChr m:val="|"/>
                <m:ctrlPr>
                  <w:rPr>
                    <w:rFonts w:hint="default" w:ascii="Cambria Math" w:hAnsi="Cambria Math" w:cs="Times New Roman"/>
                    <w:i/>
                  </w:rPr>
                </m:ctrlPr>
              </m:dPr>
              <m:e>
                <m:sSub>
                  <m:sSubPr>
                    <m:ctrlPr>
                      <w:rPr>
                        <w:rFonts w:hint="default" w:ascii="Cambria Math" w:hAnsi="Cambria Math" w:cs="Times New Roman"/>
                        <w:i/>
                      </w:rPr>
                    </m:ctrlPr>
                  </m:sSubPr>
                  <m:e>
                    <m:r>
                      <m:rPr>
                        <m:nor/>
                      </m:rPr>
                      <w:rPr>
                        <w:rFonts w:hint="default" w:ascii="Times New Roman" w:hAnsi="Times New Roman" w:cs="Times New Roman"/>
                        <w:i/>
                      </w:rPr>
                      <m:t>X</m:t>
                    </m:r>
                    <m:ctrlPr>
                      <w:rPr>
                        <w:rFonts w:hint="default" w:ascii="Cambria Math" w:hAnsi="Cambria Math" w:cs="Times New Roman"/>
                        <w:i/>
                      </w:rPr>
                    </m:ctrlPr>
                  </m:e>
                  <m:sub>
                    <m:r>
                      <m:rPr>
                        <m:nor/>
                      </m:rPr>
                      <w:rPr>
                        <w:rFonts w:hint="default" w:ascii="Times New Roman" w:hAnsi="Times New Roman" w:cs="Times New Roman"/>
                        <w:i/>
                      </w:rPr>
                      <m:t>i</m:t>
                    </m:r>
                    <m:ctrlPr>
                      <w:rPr>
                        <w:rFonts w:hint="default" w:ascii="Cambria Math" w:hAnsi="Cambria Math" w:cs="Times New Roman"/>
                        <w:i/>
                      </w:rPr>
                    </m:ctrlPr>
                  </m:sub>
                </m:sSub>
                <m:r>
                  <m:rPr>
                    <m:nor/>
                    <m:sty m:val="p"/>
                  </m:rPr>
                  <w:rPr>
                    <w:rFonts w:hint="default" w:ascii="Times New Roman" w:hAnsi="Times New Roman" w:cs="Times New Roman"/>
                    <w:i w:val="0"/>
                  </w:rPr>
                  <m:t>−</m:t>
                </m:r>
                <m:r>
                  <m:rPr>
                    <m:nor/>
                    <m:sty m:val="p"/>
                  </m:rPr>
                  <w:rPr>
                    <w:rFonts w:hint="default" w:ascii="Times New Roman" w:hAnsi="Times New Roman" w:cs="Times New Roman"/>
                  </w:rPr>
                  <m:t>median</m:t>
                </m:r>
                <m:d>
                  <m:dPr>
                    <m:ctrlPr>
                      <w:rPr>
                        <w:rFonts w:hint="default" w:ascii="Cambria Math" w:hAnsi="Cambria Math" w:cs="Times New Roman"/>
                        <w:i/>
                      </w:rPr>
                    </m:ctrlPr>
                  </m:dPr>
                  <m:e>
                    <m:r>
                      <m:rPr>
                        <m:nor/>
                      </m:rPr>
                      <w:rPr>
                        <w:rFonts w:hint="default" w:ascii="Times New Roman" w:hAnsi="Times New Roman" w:cs="Times New Roman"/>
                        <w:i/>
                      </w:rPr>
                      <m:t>X</m:t>
                    </m:r>
                    <m:ctrlPr>
                      <w:rPr>
                        <w:rFonts w:hint="default" w:ascii="Cambria Math" w:hAnsi="Cambria Math" w:cs="Times New Roman"/>
                        <w:i/>
                      </w:rPr>
                    </m:ctrlPr>
                  </m:e>
                </m:d>
                <m:ctrlPr>
                  <w:rPr>
                    <w:rFonts w:hint="default" w:ascii="Cambria Math" w:hAnsi="Cambria Math" w:cs="Times New Roman"/>
                    <w:i/>
                  </w:rPr>
                </m:ctrlPr>
              </m:e>
            </m:d>
            <m:ctrlPr>
              <w:rPr>
                <w:rFonts w:hint="default" w:ascii="Cambria Math" w:hAnsi="Cambria Math" w:cs="Times New Roman"/>
                <w:i/>
              </w:rPr>
            </m:ctrlPr>
          </m:e>
        </m:d>
      </m:oMath>
    </w:p>
    <w:p w14:paraId="75609E11">
      <w:pPr>
        <w:numPr>
          <w:ilvl w:val="1"/>
          <w:numId w:val="6"/>
        </w:numPr>
        <w:rPr>
          <w:rFonts w:hint="default" w:ascii="Times New Roman" w:hAnsi="Times New Roman" w:cs="Times New Roman"/>
        </w:rPr>
      </w:pPr>
      <m:oMath>
        <m:r>
          <m:rPr>
            <m:nor/>
            <m:sty m:val="p"/>
          </m:rPr>
          <w:rPr>
            <w:rFonts w:hint="default" w:ascii="Times New Roman" w:hAnsi="Times New Roman" w:cs="Times New Roman"/>
          </w:rPr>
          <m:t>Upper</m:t>
        </m:r>
        <m:r>
          <m:rPr>
            <m:nor/>
            <m:sty m:val="p"/>
          </m:rPr>
          <w:rPr>
            <w:rFonts w:hint="default" w:ascii="Times New Roman" w:hAnsi="Times New Roman" w:cs="Times New Roman"/>
            <w:i w:val="0"/>
          </w:rPr>
          <m:t xml:space="preserve"> </m:t>
        </m:r>
        <m:r>
          <m:rPr>
            <m:nor/>
            <m:sty m:val="p"/>
          </m:rPr>
          <w:rPr>
            <w:rFonts w:hint="default" w:ascii="Times New Roman" w:hAnsi="Times New Roman" w:cs="Times New Roman"/>
          </w:rPr>
          <m:t>Bound</m:t>
        </m:r>
        <m:r>
          <m:rPr>
            <m:nor/>
            <m:sty m:val="p"/>
          </m:rPr>
          <w:rPr>
            <w:rFonts w:hint="default" w:ascii="Times New Roman" w:hAnsi="Times New Roman" w:cs="Times New Roman"/>
            <w:i w:val="0"/>
          </w:rPr>
          <m:t>=</m:t>
        </m:r>
        <m:r>
          <m:rPr>
            <m:nor/>
            <m:sty m:val="p"/>
          </m:rPr>
          <w:rPr>
            <w:rFonts w:hint="default" w:ascii="Times New Roman" w:hAnsi="Times New Roman" w:cs="Times New Roman"/>
          </w:rPr>
          <m:t>Median</m:t>
        </m:r>
        <m:r>
          <m:rPr>
            <m:nor/>
            <m:sty m:val="p"/>
          </m:rPr>
          <w:rPr>
            <w:rFonts w:hint="default" w:ascii="Times New Roman" w:hAnsi="Times New Roman" w:cs="Times New Roman"/>
            <w:i w:val="0"/>
          </w:rPr>
          <m:t>+5</m:t>
        </m:r>
        <m:r>
          <m:rPr>
            <m:nor/>
            <m:sty m:val="p"/>
          </m:rPr>
          <w:rPr>
            <w:rFonts w:hint="default" w:ascii="Times New Roman" w:hAnsi="Times New Roman" w:cs="Times New Roman"/>
            <w:b w:val="0"/>
            <w:i w:val="0"/>
          </w:rPr>
          <m:t>×</m:t>
        </m:r>
        <m:r>
          <m:rPr>
            <m:nor/>
            <m:sty m:val="p"/>
          </m:rPr>
          <w:rPr>
            <w:rFonts w:hint="default" w:ascii="Times New Roman" w:hAnsi="Times New Roman" w:cs="Times New Roman"/>
          </w:rPr>
          <m:t>MAD</m:t>
        </m:r>
      </m:oMath>
    </w:p>
    <w:p w14:paraId="169CF0F5">
      <w:pPr>
        <w:numPr>
          <w:ilvl w:val="1"/>
          <w:numId w:val="6"/>
        </w:numPr>
        <w:rPr>
          <w:rFonts w:hint="default" w:ascii="Times New Roman" w:hAnsi="Times New Roman" w:cs="Times New Roman"/>
        </w:rPr>
      </w:pPr>
      <m:oMath>
        <m:r>
          <m:rPr>
            <m:nor/>
            <m:sty m:val="p"/>
          </m:rPr>
          <w:rPr>
            <w:rFonts w:hint="default" w:ascii="Times New Roman" w:hAnsi="Times New Roman" w:cs="Times New Roman"/>
          </w:rPr>
          <m:t>Lower</m:t>
        </m:r>
        <m:r>
          <m:rPr>
            <m:nor/>
            <m:sty m:val="p"/>
          </m:rPr>
          <w:rPr>
            <w:rFonts w:hint="default" w:ascii="Times New Roman" w:hAnsi="Times New Roman" w:cs="Times New Roman"/>
            <w:i w:val="0"/>
          </w:rPr>
          <m:t xml:space="preserve"> </m:t>
        </m:r>
        <m:r>
          <m:rPr>
            <m:nor/>
            <m:sty m:val="p"/>
          </m:rPr>
          <w:rPr>
            <w:rFonts w:hint="default" w:ascii="Times New Roman" w:hAnsi="Times New Roman" w:cs="Times New Roman"/>
          </w:rPr>
          <m:t>Bound</m:t>
        </m:r>
        <m:r>
          <m:rPr>
            <m:nor/>
            <m:sty m:val="p"/>
          </m:rPr>
          <w:rPr>
            <w:rFonts w:hint="default" w:ascii="Times New Roman" w:hAnsi="Times New Roman" w:cs="Times New Roman"/>
            <w:i w:val="0"/>
          </w:rPr>
          <m:t>=</m:t>
        </m:r>
        <m:r>
          <m:rPr>
            <m:nor/>
            <m:sty m:val="p"/>
          </m:rPr>
          <w:rPr>
            <w:rFonts w:hint="default" w:ascii="Times New Roman" w:hAnsi="Times New Roman" w:cs="Times New Roman"/>
          </w:rPr>
          <m:t>Median</m:t>
        </m:r>
        <m:r>
          <m:rPr>
            <m:nor/>
            <m:sty m:val="p"/>
          </m:rPr>
          <w:rPr>
            <w:rFonts w:hint="default" w:ascii="Times New Roman" w:hAnsi="Times New Roman" w:cs="Times New Roman"/>
            <w:i w:val="0"/>
          </w:rPr>
          <m:t>−5</m:t>
        </m:r>
        <m:r>
          <m:rPr>
            <m:nor/>
            <m:sty m:val="p"/>
          </m:rPr>
          <w:rPr>
            <w:rFonts w:hint="default" w:ascii="Times New Roman" w:hAnsi="Times New Roman" w:cs="Times New Roman"/>
            <w:b w:val="0"/>
            <w:i w:val="0"/>
          </w:rPr>
          <m:t>×</m:t>
        </m:r>
        <m:r>
          <m:rPr>
            <m:nor/>
            <m:sty m:val="p"/>
          </m:rPr>
          <w:rPr>
            <w:rFonts w:hint="default" w:ascii="Times New Roman" w:hAnsi="Times New Roman" w:cs="Times New Roman"/>
          </w:rPr>
          <m:t>MAD</m:t>
        </m:r>
      </m:oMath>
    </w:p>
    <w:p w14:paraId="1DD4A75F">
      <w:pPr>
        <w:ind w:left="840"/>
        <w:rPr>
          <w:rFonts w:hint="default" w:ascii="Times New Roman" w:hAnsi="Times New Roman" w:cs="Times New Roman"/>
        </w:rPr>
      </w:pPr>
      <w:r>
        <w:rPr>
          <w:rFonts w:hint="default" w:ascii="Times New Roman" w:hAnsi="Times New Roman" w:cs="Times New Roman"/>
        </w:rPr>
        <w:t>所有超出上下限的值将被替换为边界值。</w:t>
      </w:r>
    </w:p>
    <w:p w14:paraId="02259C1E">
      <w:pPr>
        <w:rPr>
          <w:rFonts w:hint="default" w:ascii="Times New Roman" w:hAnsi="Times New Roman" w:cs="Times New Roman"/>
          <w:b/>
          <w:bCs/>
        </w:rPr>
      </w:pPr>
      <w:r>
        <w:rPr>
          <w:rFonts w:hint="default" w:ascii="Times New Roman" w:hAnsi="Times New Roman" w:cs="Times New Roman"/>
          <w:b/>
          <w:bCs/>
        </w:rPr>
        <w:t>标准化：Z-Score</w:t>
      </w:r>
    </w:p>
    <w:p w14:paraId="77E2CBA4">
      <w:pPr>
        <w:numPr>
          <w:ilvl w:val="0"/>
          <w:numId w:val="7"/>
        </w:numPr>
        <w:rPr>
          <w:rFonts w:hint="default" w:ascii="Times New Roman" w:hAnsi="Times New Roman" w:cs="Times New Roman"/>
          <w:b/>
          <w:bCs/>
        </w:rPr>
      </w:pPr>
      <w:r>
        <w:rPr>
          <w:rFonts w:hint="default" w:ascii="Times New Roman" w:hAnsi="Times New Roman" w:cs="Times New Roman"/>
          <w:b/>
          <w:bCs/>
        </w:rPr>
        <w:t>函数: standardize_zscore</w:t>
      </w:r>
    </w:p>
    <w:p w14:paraId="52AB3AE1">
      <w:pPr>
        <w:numPr>
          <w:ilvl w:val="0"/>
          <w:numId w:val="7"/>
        </w:numPr>
        <w:rPr>
          <w:rFonts w:hint="default" w:ascii="Times New Roman" w:hAnsi="Times New Roman" w:cs="Times New Roman"/>
          <w:b/>
          <w:bCs/>
        </w:rPr>
      </w:pPr>
      <w:r>
        <w:rPr>
          <w:rFonts w:hint="default" w:ascii="Times New Roman" w:hAnsi="Times New Roman" w:cs="Times New Roman"/>
          <w:b/>
          <w:bCs/>
        </w:rPr>
        <w:t xml:space="preserve">原理: </w:t>
      </w:r>
      <w:r>
        <w:rPr>
          <w:rFonts w:hint="default" w:ascii="Times New Roman" w:hAnsi="Times New Roman" w:cs="Times New Roman"/>
        </w:rPr>
        <w:t>经典的标准化方法，使数据服从均值为0，标准差为1的分布。</w:t>
      </w:r>
    </w:p>
    <w:p w14:paraId="0DFEB4AA">
      <w:pPr>
        <w:numPr>
          <w:ilvl w:val="0"/>
          <w:numId w:val="7"/>
        </w:numPr>
        <w:rPr>
          <w:rFonts w:hint="default" w:ascii="Times New Roman" w:hAnsi="Times New Roman" w:cs="Times New Roman"/>
          <w:b/>
          <w:bCs/>
        </w:rPr>
      </w:pPr>
      <w:r>
        <w:rPr>
          <w:rFonts w:hint="default" w:ascii="Times New Roman" w:hAnsi="Times New Roman" w:cs="Times New Roman"/>
          <w:b/>
          <w:bCs/>
        </w:rPr>
        <w:t>公式:</w:t>
      </w:r>
    </w:p>
    <w:p w14:paraId="7F6598F3">
      <w:pPr>
        <w:rPr>
          <w:rFonts w:hint="default" w:ascii="Times New Roman" w:hAnsi="Times New Roman" w:cs="Times New Roman"/>
          <w:b/>
          <w:bCs/>
        </w:rPr>
      </w:pPr>
      <m:oMathPara>
        <m:oMath>
          <m:r>
            <m:rPr>
              <m:nor/>
            </m:rPr>
            <w:rPr>
              <w:rFonts w:hint="default" w:ascii="Times New Roman" w:hAnsi="Times New Roman" w:cs="Times New Roman"/>
              <w:i/>
            </w:rPr>
            <m:t>z</m:t>
          </m:r>
          <m:r>
            <m:rPr>
              <m:nor/>
              <m:sty m:val="p"/>
            </m:rPr>
            <w:rPr>
              <w:rFonts w:hint="default" w:ascii="Times New Roman" w:hAnsi="Times New Roman" w:cs="Times New Roman"/>
              <w:i w:val="0"/>
            </w:rPr>
            <m:t>=</m:t>
          </m:r>
          <m:f>
            <m:fPr>
              <m:ctrlPr>
                <w:rPr>
                  <w:rFonts w:hint="default" w:ascii="Cambria Math" w:hAnsi="Cambria Math" w:cs="Times New Roman"/>
                  <w:bCs/>
                </w:rPr>
              </m:ctrlPr>
            </m:fPr>
            <m:num>
              <m:r>
                <m:rPr>
                  <m:nor/>
                </m:rPr>
                <w:rPr>
                  <w:rFonts w:hint="default" w:ascii="Times New Roman" w:hAnsi="Times New Roman" w:cs="Times New Roman"/>
                  <w:i/>
                </w:rPr>
                <m:t>x</m:t>
              </m:r>
              <m:r>
                <m:rPr>
                  <m:nor/>
                  <m:sty m:val="p"/>
                </m:rPr>
                <w:rPr>
                  <w:rFonts w:hint="default" w:ascii="Times New Roman" w:hAnsi="Times New Roman" w:cs="Times New Roman"/>
                  <w:i w:val="0"/>
                </w:rPr>
                <m:t>−</m:t>
              </m:r>
              <m:r>
                <m:rPr>
                  <m:nor/>
                  <m:sty m:val="p"/>
                </m:rPr>
                <w:rPr>
                  <w:rFonts w:hint="default" w:ascii="Times New Roman" w:hAnsi="Times New Roman" w:cs="Times New Roman"/>
                  <w:b w:val="0"/>
                  <w:i w:val="0"/>
                </w:rPr>
                <m:t>μ</m:t>
              </m:r>
              <m:ctrlPr>
                <w:rPr>
                  <w:rFonts w:hint="default" w:ascii="Cambria Math" w:hAnsi="Cambria Math" w:cs="Times New Roman"/>
                  <w:bCs/>
                  <w:i/>
                </w:rPr>
              </m:ctrlPr>
            </m:num>
            <m:den>
              <m:r>
                <m:rPr>
                  <m:nor/>
                  <m:sty m:val="p"/>
                </m:rPr>
                <w:rPr>
                  <w:rFonts w:hint="default" w:ascii="Times New Roman" w:hAnsi="Times New Roman" w:cs="Times New Roman"/>
                  <w:b w:val="0"/>
                  <w:i w:val="0"/>
                </w:rPr>
                <m:t>σ</m:t>
              </m:r>
              <m:ctrlPr>
                <w:rPr>
                  <w:rFonts w:hint="default" w:ascii="Cambria Math" w:hAnsi="Cambria Math" w:cs="Times New Roman"/>
                  <w:bCs/>
                  <w:i/>
                </w:rPr>
              </m:ctrlPr>
            </m:den>
          </m:f>
        </m:oMath>
      </m:oMathPara>
    </w:p>
    <w:p w14:paraId="77A98F25">
      <w:pPr>
        <w:rPr>
          <w:rFonts w:hint="default" w:ascii="Times New Roman" w:hAnsi="Times New Roman" w:cs="Times New Roman"/>
          <w:b/>
          <w:bCs/>
        </w:rPr>
      </w:pPr>
      <w:r>
        <w:rPr>
          <w:rFonts w:hint="default" w:ascii="Times New Roman" w:hAnsi="Times New Roman" w:cs="Times New Roman"/>
          <w:b/>
          <w:bCs/>
        </w:rPr>
        <w:t>中性化：OLS 回归</w:t>
      </w:r>
    </w:p>
    <w:p w14:paraId="3EE57BCC">
      <w:pPr>
        <w:numPr>
          <w:ilvl w:val="0"/>
          <w:numId w:val="8"/>
        </w:numPr>
        <w:rPr>
          <w:rFonts w:hint="default" w:ascii="Times New Roman" w:hAnsi="Times New Roman" w:cs="Times New Roman"/>
        </w:rPr>
      </w:pPr>
      <w:r>
        <w:rPr>
          <w:rFonts w:hint="default" w:ascii="Times New Roman" w:hAnsi="Times New Roman" w:cs="Times New Roman"/>
          <w:b/>
          <w:bCs/>
        </w:rPr>
        <w:t xml:space="preserve">函数: </w:t>
      </w:r>
      <w:r>
        <w:rPr>
          <w:rFonts w:hint="default" w:ascii="Times New Roman" w:hAnsi="Times New Roman" w:cs="Times New Roman"/>
        </w:rPr>
        <w:t>neutralize / neutralize_industry_only</w:t>
      </w:r>
    </w:p>
    <w:p w14:paraId="04CB169B">
      <w:pPr>
        <w:numPr>
          <w:ilvl w:val="0"/>
          <w:numId w:val="8"/>
        </w:numPr>
        <w:rPr>
          <w:rFonts w:hint="default" w:ascii="Times New Roman" w:hAnsi="Times New Roman" w:cs="Times New Roman"/>
        </w:rPr>
      </w:pPr>
      <w:r>
        <w:rPr>
          <w:rFonts w:hint="default" w:ascii="Times New Roman" w:hAnsi="Times New Roman" w:cs="Times New Roman"/>
          <w:b/>
          <w:bCs/>
        </w:rPr>
        <w:t>原理:</w:t>
      </w:r>
      <w:r>
        <w:rPr>
          <w:rFonts w:hint="default" w:ascii="Times New Roman" w:hAnsi="Times New Roman" w:cs="Times New Roman"/>
        </w:rPr>
        <w:t>通过 OLS 回归，我们将因子（Y）中可以被行业或市值（X）解释的部分分离出去，只保留无法被解释的</w:t>
      </w:r>
      <w:r>
        <w:rPr>
          <w:rFonts w:hint="default" w:ascii="Times New Roman" w:hAnsi="Times New Roman" w:cs="Times New Roman"/>
        </w:rPr>
        <w:t>残差</w:t>
      </w:r>
      <w:r>
        <w:rPr>
          <w:rFonts w:hint="default" w:ascii="Times New Roman" w:hAnsi="Times New Roman" w:cs="Times New Roman"/>
        </w:rPr>
        <w:t>作为“纯净”因子。</w:t>
      </w:r>
    </w:p>
    <w:p w14:paraId="7E2EF572">
      <w:pPr>
        <w:numPr>
          <w:ilvl w:val="0"/>
          <w:numId w:val="8"/>
        </w:numPr>
        <w:rPr>
          <w:rFonts w:hint="default" w:ascii="Times New Roman" w:hAnsi="Times New Roman" w:cs="Times New Roman"/>
        </w:rPr>
      </w:pPr>
      <w:r>
        <w:rPr>
          <w:rFonts w:hint="default" w:ascii="Times New Roman" w:hAnsi="Times New Roman" w:cs="Times New Roman"/>
        </w:rPr>
        <w:t>A组因子的回归模型:</w:t>
      </w:r>
    </w:p>
    <w:p w14:paraId="6A8B1F02">
      <w:pPr>
        <w:tabs>
          <w:tab w:val="left" w:pos="720"/>
        </w:tabs>
        <w:ind w:left="720"/>
        <w:rPr>
          <w:rFonts w:hint="default" w:ascii="Times New Roman" w:hAnsi="Times New Roman" w:cs="Times New Roman"/>
        </w:rPr>
      </w:pPr>
      <m:oMathPara>
        <m:oMath>
          <m:r>
            <m:rPr>
              <m:nor/>
            </m:rPr>
            <w:rPr>
              <w:rFonts w:hint="default" w:ascii="Times New Roman" w:hAnsi="Times New Roman" w:cs="Times New Roman"/>
              <w:i/>
            </w:rPr>
            <m:t>Facto</m:t>
          </m:r>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z</m:t>
              </m:r>
              <m:r>
                <m:rPr>
                  <m:nor/>
                  <m:sty m:val="p"/>
                </m:rPr>
                <w:rPr>
                  <w:rFonts w:hint="default" w:ascii="Times New Roman" w:hAnsi="Times New Roman" w:cs="Times New Roman"/>
                  <w:i w:val="0"/>
                </w:rPr>
                <m:t>1</m:t>
              </m:r>
              <m:ctrlPr>
                <w:rPr>
                  <w:rFonts w:hint="default" w:ascii="Cambria Math" w:hAnsi="Cambria Math" w:cs="Times New Roman"/>
                  <w:i/>
                </w:rPr>
              </m:ctrlPr>
            </m:sub>
          </m:sSub>
          <m:r>
            <m:rPr>
              <m:nor/>
              <m:sty m:val="p"/>
            </m:rPr>
            <w:rPr>
              <w:rFonts w:hint="default" w:ascii="Times New Roman" w:hAnsi="Times New Roman" w:cs="Times New Roman"/>
              <w:i w:val="0"/>
            </w:rPr>
            <m:t>=</m:t>
          </m:r>
          <m:r>
            <m:rPr>
              <m:nor/>
              <m:sty m:val="p"/>
            </m:rPr>
            <w:rPr>
              <w:rFonts w:hint="default" w:ascii="Times New Roman" w:hAnsi="Times New Roman" w:cs="Times New Roman"/>
              <w:b w:val="0"/>
              <w:i w:val="0"/>
            </w:rPr>
            <m:t>α</m:t>
          </m:r>
          <m:r>
            <m:rPr>
              <m:nor/>
              <m:sty m:val="p"/>
            </m:rPr>
            <w:rPr>
              <w:rFonts w:hint="default" w:ascii="Times New Roman" w:hAnsi="Times New Roman" w:cs="Times New Roman"/>
              <w:i w:val="0"/>
            </w:rPr>
            <m:t>+</m:t>
          </m:r>
          <m:r>
            <m:rPr>
              <m:nor/>
              <m:sty m:val="p"/>
            </m:rPr>
            <w:rPr>
              <w:rFonts w:hint="default" w:ascii="Times New Roman" w:hAnsi="Times New Roman" w:cs="Times New Roman"/>
              <w:b w:val="0"/>
              <w:i w:val="0"/>
            </w:rPr>
            <m:t>β×</m:t>
          </m:r>
          <m:func>
            <m:funcPr>
              <m:ctrlPr>
                <w:rPr>
                  <w:rFonts w:hint="default" w:ascii="Cambria Math" w:hAnsi="Cambria Math" w:cs="Times New Roman"/>
                </w:rPr>
              </m:ctrlPr>
            </m:funcPr>
            <m:fName>
              <m:r>
                <m:rPr>
                  <m:nor/>
                  <m:sty m:val="p"/>
                </m:rPr>
                <w:rPr>
                  <w:rFonts w:hint="default" w:ascii="Times New Roman" w:hAnsi="Times New Roman" w:cs="Times New Roman"/>
                  <w:b w:val="0"/>
                  <w:i w:val="0"/>
                </w:rPr>
                <m:t>ln</m:t>
              </m:r>
              <m:ctrlPr>
                <w:rPr>
                  <w:rFonts w:hint="default" w:ascii="Cambria Math" w:hAnsi="Cambria Math" w:cs="Times New Roman"/>
                  <w:i/>
                </w:rPr>
              </m:ctrlPr>
            </m:fName>
            <m:e>
              <m:d>
                <m:dPr>
                  <m:ctrlPr>
                    <w:rPr>
                      <w:rFonts w:hint="default" w:ascii="Cambria Math" w:hAnsi="Cambria Math" w:cs="Times New Roman"/>
                      <w:i/>
                    </w:rPr>
                  </m:ctrlPr>
                </m:dPr>
                <m:e>
                  <m:r>
                    <m:rPr>
                      <m:nor/>
                      <m:sty m:val="p"/>
                    </m:rPr>
                    <w:rPr>
                      <w:rFonts w:hint="default" w:ascii="Times New Roman" w:hAnsi="Times New Roman" w:cs="Times New Roman"/>
                    </w:rPr>
                    <m:t>TotalMarketCap</m:t>
                  </m:r>
                  <m:ctrlPr>
                    <w:rPr>
                      <w:rFonts w:hint="default" w:ascii="Cambria Math" w:hAnsi="Cambria Math" w:cs="Times New Roman"/>
                      <w:i/>
                    </w:rPr>
                  </m:ctrlPr>
                </m:e>
              </m:d>
              <m:ctrlPr>
                <w:rPr>
                  <w:rFonts w:hint="default" w:ascii="Cambria Math" w:hAnsi="Cambria Math" w:cs="Times New Roman"/>
                </w:rPr>
              </m:ctrlPr>
            </m:e>
          </m:func>
          <m:r>
            <m:rPr>
              <m:nor/>
              <m:sty m:val="p"/>
            </m:rPr>
            <w:rPr>
              <w:rFonts w:hint="default" w:ascii="Times New Roman" w:hAnsi="Times New Roman" w:cs="Times New Roman"/>
              <w:i w:val="0"/>
            </w:rPr>
            <m:t>+</m:t>
          </m:r>
          <m:nary>
            <m:naryPr>
              <m:chr m:val="∑"/>
              <m:ctrlPr>
                <w:rPr>
                  <w:rFonts w:hint="default" w:ascii="Cambria Math" w:hAnsi="Cambria Math" w:cs="Times New Roman"/>
                </w:rPr>
              </m:ctrlPr>
            </m:naryPr>
            <m:sub>
              <m:r>
                <m:rPr>
                  <m:nor/>
                </m:rPr>
                <w:rPr>
                  <w:rFonts w:hint="default" w:ascii="Times New Roman" w:hAnsi="Times New Roman" w:cs="Times New Roman"/>
                  <w:i/>
                </w:rPr>
                <m:t>i</m:t>
              </m:r>
              <m:r>
                <m:rPr>
                  <m:nor/>
                  <m:sty m:val="p"/>
                </m:rPr>
                <w:rPr>
                  <w:rFonts w:hint="default" w:ascii="Times New Roman" w:hAnsi="Times New Roman" w:cs="Times New Roman"/>
                  <w:i w:val="0"/>
                </w:rPr>
                <m:t>=1</m:t>
              </m:r>
              <m:ctrlPr>
                <w:rPr>
                  <w:rFonts w:hint="default" w:ascii="Cambria Math" w:hAnsi="Cambria Math" w:cs="Times New Roman"/>
                  <w:i/>
                </w:rPr>
              </m:ctrlPr>
            </m:sub>
            <m:sup>
              <m:r>
                <m:rPr>
                  <m:nor/>
                </m:rPr>
                <w:rPr>
                  <w:rFonts w:hint="default" w:ascii="Times New Roman" w:hAnsi="Times New Roman" w:cs="Times New Roman"/>
                  <w:i/>
                </w:rPr>
                <m:t>k</m:t>
              </m:r>
              <m:ctrlPr>
                <w:rPr>
                  <w:rFonts w:hint="default" w:ascii="Cambria Math" w:hAnsi="Cambria Math" w:cs="Times New Roman"/>
                  <w:i/>
                </w:rPr>
              </m:ctrlPr>
            </m:sup>
            <m:e>
              <m:sSub>
                <m:sSubPr>
                  <m:ctrlPr>
                    <w:rPr>
                      <w:rFonts w:hint="default" w:ascii="Cambria Math" w:hAnsi="Cambria Math" w:cs="Times New Roman"/>
                      <w:i/>
                    </w:rPr>
                  </m:ctrlPr>
                </m:sSubPr>
                <m:e>
                  <m:r>
                    <m:rPr>
                      <m:nor/>
                      <m:sty m:val="p"/>
                    </m:rPr>
                    <w:rPr>
                      <w:rFonts w:hint="default" w:ascii="Times New Roman" w:hAnsi="Times New Roman" w:cs="Times New Roman"/>
                      <w:b w:val="0"/>
                      <w:i w:val="0"/>
                    </w:rPr>
                    <m:t>γ</m:t>
                  </m:r>
                  <m:ctrlPr>
                    <w:rPr>
                      <w:rFonts w:hint="default" w:ascii="Cambria Math" w:hAnsi="Cambria Math" w:cs="Times New Roman"/>
                      <w:i/>
                    </w:rPr>
                  </m:ctrlPr>
                </m:e>
                <m:sub>
                  <m:r>
                    <m:rPr>
                      <m:nor/>
                    </m:rPr>
                    <w:rPr>
                      <w:rFonts w:hint="default" w:ascii="Times New Roman" w:hAnsi="Times New Roman" w:cs="Times New Roman"/>
                      <w:i/>
                    </w:rPr>
                    <m:t>i</m:t>
                  </m:r>
                  <m:ctrlPr>
                    <w:rPr>
                      <w:rFonts w:hint="default" w:ascii="Cambria Math" w:hAnsi="Cambria Math" w:cs="Times New Roman"/>
                      <w:i/>
                    </w:rPr>
                  </m:ctrlPr>
                </m:sub>
              </m:sSub>
              <m:ctrlPr>
                <w:rPr>
                  <w:rFonts w:hint="default" w:ascii="Cambria Math" w:hAnsi="Cambria Math" w:cs="Times New Roman"/>
                  <w:i/>
                </w:rPr>
              </m:ctrlPr>
            </m:e>
          </m:nary>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sty m:val="p"/>
                </m:rPr>
                <w:rPr>
                  <w:rFonts w:hint="default" w:ascii="Times New Roman" w:hAnsi="Times New Roman" w:cs="Times New Roman"/>
                </w:rPr>
                <m:t>IndustryDummy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i/>
                </w:rPr>
              </m:ctrlPr>
            </m:sub>
          </m:sSub>
          <m:r>
            <m:rPr>
              <m:nor/>
              <m:sty m:val="p"/>
            </m:rPr>
            <w:rPr>
              <w:rFonts w:hint="default" w:ascii="Times New Roman" w:hAnsi="Times New Roman" w:cs="Times New Roman"/>
              <w:i w:val="0"/>
            </w:rPr>
            <m:t>+</m:t>
          </m:r>
        </m:oMath>
      </m:oMathPara>
    </w:p>
    <w:p w14:paraId="76316EA8">
      <w:pPr>
        <w:numPr>
          <w:ilvl w:val="0"/>
          <w:numId w:val="8"/>
        </w:numPr>
        <w:rPr>
          <w:rFonts w:hint="default" w:ascii="Times New Roman" w:hAnsi="Times New Roman" w:cs="Times New Roman"/>
        </w:rPr>
      </w:pPr>
      <w:r>
        <w:rPr>
          <w:rFonts w:hint="default" w:ascii="Times New Roman" w:hAnsi="Times New Roman" w:cs="Times New Roman"/>
        </w:rPr>
        <w:t>B组因子的回归模型:</w:t>
      </w:r>
    </w:p>
    <w:p w14:paraId="616F288D">
      <w:pPr>
        <w:tabs>
          <w:tab w:val="left" w:pos="720"/>
        </w:tabs>
        <w:ind w:left="720"/>
        <w:rPr>
          <w:rFonts w:hint="default" w:ascii="Times New Roman" w:hAnsi="Times New Roman" w:cs="Times New Roman"/>
          <w:b/>
          <w:bCs/>
        </w:rPr>
      </w:pPr>
      <m:oMathPara>
        <m:oMath>
          <m:r>
            <m:rPr>
              <m:nor/>
              <m:sty m:val="bi"/>
            </m:rPr>
            <w:rPr>
              <w:rFonts w:hint="default" w:ascii="Times New Roman" w:hAnsi="Times New Roman" w:cs="Times New Roman"/>
              <w:b/>
              <w:i/>
            </w:rPr>
            <m:t>Facto</m:t>
          </m:r>
          <m:sSub>
            <m:sSubPr>
              <m:ctrlPr>
                <w:rPr>
                  <w:rFonts w:hint="default" w:ascii="Cambria Math" w:hAnsi="Cambria Math" w:cs="Times New Roman"/>
                  <w:b/>
                  <w:bCs/>
                  <w:i/>
                </w:rPr>
              </m:ctrlPr>
            </m:sSubPr>
            <m:e>
              <m:r>
                <m:rPr>
                  <m:nor/>
                  <m:sty m:val="bi"/>
                </m:rPr>
                <w:rPr>
                  <w:rFonts w:hint="default" w:ascii="Times New Roman" w:hAnsi="Times New Roman" w:cs="Times New Roman"/>
                  <w:b/>
                  <w:i/>
                </w:rPr>
                <m:t>r</m:t>
              </m:r>
              <m:ctrlPr>
                <w:rPr>
                  <w:rFonts w:hint="default" w:ascii="Cambria Math" w:hAnsi="Cambria Math" w:cs="Times New Roman"/>
                  <w:b/>
                  <w:bCs/>
                  <w:i/>
                </w:rPr>
              </m:ctrlPr>
            </m:e>
            <m:sub>
              <m:r>
                <m:rPr>
                  <m:nor/>
                  <m:sty m:val="bi"/>
                </m:rPr>
                <w:rPr>
                  <w:rFonts w:hint="default" w:ascii="Times New Roman" w:hAnsi="Times New Roman" w:cs="Times New Roman"/>
                  <w:b/>
                  <w:i/>
                </w:rPr>
                <m:t>z</m:t>
              </m:r>
              <m:r>
                <m:rPr>
                  <m:nor/>
                  <m:sty m:val="b"/>
                </m:rPr>
                <w:rPr>
                  <w:rFonts w:hint="default" w:ascii="Times New Roman" w:hAnsi="Times New Roman" w:cs="Times New Roman"/>
                  <w:b/>
                  <w:i w:val="0"/>
                </w:rPr>
                <m:t>1</m:t>
              </m:r>
              <m:ctrlPr>
                <w:rPr>
                  <w:rFonts w:hint="default" w:ascii="Cambria Math" w:hAnsi="Cambria Math" w:cs="Times New Roman"/>
                  <w:b/>
                  <w:bCs/>
                  <w:i/>
                </w:rPr>
              </m:ctrlPr>
            </m:sub>
          </m:sSub>
          <m:r>
            <m:rPr>
              <m:nor/>
              <m:sty m:val="b"/>
            </m:rPr>
            <w:rPr>
              <w:rFonts w:hint="default" w:ascii="Times New Roman" w:hAnsi="Times New Roman" w:cs="Times New Roman"/>
              <w:b/>
              <w:i w:val="0"/>
            </w:rPr>
            <m:t>=</m:t>
          </m:r>
          <m:r>
            <m:rPr>
              <m:nor/>
              <m:sty m:val="b"/>
            </m:rPr>
            <w:rPr>
              <w:rFonts w:hint="default" w:ascii="Times New Roman" w:hAnsi="Times New Roman" w:cs="Times New Roman"/>
              <w:b/>
            </w:rPr>
            <m:t>α</m:t>
          </m:r>
          <m:r>
            <m:rPr>
              <m:nor/>
              <m:sty m:val="b"/>
            </m:rPr>
            <w:rPr>
              <w:rFonts w:hint="default" w:ascii="Times New Roman" w:hAnsi="Times New Roman" w:cs="Times New Roman"/>
              <w:b/>
              <w:i w:val="0"/>
            </w:rPr>
            <m:t>+</m:t>
          </m:r>
          <m:nary>
            <m:naryPr>
              <m:chr m:val="∑"/>
              <m:ctrlPr>
                <w:rPr>
                  <w:rFonts w:hint="default" w:ascii="Cambria Math" w:hAnsi="Cambria Math" w:cs="Times New Roman"/>
                  <w:b/>
                  <w:bCs/>
                </w:rPr>
              </m:ctrlPr>
            </m:naryPr>
            <m:sub>
              <m:r>
                <m:rPr>
                  <m:nor/>
                  <m:sty m:val="bi"/>
                </m:rPr>
                <w:rPr>
                  <w:rFonts w:hint="default" w:ascii="Times New Roman" w:hAnsi="Times New Roman" w:cs="Times New Roman"/>
                  <w:b/>
                  <w:i/>
                </w:rPr>
                <m:t>i</m:t>
              </m:r>
              <m:r>
                <m:rPr>
                  <m:nor/>
                  <m:sty m:val="b"/>
                </m:rPr>
                <w:rPr>
                  <w:rFonts w:hint="default" w:ascii="Times New Roman" w:hAnsi="Times New Roman" w:cs="Times New Roman"/>
                  <w:b/>
                  <w:i w:val="0"/>
                </w:rPr>
                <m:t>=1</m:t>
              </m:r>
              <m:ctrlPr>
                <w:rPr>
                  <w:rFonts w:hint="default" w:ascii="Cambria Math" w:hAnsi="Cambria Math" w:cs="Times New Roman"/>
                  <w:b/>
                  <w:bCs/>
                  <w:i/>
                </w:rPr>
              </m:ctrlPr>
            </m:sub>
            <m:sup>
              <m:r>
                <m:rPr>
                  <m:nor/>
                  <m:sty m:val="bi"/>
                </m:rPr>
                <w:rPr>
                  <w:rFonts w:hint="default" w:ascii="Times New Roman" w:hAnsi="Times New Roman" w:cs="Times New Roman"/>
                  <w:b/>
                  <w:i/>
                </w:rPr>
                <m:t>k</m:t>
              </m:r>
              <m:ctrlPr>
                <w:rPr>
                  <w:rFonts w:hint="default" w:ascii="Cambria Math" w:hAnsi="Cambria Math" w:cs="Times New Roman"/>
                  <w:b/>
                  <w:bCs/>
                  <w:i/>
                </w:rPr>
              </m:ctrlPr>
            </m:sup>
            <m:e>
              <m:sSub>
                <m:sSubPr>
                  <m:ctrlPr>
                    <w:rPr>
                      <w:rFonts w:hint="default" w:ascii="Cambria Math" w:hAnsi="Cambria Math" w:cs="Times New Roman"/>
                      <w:b/>
                      <w:bCs/>
                      <w:i/>
                    </w:rPr>
                  </m:ctrlPr>
                </m:sSubPr>
                <m:e>
                  <m:r>
                    <m:rPr>
                      <m:nor/>
                      <m:sty m:val="b"/>
                    </m:rPr>
                    <w:rPr>
                      <w:rFonts w:hint="default" w:ascii="Times New Roman" w:hAnsi="Times New Roman" w:cs="Times New Roman"/>
                      <w:b/>
                    </w:rPr>
                    <m:t>γ</m:t>
                  </m:r>
                  <m:ctrlPr>
                    <w:rPr>
                      <w:rFonts w:hint="default" w:ascii="Cambria Math" w:hAnsi="Cambria Math" w:cs="Times New Roman"/>
                      <w:b/>
                      <w:bCs/>
                      <w:i/>
                    </w:rPr>
                  </m:ctrlPr>
                </m:e>
                <m:sub>
                  <m:r>
                    <m:rPr>
                      <m:nor/>
                      <m:sty m:val="bi"/>
                    </m:rPr>
                    <w:rPr>
                      <w:rFonts w:hint="default" w:ascii="Times New Roman" w:hAnsi="Times New Roman" w:cs="Times New Roman"/>
                      <w:b/>
                      <w:i/>
                    </w:rPr>
                    <m:t>i</m:t>
                  </m:r>
                  <m:ctrlPr>
                    <w:rPr>
                      <w:rFonts w:hint="default" w:ascii="Cambria Math" w:hAnsi="Cambria Math" w:cs="Times New Roman"/>
                      <w:b/>
                      <w:bCs/>
                      <w:i/>
                    </w:rPr>
                  </m:ctrlPr>
                </m:sub>
              </m:sSub>
              <m:ctrlPr>
                <w:rPr>
                  <w:rFonts w:hint="default" w:ascii="Cambria Math" w:hAnsi="Cambria Math" w:cs="Times New Roman"/>
                  <w:b/>
                  <w:bCs/>
                  <w:i/>
                </w:rPr>
              </m:ctrlPr>
            </m:e>
          </m:nary>
          <m:r>
            <m:rPr>
              <m:nor/>
              <m:sty m:val="b"/>
            </m:rPr>
            <w:rPr>
              <w:rFonts w:hint="default" w:ascii="Times New Roman" w:hAnsi="Times New Roman" w:cs="Times New Roman"/>
              <w:b/>
              <w:i w:val="0"/>
            </w:rPr>
            <m:t>×</m:t>
          </m:r>
          <m:sSub>
            <m:sSubPr>
              <m:ctrlPr>
                <w:rPr>
                  <w:rFonts w:hint="default" w:ascii="Cambria Math" w:hAnsi="Cambria Math" w:cs="Times New Roman"/>
                  <w:b/>
                  <w:bCs/>
                  <w:i/>
                </w:rPr>
              </m:ctrlPr>
            </m:sSubPr>
            <m:e>
              <m:r>
                <m:rPr>
                  <m:nor/>
                  <m:sty m:val="b"/>
                </m:rPr>
                <w:rPr>
                  <w:rFonts w:hint="default" w:ascii="Times New Roman" w:hAnsi="Times New Roman" w:cs="Times New Roman"/>
                  <w:b/>
                  <w:bCs/>
                </w:rPr>
                <m:t>IndustryDummy</m:t>
              </m:r>
              <m:ctrlPr>
                <w:rPr>
                  <w:rFonts w:hint="default" w:ascii="Cambria Math" w:hAnsi="Cambria Math" w:cs="Times New Roman"/>
                  <w:b/>
                  <w:bCs/>
                </w:rPr>
              </m:ctrlPr>
            </m:e>
            <m:sub>
              <m:r>
                <m:rPr>
                  <m:nor/>
                  <m:sty m:val="bi"/>
                </m:rPr>
                <w:rPr>
                  <w:rFonts w:hint="default" w:ascii="Times New Roman" w:hAnsi="Times New Roman" w:cs="Times New Roman"/>
                  <w:b/>
                  <w:i/>
                </w:rPr>
                <m:t>i</m:t>
              </m:r>
              <m:ctrlPr>
                <w:rPr>
                  <w:rFonts w:hint="default" w:ascii="Cambria Math" w:hAnsi="Cambria Math" w:cs="Times New Roman"/>
                  <w:b/>
                  <w:bCs/>
                  <w:i/>
                </w:rPr>
              </m:ctrlPr>
            </m:sub>
          </m:sSub>
          <m:r>
            <m:rPr>
              <m:nor/>
              <m:sty m:val="b"/>
            </m:rPr>
            <w:rPr>
              <w:rFonts w:hint="default" w:ascii="Times New Roman" w:hAnsi="Times New Roman" w:cs="Times New Roman"/>
              <w:b/>
              <w:i w:val="0"/>
            </w:rPr>
            <m:t>+</m:t>
          </m:r>
        </m:oMath>
      </m:oMathPara>
    </w:p>
    <w:p w14:paraId="00739D71">
      <w:pPr>
        <w:tabs>
          <w:tab w:val="left" w:pos="720"/>
        </w:tabs>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rPr>
        <w:t>得到的中性化因子</w:t>
      </w:r>
      <w:r>
        <w:rPr>
          <w:rFonts w:hint="default" w:ascii="Times New Roman" w:hAnsi="Times New Roman" w:cs="Times New Roman"/>
        </w:rPr>
        <w:t>即为上述模型中的残差</w:t>
      </w:r>
      <w:r>
        <w:rPr>
          <w:rFonts w:hint="default" w:ascii="Times New Roman" w:hAnsi="Times New Roman" w:cs="Times New Roman"/>
          <w:b/>
          <w:bCs/>
        </w:rPr>
        <w:t>。</w:t>
      </w:r>
    </w:p>
    <w:p w14:paraId="6E6BA0F6">
      <w:pPr>
        <w:rPr>
          <w:rFonts w:hint="default" w:ascii="Times New Roman" w:hAnsi="Times New Roman" w:cs="Times New Roman"/>
          <w:b/>
          <w:bCs/>
          <w:sz w:val="24"/>
          <w:szCs w:val="32"/>
        </w:rPr>
      </w:pPr>
    </w:p>
    <w:p w14:paraId="320ADDF4">
      <w:pPr>
        <w:rPr>
          <w:rFonts w:hint="default" w:ascii="Times New Roman" w:hAnsi="Times New Roman" w:cs="Times New Roman"/>
          <w:b/>
          <w:bCs/>
          <w:sz w:val="24"/>
          <w:szCs w:val="32"/>
        </w:rPr>
      </w:pPr>
    </w:p>
    <w:p w14:paraId="65F19DE6">
      <w:pPr>
        <w:rPr>
          <w:rFonts w:hint="default" w:ascii="Times New Roman" w:hAnsi="Times New Roman" w:cs="Times New Roman"/>
          <w:b/>
          <w:bCs/>
          <w:sz w:val="24"/>
          <w:szCs w:val="32"/>
        </w:rPr>
      </w:pPr>
      <w:r>
        <w:rPr>
          <w:rFonts w:hint="default" w:ascii="Times New Roman" w:hAnsi="Times New Roman" w:cs="Times New Roman"/>
          <w:b/>
          <w:bCs/>
          <w:sz w:val="24"/>
          <w:szCs w:val="32"/>
        </w:rPr>
        <w:t>附录二：因子计算方法</w:t>
      </w:r>
    </w:p>
    <w:p w14:paraId="01436C9B">
      <w:pPr>
        <w:bidi w:val="0"/>
        <w:rPr>
          <w:rFonts w:hint="default"/>
          <w:b/>
          <w:bCs/>
        </w:rPr>
      </w:pPr>
      <w:r>
        <w:rPr>
          <w:rFonts w:hint="default"/>
          <w:b/>
          <w:bCs/>
        </w:rPr>
        <w:t>1. 动量因子MOM：</w:t>
      </w:r>
    </w:p>
    <w:p w14:paraId="12AA26F1">
      <w:pPr>
        <w:rPr>
          <w:rFonts w:hint="default" w:ascii="Times New Roman" w:hAnsi="Times New Roman" w:cs="Times New Roman"/>
        </w:rPr>
      </w:pPr>
      <w:r>
        <w:rPr>
          <w:rFonts w:hint="default" w:ascii="Times New Roman" w:hAnsi="Times New Roman" w:cs="Times New Roman"/>
        </w:rPr>
        <w:t>动量因子衡量的是股票在过去一段时间内的价格表现趋势，一般用作趋势投资或择时参考。过去表现强势的股票在未来一段时间内往往继续表现强势，而过去表现弱势的股票可能继续表现低迷。高动量股票通常被视为潜在收益较高的标的，低动量股票则可能具有较低的短期回报潜力。</w:t>
      </w:r>
    </w:p>
    <w:p w14:paraId="24A49A9C">
      <w:pPr>
        <w:rPr>
          <w:rFonts w:hint="default" w:ascii="Times New Roman" w:hAnsi="Times New Roman" w:cs="Times New Roman"/>
        </w:rPr>
      </w:pPr>
      <w:r>
        <w:rPr>
          <w:rFonts w:hint="default" w:ascii="Times New Roman" w:hAnsi="Times New Roman" w:cs="Times New Roman"/>
        </w:rPr>
        <w:t>计算方式：</w:t>
      </w:r>
      <w:r>
        <w:rPr>
          <w:rFonts w:hint="default" w:ascii="Times New Roman" w:hAnsi="Times New Roman" w:cs="Times New Roman"/>
        </w:rPr>
        <w:br w:type="textWrapping"/>
      </w:r>
      <m:oMathPara>
        <m:oMath>
          <m:sSub>
            <m:sSubPr>
              <m:ctrlPr>
                <w:rPr>
                  <w:rFonts w:hint="default" w:ascii="Cambria Math" w:hAnsi="Cambria Math" w:cs="Times New Roman"/>
                  <w:i/>
                </w:rPr>
              </m:ctrlPr>
            </m:sSubPr>
            <m:e>
              <m:r>
                <m:rPr>
                  <m:nor/>
                  <m:sty m:val="p"/>
                </m:rPr>
                <w:rPr>
                  <w:rFonts w:hint="default" w:ascii="Times New Roman" w:hAnsi="Times New Roman" w:cs="Times New Roman"/>
                </w:rPr>
                <m:t>MOM</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Sup>
                <m:sSubSupPr>
                  <m:ctrlPr>
                    <w:rPr>
                      <w:rFonts w:hint="default" w:ascii="Cambria Math" w:hAnsi="Cambria Math" w:cs="Times New Roman"/>
                      <w:i/>
                    </w:rPr>
                  </m:ctrlPr>
                </m:sSubSup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up>
                  <m:r>
                    <m:rPr>
                      <m:nor/>
                      <m:sty m:val="p"/>
                    </m:rPr>
                    <w:rPr>
                      <w:rFonts w:hint="default" w:ascii="Times New Roman" w:hAnsi="Times New Roman" w:cs="Times New Roman"/>
                    </w:rPr>
                    <m:t>close</m:t>
                  </m:r>
                  <m:r>
                    <m:rPr>
                      <m:nor/>
                      <m:sty m:val="p"/>
                    </m:rPr>
                    <w:rPr>
                      <w:rFonts w:hint="default" w:ascii="Times New Roman" w:hAnsi="Times New Roman" w:cs="Times New Roman"/>
                      <w:i w:val="0"/>
                    </w:rPr>
                    <m:t>,</m:t>
                  </m:r>
                  <m:r>
                    <m:rPr>
                      <m:nor/>
                      <m:sty m:val="p"/>
                    </m:rPr>
                    <w:rPr>
                      <w:rFonts w:hint="default" w:ascii="Times New Roman" w:hAnsi="Times New Roman" w:cs="Times New Roman"/>
                    </w:rPr>
                    <m:t>last</m:t>
                  </m:r>
                  <m:ctrlPr>
                    <w:rPr>
                      <w:rFonts w:hint="default" w:ascii="Cambria Math" w:hAnsi="Cambria Math" w:cs="Times New Roman"/>
                      <w:i/>
                    </w:rPr>
                  </m:ctrlPr>
                </m:sup>
              </m:sSubSup>
              <m:ctrlPr>
                <w:rPr>
                  <w:rFonts w:hint="default" w:ascii="Cambria Math" w:hAnsi="Cambria Math" w:cs="Times New Roman"/>
                </w:rPr>
              </m:ctrlPr>
            </m:num>
            <m:den>
              <m:sSubSup>
                <m:sSubSupPr>
                  <m:ctrlPr>
                    <w:rPr>
                      <w:rFonts w:hint="default" w:ascii="Cambria Math" w:hAnsi="Cambria Math" w:cs="Times New Roman"/>
                      <w:i/>
                    </w:rPr>
                  </m:ctrlPr>
                </m:sSubSup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up>
                  <m:r>
                    <m:rPr>
                      <m:nor/>
                      <m:sty m:val="p"/>
                    </m:rPr>
                    <w:rPr>
                      <w:rFonts w:hint="default" w:ascii="Times New Roman" w:hAnsi="Times New Roman" w:cs="Times New Roman"/>
                    </w:rPr>
                    <m:t>close</m:t>
                  </m:r>
                  <m:r>
                    <m:rPr>
                      <m:nor/>
                      <m:sty m:val="p"/>
                    </m:rPr>
                    <w:rPr>
                      <w:rFonts w:hint="default" w:ascii="Times New Roman" w:hAnsi="Times New Roman" w:cs="Times New Roman"/>
                      <w:i w:val="0"/>
                    </w:rPr>
                    <m:t>,</m:t>
                  </m:r>
                  <m:r>
                    <m:rPr>
                      <m:nor/>
                      <m:sty m:val="p"/>
                    </m:rPr>
                    <w:rPr>
                      <w:rFonts w:hint="default" w:ascii="Times New Roman" w:hAnsi="Times New Roman" w:cs="Times New Roman"/>
                    </w:rPr>
                    <m:t>first</m:t>
                  </m:r>
                  <m:ctrlPr>
                    <w:rPr>
                      <w:rFonts w:hint="default" w:ascii="Cambria Math" w:hAnsi="Cambria Math" w:cs="Times New Roman"/>
                      <w:i/>
                    </w:rPr>
                  </m:ctrlPr>
                </m:sup>
              </m:sSubSup>
              <m:ctrlPr>
                <w:rPr>
                  <w:rFonts w:hint="default" w:ascii="Cambria Math" w:hAnsi="Cambria Math" w:cs="Times New Roman"/>
                </w:rPr>
              </m:ctrlPr>
            </m:den>
          </m:f>
          <m:r>
            <m:rPr>
              <m:nor/>
              <m:sty m:val="p"/>
            </m:rPr>
            <w:rPr>
              <w:rFonts w:hint="default" w:ascii="Times New Roman" w:hAnsi="Times New Roman" w:cs="Times New Roman"/>
              <w:i w:val="0"/>
            </w:rPr>
            <m:t>−1</m:t>
          </m:r>
        </m:oMath>
      </m:oMathPara>
    </w:p>
    <w:p w14:paraId="59CC1458">
      <w:pPr>
        <w:rPr>
          <w:rFonts w:hint="default" w:ascii="Times New Roman" w:hAnsi="Times New Roman" w:cs="Times New Roman"/>
        </w:rPr>
      </w:pPr>
      <w:r>
        <w:rPr>
          <w:rFonts w:hint="default" w:ascii="Times New Roman" w:hAnsi="Times New Roman" w:cs="Times New Roman"/>
        </w:rPr>
        <w:t>分子部分为当月最后一个交易日收盘价</w:t>
      </w:r>
    </w:p>
    <w:p w14:paraId="053568F9">
      <w:pPr>
        <w:rPr>
          <w:rFonts w:hint="default" w:ascii="Times New Roman" w:hAnsi="Times New Roman" w:cs="Times New Roman"/>
        </w:rPr>
      </w:pPr>
      <w:r>
        <w:rPr>
          <w:rFonts w:hint="default" w:ascii="Times New Roman" w:hAnsi="Times New Roman" w:cs="Times New Roman"/>
        </w:rPr>
        <w:t>分母部分为当月首个交易日收盘价</w:t>
      </w:r>
    </w:p>
    <w:p w14:paraId="6D08D0F3">
      <w:pPr>
        <w:rPr>
          <w:rFonts w:hint="default" w:ascii="Times New Roman" w:hAnsi="Times New Roman" w:cs="Times New Roman"/>
        </w:rPr>
      </w:pPr>
    </w:p>
    <w:p w14:paraId="0644F8D6">
      <w:pPr>
        <w:bidi w:val="0"/>
        <w:rPr>
          <w:rFonts w:hint="default"/>
          <w:b/>
          <w:bCs/>
        </w:rPr>
      </w:pPr>
      <w:r>
        <w:rPr>
          <w:rFonts w:hint="default"/>
          <w:b/>
          <w:bCs/>
        </w:rPr>
        <w:t>2. 波动率因子VOL：</w:t>
      </w:r>
    </w:p>
    <w:p w14:paraId="1F0AD547">
      <w:pPr>
        <w:rPr>
          <w:rFonts w:hint="default" w:ascii="Times New Roman" w:hAnsi="Times New Roman" w:cs="Times New Roman"/>
        </w:rPr>
      </w:pPr>
      <w:r>
        <w:rPr>
          <w:rFonts w:hint="default" w:ascii="Times New Roman" w:hAnsi="Times New Roman" w:cs="Times New Roman"/>
        </w:rPr>
        <w:t>波动率因子衡量的是股票价格在某一段时间内的波动幅度，一般用作风险暴露或择时参考。高波动股票通常风险较高，低波动股票风险较低。</w:t>
      </w:r>
    </w:p>
    <w:p w14:paraId="7DA4CCB8">
      <w:pPr>
        <w:rPr>
          <w:rFonts w:hint="default" w:ascii="Times New Roman" w:hAnsi="Times New Roman" w:cs="Times New Roman"/>
        </w:rPr>
      </w:pPr>
      <w:r>
        <w:rPr>
          <w:rFonts w:hint="default" w:ascii="Times New Roman" w:hAnsi="Times New Roman" w:cs="Times New Roman"/>
        </w:rPr>
        <w:t>过去1 个月日收益率标准差</w:t>
      </w:r>
    </w:p>
    <w:p w14:paraId="364EBD6F">
      <w:pPr>
        <w:rPr>
          <w:rFonts w:hint="default" w:ascii="Times New Roman" w:hAnsi="Times New Roman" w:cs="Times New Roman"/>
        </w:rPr>
      </w:pPr>
      <w:r>
        <w:rPr>
          <w:rFonts w:hint="default" w:ascii="Times New Roman" w:hAnsi="Times New Roman" w:cs="Times New Roman"/>
        </w:rPr>
        <w:t>计算方式：</w:t>
      </w:r>
    </w:p>
    <w:p w14:paraId="05C61848">
      <w:pPr>
        <w:rPr>
          <w:rFonts w:hint="default" w:ascii="Times New Roman" w:hAnsi="Times New Roman" w:cs="Times New Roman"/>
        </w:rPr>
      </w:pPr>
      <m:oMathPara>
        <m:oMath>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d</m:t>
              </m:r>
              <m:ctrlPr>
                <w:rPr>
                  <w:rFonts w:hint="default" w:ascii="Cambria Math" w:hAnsi="Cambria Math" w:cs="Times New Roman"/>
                  <w:i/>
                </w:rPr>
              </m:ctrlPr>
            </m:sub>
          </m:sSub>
          <m:r>
            <m:rPr>
              <m:nor/>
              <m:sty m:val="p"/>
            </m:rPr>
            <w:rPr>
              <w:rFonts w:hint="default" w:ascii="Times New Roman" w:hAnsi="Times New Roman" w:cs="Times New Roman"/>
              <w:i w:val="0"/>
            </w:rPr>
            <m:t>=</m:t>
          </m:r>
          <m:func>
            <m:funcPr>
              <m:ctrlPr>
                <w:rPr>
                  <w:rFonts w:hint="default" w:ascii="Cambria Math" w:hAnsi="Cambria Math" w:cs="Times New Roman"/>
                </w:rPr>
              </m:ctrlPr>
            </m:funcPr>
            <m:fName>
              <m:r>
                <m:rPr>
                  <m:nor/>
                  <m:sty m:val="p"/>
                </m:rPr>
                <w:rPr>
                  <w:rFonts w:hint="default" w:ascii="Times New Roman" w:hAnsi="Times New Roman" w:cs="Times New Roman"/>
                  <w:b w:val="0"/>
                  <w:i w:val="0"/>
                </w:rPr>
                <m:t>ln</m:t>
              </m:r>
              <m:ctrlPr>
                <w:rPr>
                  <w:rFonts w:hint="default" w:ascii="Cambria Math" w:hAnsi="Cambria Math" w:cs="Times New Roman"/>
                </w:rPr>
              </m:ctrlPr>
            </m:fName>
            <m:e>
              <m:f>
                <m:fPr>
                  <m:ctrlPr>
                    <w:rPr>
                      <w:rFonts w:hint="default" w:ascii="Cambria Math" w:hAnsi="Cambria Math" w:cs="Times New Roman"/>
                    </w:rPr>
                  </m:ctrlPr>
                </m:fPr>
                <m:num>
                  <m:sSubSup>
                    <m:sSubSupPr>
                      <m:ctrlPr>
                        <w:rPr>
                          <w:rFonts w:hint="default" w:ascii="Cambria Math" w:hAnsi="Cambria Math" w:cs="Times New Roman"/>
                          <w:i/>
                        </w:rPr>
                      </m:ctrlPr>
                    </m:sSubSup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d</m:t>
                      </m:r>
                      <m:ctrlPr>
                        <w:rPr>
                          <w:rFonts w:hint="default" w:ascii="Cambria Math" w:hAnsi="Cambria Math" w:cs="Times New Roman"/>
                          <w:i/>
                        </w:rPr>
                      </m:ctrlPr>
                    </m:sub>
                    <m:sup>
                      <m:r>
                        <m:rPr>
                          <m:nor/>
                          <m:sty m:val="p"/>
                        </m:rPr>
                        <w:rPr>
                          <w:rFonts w:hint="default" w:ascii="Times New Roman" w:hAnsi="Times New Roman" w:cs="Times New Roman"/>
                        </w:rPr>
                        <m:t>close</m:t>
                      </m:r>
                      <m:ctrlPr>
                        <w:rPr>
                          <w:rFonts w:hint="default" w:ascii="Cambria Math" w:hAnsi="Cambria Math" w:cs="Times New Roman"/>
                          <w:i/>
                        </w:rPr>
                      </m:ctrlPr>
                    </m:sup>
                  </m:sSubSup>
                  <m:ctrlPr>
                    <w:rPr>
                      <w:rFonts w:hint="default" w:ascii="Cambria Math" w:hAnsi="Cambria Math" w:cs="Times New Roman"/>
                    </w:rPr>
                  </m:ctrlPr>
                </m:num>
                <m:den>
                  <m:sSubSup>
                    <m:sSubSupPr>
                      <m:ctrlPr>
                        <w:rPr>
                          <w:rFonts w:hint="default" w:ascii="Cambria Math" w:hAnsi="Cambria Math" w:cs="Times New Roman"/>
                          <w:i/>
                        </w:rPr>
                      </m:ctrlPr>
                    </m:sSubSup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d</m:t>
                      </m:r>
                      <m:r>
                        <m:rPr>
                          <m:nor/>
                          <m:sty m:val="p"/>
                        </m:rPr>
                        <w:rPr>
                          <w:rFonts w:hint="default" w:ascii="Times New Roman" w:hAnsi="Times New Roman" w:cs="Times New Roman"/>
                          <w:i w:val="0"/>
                        </w:rPr>
                        <m:t>−1</m:t>
                      </m:r>
                      <m:ctrlPr>
                        <w:rPr>
                          <w:rFonts w:hint="default" w:ascii="Cambria Math" w:hAnsi="Cambria Math" w:cs="Times New Roman"/>
                          <w:i/>
                        </w:rPr>
                      </m:ctrlPr>
                    </m:sub>
                    <m:sup>
                      <m:r>
                        <m:rPr>
                          <m:nor/>
                          <m:sty m:val="p"/>
                        </m:rPr>
                        <w:rPr>
                          <w:rFonts w:hint="default" w:ascii="Times New Roman" w:hAnsi="Times New Roman" w:cs="Times New Roman"/>
                        </w:rPr>
                        <m:t>close</m:t>
                      </m:r>
                      <m:ctrlPr>
                        <w:rPr>
                          <w:rFonts w:hint="default" w:ascii="Cambria Math" w:hAnsi="Cambria Math" w:cs="Times New Roman"/>
                          <w:i/>
                        </w:rPr>
                      </m:ctrlPr>
                    </m:sup>
                  </m:sSubSup>
                  <m:ctrlPr>
                    <w:rPr>
                      <w:rFonts w:hint="default" w:ascii="Cambria Math" w:hAnsi="Cambria Math" w:cs="Times New Roman"/>
                    </w:rPr>
                  </m:ctrlPr>
                </m:den>
              </m:f>
              <m:ctrlPr>
                <w:rPr>
                  <w:rFonts w:hint="default" w:ascii="Cambria Math" w:hAnsi="Cambria Math" w:cs="Times New Roman"/>
                </w:rPr>
              </m:ctrlPr>
            </m:e>
          </m:func>
        </m:oMath>
      </m:oMathPara>
    </w:p>
    <w:p w14:paraId="1B9E242D">
      <w:pPr>
        <w:rPr>
          <w:rFonts w:hint="default" w:ascii="Times New Roman" w:hAnsi="Times New Roman" w:cs="Times New Roman"/>
        </w:rPr>
      </w:pPr>
      <m:oMathPara>
        <m:oMath>
          <m:sSub>
            <m:sSubPr>
              <m:ctrlPr>
                <w:rPr>
                  <w:rFonts w:hint="default" w:ascii="Cambria Math" w:hAnsi="Cambria Math" w:cs="Times New Roman"/>
                  <w:i/>
                </w:rPr>
              </m:ctrlPr>
            </m:sSubPr>
            <m:e>
              <m:r>
                <m:rPr>
                  <m:nor/>
                  <m:sty m:val="p"/>
                </m:rPr>
                <w:rPr>
                  <w:rFonts w:hint="default" w:ascii="Times New Roman" w:hAnsi="Times New Roman" w:cs="Times New Roman"/>
                </w:rPr>
                <m:t>VOL</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i/>
                </w:rPr>
              </m:ctrlPr>
            </m:deg>
            <m:e>
              <m:f>
                <m:fPr>
                  <m:ctrlPr>
                    <w:rPr>
                      <w:rFonts w:hint="default" w:ascii="Cambria Math" w:hAnsi="Cambria Math" w:cs="Times New Roman"/>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N</m:t>
                  </m:r>
                  <m:r>
                    <m:rPr>
                      <m:nor/>
                      <m:sty m:val="p"/>
                    </m:rPr>
                    <w:rPr>
                      <w:rFonts w:hint="default" w:ascii="Times New Roman" w:hAnsi="Times New Roman" w:cs="Times New Roman"/>
                      <w:i w:val="0"/>
                    </w:rPr>
                    <m:t>−1</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cs="Times New Roman"/>
                      <w:i/>
                    </w:rPr>
                    <m:t>d</m:t>
                  </m:r>
                  <m:r>
                    <m:rPr>
                      <m:nor/>
                      <m:sty m:val="p"/>
                    </m:rPr>
                    <w:rPr>
                      <w:rFonts w:hint="default" w:ascii="Times New Roman" w:hAnsi="Times New Roman" w:cs="Times New Roman"/>
                      <w:i w:val="0"/>
                    </w:rPr>
                    <m:t>=2</m:t>
                  </m:r>
                  <m:ctrlPr>
                    <w:rPr>
                      <w:rFonts w:hint="default" w:ascii="Cambria Math" w:hAnsi="Cambria Math" w:cs="Times New Roman"/>
                      <w:i/>
                    </w:rPr>
                  </m:ctrlPr>
                </m:sub>
                <m:sup>
                  <m:r>
                    <m:rPr>
                      <m:nor/>
                    </m:rPr>
                    <w:rPr>
                      <w:rFonts w:hint="default" w:ascii="Times New Roman" w:hAnsi="Times New Roman" w:cs="Times New Roman"/>
                      <w:i/>
                    </w:rPr>
                    <m:t>N</m:t>
                  </m:r>
                  <m:ctrlPr>
                    <w:rPr>
                      <w:rFonts w:hint="default" w:ascii="Cambria Math" w:hAnsi="Cambria Math" w:cs="Times New Roman"/>
                      <w:i/>
                    </w:rPr>
                  </m:ctrlPr>
                </m:sup>
                <m:e>
                  <m:sSup>
                    <m:sSupPr>
                      <m:ctrlPr>
                        <w:rPr>
                          <w:rFonts w:hint="default" w:ascii="Cambria Math" w:hAnsi="Cambria Math" w:cs="Times New Roman"/>
                          <w:i/>
                        </w:rPr>
                      </m:ctrlPr>
                    </m:sSupPr>
                    <m:e>
                      <m:d>
                        <m:dPr>
                          <m:ctrlPr>
                            <w:rPr>
                              <w:rFonts w:hint="default" w:ascii="Cambria Math" w:hAnsi="Cambria Math" w:cs="Times New Roman"/>
                            </w:rPr>
                          </m:ctrlPr>
                        </m:dPr>
                        <m:e>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r>
                                <m:rPr>
                                  <m:nor/>
                                  <m:sty m:val="p"/>
                                </m:rPr>
                                <w:rPr>
                                  <w:rFonts w:hint="default" w:ascii="Times New Roman" w:hAnsi="Times New Roman" w:cs="Times New Roman"/>
                                  <w:i w:val="0"/>
                                </w:rPr>
                                <m:t>,</m:t>
                              </m:r>
                              <m:r>
                                <m:rPr>
                                  <m:nor/>
                                </m:rPr>
                                <w:rPr>
                                  <w:rFonts w:hint="default" w:ascii="Times New Roman" w:hAnsi="Times New Roman" w:cs="Times New Roman"/>
                                  <w:i/>
                                </w:rPr>
                                <m:t>d</m:t>
                              </m:r>
                              <m:ctrlPr>
                                <w:rPr>
                                  <w:rFonts w:hint="default" w:ascii="Cambria Math" w:hAnsi="Cambria Math" w:cs="Times New Roman"/>
                                  <w:i/>
                                </w:rPr>
                              </m:ctrlPr>
                            </m:sub>
                          </m:sSub>
                          <m:r>
                            <m:rPr>
                              <m:nor/>
                              <m:sty m:val="p"/>
                            </m:rPr>
                            <w:rPr>
                              <w:rFonts w:hint="default" w:ascii="Times New Roman" w:hAnsi="Times New Roman" w:cs="Times New Roman"/>
                              <w:i w:val="0"/>
                            </w:rPr>
                            <m:t>−</m:t>
                          </m:r>
                          <m:acc>
                            <m:accPr>
                              <m:chr m:val="̅"/>
                              <m:ctrlPr>
                                <w:rPr>
                                  <w:rFonts w:hint="default" w:ascii="Cambria Math" w:hAnsi="Cambria Math" w:cs="Times New Roman"/>
                                </w:rPr>
                              </m:ctrlPr>
                            </m:accPr>
                            <m:e>
                              <m:sSub>
                                <m:sSubPr>
                                  <m:ctrlPr>
                                    <w:rPr>
                                      <w:rFonts w:hint="default" w:ascii="Cambria Math" w:hAnsi="Cambria Math" w:cs="Times New Roman"/>
                                      <w:i/>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ctrlPr>
                                <w:rPr>
                                  <w:rFonts w:hint="default" w:ascii="Cambria Math" w:hAnsi="Cambria Math" w:cs="Times New Roman"/>
                                </w:rPr>
                              </m:ctrlPr>
                            </m:e>
                          </m:acc>
                          <m:ctrlPr>
                            <w:rPr>
                              <w:rFonts w:hint="default" w:ascii="Cambria Math" w:hAnsi="Cambria Math" w:cs="Times New Roman"/>
                              <w:i/>
                            </w:rPr>
                          </m:ctrlPr>
                        </m:e>
                      </m:d>
                      <m:ctrlPr>
                        <w:rPr>
                          <w:rFonts w:hint="default" w:ascii="Cambria Math" w:hAnsi="Cambria Math" w:cs="Times New Roman"/>
                        </w:rPr>
                      </m:ctrlPr>
                    </m:e>
                    <m:sup>
                      <m:r>
                        <m:rPr>
                          <m:nor/>
                          <m:sty m:val="p"/>
                        </m:rPr>
                        <w:rPr>
                          <w:rFonts w:hint="default" w:ascii="Times New Roman" w:hAnsi="Times New Roman" w:cs="Times New Roman"/>
                          <w:i w:val="0"/>
                        </w:rPr>
                        <m:t>2</m:t>
                      </m:r>
                      <m:ctrlPr>
                        <w:rPr>
                          <w:rFonts w:hint="default" w:ascii="Cambria Math" w:hAnsi="Cambria Math" w:cs="Times New Roman"/>
                          <w:i/>
                        </w:rPr>
                      </m:ctrlPr>
                    </m:sup>
                  </m:sSup>
                  <m:ctrlPr>
                    <w:rPr>
                      <w:rFonts w:hint="default" w:ascii="Cambria Math" w:hAnsi="Cambria Math" w:cs="Times New Roman"/>
                    </w:rPr>
                  </m:ctrlPr>
                </m:e>
              </m:nary>
              <m:ctrlPr>
                <w:rPr>
                  <w:rFonts w:hint="default" w:ascii="Cambria Math" w:hAnsi="Cambria Math" w:cs="Times New Roman"/>
                </w:rPr>
              </m:ctrlPr>
            </m:e>
          </m:rad>
        </m:oMath>
      </m:oMathPara>
    </w:p>
    <w:p w14:paraId="1CDE97A9">
      <w:pPr>
        <w:bidi w:val="0"/>
        <w:rPr>
          <w:rFonts w:hint="default"/>
          <w:b/>
          <w:bCs/>
        </w:rPr>
      </w:pPr>
      <w:r>
        <w:rPr>
          <w:rFonts w:hint="default"/>
          <w:b/>
          <w:bCs/>
        </w:rPr>
        <w:t>3. OBV斜率因子OBV_SLP：</w:t>
      </w:r>
    </w:p>
    <w:p w14:paraId="226CE28C">
      <w:pPr>
        <w:rPr>
          <w:rFonts w:hint="default" w:ascii="Times New Roman" w:hAnsi="Times New Roman" w:cs="Times New Roman"/>
        </w:rPr>
      </w:pPr>
      <w:r>
        <w:rPr>
          <w:rFonts w:hint="default" w:ascii="Times New Roman" w:hAnsi="Times New Roman" w:cs="Times New Roman"/>
        </w:rPr>
        <w:t>OBV（累积/派发量指标）是由 Joe Granville 提出的量价结合指标，用于衡量成交量随价格变化的累积情况。其基本思想是：</w:t>
      </w:r>
    </w:p>
    <w:p w14:paraId="463BD885">
      <w:pPr>
        <w:numPr>
          <w:ilvl w:val="0"/>
          <w:numId w:val="9"/>
        </w:numPr>
        <w:rPr>
          <w:rFonts w:hint="default" w:ascii="Times New Roman" w:hAnsi="Times New Roman" w:cs="Times New Roman"/>
        </w:rPr>
      </w:pPr>
      <w:r>
        <w:rPr>
          <w:rFonts w:hint="default" w:ascii="Times New Roman" w:hAnsi="Times New Roman" w:cs="Times New Roman"/>
        </w:rPr>
        <w:t>当价格上涨时，成交量累加；</w:t>
      </w:r>
    </w:p>
    <w:p w14:paraId="00EE40FC">
      <w:pPr>
        <w:numPr>
          <w:ilvl w:val="0"/>
          <w:numId w:val="9"/>
        </w:numPr>
        <w:rPr>
          <w:rFonts w:hint="default" w:ascii="Times New Roman" w:hAnsi="Times New Roman" w:cs="Times New Roman"/>
        </w:rPr>
      </w:pPr>
      <w:r>
        <w:rPr>
          <w:rFonts w:hint="default" w:ascii="Times New Roman" w:hAnsi="Times New Roman" w:cs="Times New Roman"/>
        </w:rPr>
        <w:t>当价格下跌时，成交量累减；</w:t>
      </w:r>
    </w:p>
    <w:p w14:paraId="4F3FAEC8">
      <w:pPr>
        <w:numPr>
          <w:ilvl w:val="0"/>
          <w:numId w:val="9"/>
        </w:numPr>
        <w:rPr>
          <w:rFonts w:hint="default" w:ascii="Times New Roman" w:hAnsi="Times New Roman" w:cs="Times New Roman"/>
        </w:rPr>
      </w:pPr>
      <w:r>
        <w:rPr>
          <w:rFonts w:hint="default" w:ascii="Times New Roman" w:hAnsi="Times New Roman" w:cs="Times New Roman"/>
        </w:rPr>
        <w:t>OBV 的走势反映了资金流向与市场动能。</w:t>
      </w:r>
    </w:p>
    <w:p w14:paraId="59210114">
      <w:pPr>
        <w:rPr>
          <w:rFonts w:hint="default" w:ascii="Times New Roman" w:hAnsi="Times New Roman" w:cs="Times New Roman"/>
        </w:rPr>
      </w:pPr>
      <w:r>
        <w:rPr>
          <w:rFonts w:hint="default" w:ascii="Times New Roman" w:hAnsi="Times New Roman" w:cs="Times New Roman"/>
        </w:rPr>
        <w:t>公式为单日累积更新：</w:t>
      </w:r>
    </w:p>
    <w:p w14:paraId="62333A13">
      <w:pPr>
        <w:rPr>
          <w:rFonts w:hint="default" w:ascii="Times New Roman" w:hAnsi="Times New Roman" w:cs="Times New Roman"/>
        </w:rPr>
      </w:pPr>
      <w:r>
        <w:rPr>
          <w:rFonts w:hint="default" w:ascii="Times New Roman" w:hAnsi="Times New Roman" w:cs="Times New Roman"/>
        </w:rPr>
        <w:drawing>
          <wp:inline distT="0" distB="0" distL="0" distR="0">
            <wp:extent cx="5274310" cy="1692910"/>
            <wp:effectExtent l="0" t="0" r="8890" b="8890"/>
            <wp:docPr id="85019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9377" name="图片 1"/>
                    <pic:cNvPicPr>
                      <a:picLocks noChangeAspect="1"/>
                    </pic:cNvPicPr>
                  </pic:nvPicPr>
                  <pic:blipFill>
                    <a:blip r:embed="rId16"/>
                    <a:stretch>
                      <a:fillRect/>
                    </a:stretch>
                  </pic:blipFill>
                  <pic:spPr>
                    <a:xfrm>
                      <a:off x="0" y="0"/>
                      <a:ext cx="5274310" cy="1692910"/>
                    </a:xfrm>
                    <a:prstGeom prst="rect">
                      <a:avLst/>
                    </a:prstGeom>
                  </pic:spPr>
                </pic:pic>
              </a:graphicData>
            </a:graphic>
          </wp:inline>
        </w:drawing>
      </w:r>
    </w:p>
    <w:p w14:paraId="6247D4A0">
      <w:pPr>
        <w:rPr>
          <w:rFonts w:hint="default" w:ascii="Times New Roman" w:hAnsi="Times New Roman" w:cs="Times New Roman"/>
        </w:rPr>
      </w:pPr>
      <w:r>
        <w:rPr>
          <w:rFonts w:hint="default" w:ascii="Times New Roman" w:hAnsi="Times New Roman" w:cs="Times New Roman"/>
        </w:rPr>
        <w:t>其中：</w:t>
      </w:r>
    </w:p>
    <w:p w14:paraId="78B4E346">
      <w:pPr>
        <w:numPr>
          <w:ilvl w:val="0"/>
          <w:numId w:val="10"/>
        </w:numPr>
        <w:rPr>
          <w:rFonts w:hint="default" w:ascii="Times New Roman" w:hAnsi="Times New Roman" w:cs="Times New Roman"/>
        </w:rPr>
      </w:pPr>
      <w:r>
        <w:rPr>
          <w:rFonts w:hint="default" w:ascii="Times New Roman" w:hAnsi="Times New Roman" w:cs="Times New Roman"/>
        </w:rPr>
        <w:t>Vt​：当日成交量（可用 Dnshrtrd 或 Dnvaltrd，按实际需求）；</w:t>
      </w:r>
    </w:p>
    <w:p w14:paraId="4E7FFCE0">
      <w:pPr>
        <w:numPr>
          <w:ilvl w:val="0"/>
          <w:numId w:val="10"/>
        </w:numPr>
        <w:rPr>
          <w:rFonts w:hint="default" w:ascii="Times New Roman" w:hAnsi="Times New Roman" w:cs="Times New Roman"/>
        </w:rPr>
      </w:pPr>
      <w:r>
        <w:rPr>
          <w:rFonts w:hint="default" w:ascii="Times New Roman" w:hAnsi="Times New Roman" w:cs="Times New Roman"/>
        </w:rPr>
        <w:t>Pt ​：当日收盘价；</w:t>
      </w:r>
    </w:p>
    <w:p w14:paraId="1F14EE60">
      <w:pPr>
        <w:numPr>
          <w:ilvl w:val="0"/>
          <w:numId w:val="10"/>
        </w:numPr>
        <w:rPr>
          <w:rFonts w:hint="default" w:ascii="Times New Roman" w:hAnsi="Times New Roman" w:cs="Times New Roman"/>
        </w:rPr>
      </w:pPr>
      <w:r>
        <w:rPr>
          <w:rFonts w:hint="default" w:ascii="Times New Roman" w:hAnsi="Times New Roman" w:cs="Times New Roman"/>
        </w:rPr>
        <w:t>OBV 随时间累积，形成时间序列。</w:t>
      </w:r>
    </w:p>
    <w:p w14:paraId="010999EB">
      <w:pPr>
        <w:rPr>
          <w:rFonts w:hint="default" w:ascii="Times New Roman" w:hAnsi="Times New Roman" w:cs="Times New Roman"/>
          <w:b/>
          <w:bCs/>
        </w:rPr>
      </w:pPr>
    </w:p>
    <w:p w14:paraId="686272F5">
      <w:pPr>
        <w:rPr>
          <w:rFonts w:hint="default" w:ascii="Times New Roman" w:hAnsi="Times New Roman" w:cs="Times New Roman"/>
        </w:rPr>
      </w:pPr>
      <w:r>
        <w:rPr>
          <w:rFonts w:hint="default" w:ascii="Times New Roman" w:hAnsi="Times New Roman" w:cs="Times New Roman"/>
        </w:rPr>
        <w:t>为了得到</w:t>
      </w:r>
      <w:r>
        <w:rPr>
          <w:rFonts w:hint="default" w:ascii="Times New Roman" w:hAnsi="Times New Roman" w:cs="Times New Roman"/>
          <w:b/>
          <w:bCs/>
        </w:rPr>
        <w:t>月度因子暴露</w:t>
      </w:r>
      <w:r>
        <w:rPr>
          <w:rFonts w:hint="default" w:ascii="Times New Roman" w:hAnsi="Times New Roman" w:cs="Times New Roman"/>
        </w:rPr>
        <w:t>：</w:t>
      </w:r>
    </w:p>
    <w:p w14:paraId="23E10FC0">
      <w:pPr>
        <w:numPr>
          <w:ilvl w:val="0"/>
          <w:numId w:val="11"/>
        </w:numPr>
        <w:rPr>
          <w:rFonts w:hint="default" w:ascii="Times New Roman" w:hAnsi="Times New Roman" w:cs="Times New Roman"/>
        </w:rPr>
      </w:pPr>
      <w:r>
        <w:rPr>
          <w:rFonts w:hint="default" w:ascii="Times New Roman" w:hAnsi="Times New Roman" w:cs="Times New Roman"/>
        </w:rPr>
        <w:t>对每只股票 Stkcd，在当月按交易日顺序计算累计 OBV；</w:t>
      </w:r>
    </w:p>
    <w:p w14:paraId="0C260987">
      <w:pPr>
        <w:numPr>
          <w:ilvl w:val="0"/>
          <w:numId w:val="11"/>
        </w:numPr>
        <w:rPr>
          <w:rFonts w:hint="default" w:ascii="Times New Roman" w:hAnsi="Times New Roman" w:cs="Times New Roman"/>
        </w:rPr>
      </w:pPr>
      <w:r>
        <w:rPr>
          <w:rFonts w:hint="default" w:ascii="Times New Roman" w:hAnsi="Times New Roman" w:cs="Times New Roman"/>
        </w:rPr>
        <w:t>对当月 OBV 时间序列做</w:t>
      </w:r>
      <w:r>
        <w:rPr>
          <w:rFonts w:hint="default" w:ascii="Times New Roman" w:hAnsi="Times New Roman" w:cs="Times New Roman"/>
          <w:b/>
          <w:bCs/>
        </w:rPr>
        <w:t>线性回归</w:t>
      </w:r>
      <w:r>
        <w:rPr>
          <w:rFonts w:hint="default" w:ascii="Times New Roman" w:hAnsi="Times New Roman" w:cs="Times New Roman"/>
        </w:rPr>
        <w:t>（OBV 对交易日</w:t>
      </w:r>
      <w:r>
        <w:rPr>
          <w:rFonts w:hint="default" w:ascii="Times New Roman" w:hAnsi="Times New Roman" w:cs="Times New Roman"/>
        </w:rPr>
        <w:t>顺序</w:t>
      </w:r>
      <w:r>
        <w:rPr>
          <w:rFonts w:hint="default" w:ascii="Times New Roman" w:hAnsi="Times New Roman" w:cs="Times New Roman"/>
        </w:rPr>
        <w:t>编号），得到</w:t>
      </w:r>
      <w:r>
        <w:rPr>
          <w:rFonts w:hint="default" w:ascii="Times New Roman" w:hAnsi="Times New Roman" w:cs="Times New Roman"/>
          <w:b/>
          <w:bCs/>
        </w:rPr>
        <w:t>斜率</w:t>
      </w:r>
      <w:r>
        <w:rPr>
          <w:rFonts w:hint="default" w:ascii="Times New Roman" w:hAnsi="Times New Roman" w:cs="Times New Roman"/>
        </w:rPr>
        <w:t>；</w:t>
      </w:r>
    </w:p>
    <w:p w14:paraId="2A482C2D">
      <w:pPr>
        <w:numPr>
          <w:ilvl w:val="0"/>
          <w:numId w:val="11"/>
        </w:numPr>
        <w:rPr>
          <w:rFonts w:hint="default" w:ascii="Times New Roman" w:hAnsi="Times New Roman" w:cs="Times New Roman"/>
        </w:rPr>
      </w:pPr>
      <w:r>
        <w:rPr>
          <w:rFonts w:hint="default" w:ascii="Times New Roman" w:hAnsi="Times New Roman" w:cs="Times New Roman"/>
        </w:rPr>
        <w:t xml:space="preserve">该斜率即为当月的 </w:t>
      </w:r>
      <w:r>
        <w:rPr>
          <w:rFonts w:hint="default" w:ascii="Times New Roman" w:hAnsi="Times New Roman" w:cs="Times New Roman"/>
          <w:b/>
          <w:bCs/>
        </w:rPr>
        <w:t>OBV斜率因子</w:t>
      </w:r>
      <w:r>
        <w:rPr>
          <w:rFonts w:hint="default" w:ascii="Times New Roman" w:hAnsi="Times New Roman" w:cs="Times New Roman"/>
        </w:rPr>
        <w:t>，用于次月初调仓。</w:t>
      </w:r>
    </w:p>
    <w:p w14:paraId="2DD393AA">
      <w:pPr>
        <w:numPr>
          <w:ilvl w:val="0"/>
          <w:numId w:val="12"/>
        </w:numPr>
        <w:rPr>
          <w:rFonts w:hint="default" w:ascii="Times New Roman" w:hAnsi="Times New Roman" w:cs="Times New Roman"/>
        </w:rPr>
      </w:pPr>
      <w:r>
        <w:rPr>
          <w:rFonts w:hint="default" w:ascii="Times New Roman" w:hAnsi="Times New Roman" w:cs="Times New Roman"/>
        </w:rPr>
        <w:t>正斜率：资金持续流入，潜在看涨信号。</w:t>
      </w:r>
    </w:p>
    <w:p w14:paraId="28D4A804">
      <w:pPr>
        <w:numPr>
          <w:ilvl w:val="0"/>
          <w:numId w:val="12"/>
        </w:numPr>
        <w:rPr>
          <w:rFonts w:hint="default" w:ascii="Times New Roman" w:hAnsi="Times New Roman" w:cs="Times New Roman"/>
        </w:rPr>
      </w:pPr>
      <w:r>
        <w:rPr>
          <w:rFonts w:hint="default" w:ascii="Times New Roman" w:hAnsi="Times New Roman" w:cs="Times New Roman"/>
        </w:rPr>
        <w:t>负斜率：资金持续流出，潜在看跌信号。</w:t>
      </w:r>
    </w:p>
    <w:p w14:paraId="013E7155">
      <w:pPr>
        <w:rPr>
          <w:rFonts w:hint="default" w:ascii="Times New Roman" w:hAnsi="Times New Roman" w:cs="Times New Roman"/>
          <w:b/>
          <w:bCs/>
          <w:sz w:val="24"/>
          <w:szCs w:val="32"/>
        </w:rPr>
      </w:pPr>
    </w:p>
    <w:p w14:paraId="538E6F1E">
      <w:pPr>
        <w:bidi w:val="0"/>
        <w:rPr>
          <w:rFonts w:hint="default"/>
          <w:b/>
          <w:bCs/>
        </w:rPr>
      </w:pPr>
      <w:r>
        <w:rPr>
          <w:rFonts w:hint="default"/>
          <w:b/>
          <w:bCs/>
        </w:rPr>
        <w:t>4. 市盈率倒数 (E/P)</w:t>
      </w:r>
    </w:p>
    <w:p w14:paraId="1A49B64E">
      <w:pPr>
        <w:rPr>
          <w:rFonts w:hint="default" w:ascii="Times New Roman" w:hAnsi="Times New Roman" w:cs="Times New Roman"/>
        </w:rPr>
      </w:pPr>
      <w:r>
        <w:rPr>
          <w:rFonts w:hint="default" w:ascii="Times New Roman" w:hAnsi="Times New Roman" w:cs="Times New Roman"/>
        </w:rPr>
        <w:t>市盈率倒数衡量的是公司盈利能力与当前股价的关系，用以衡量股票的估值水平。高E/P值（即低P/E值）通常意味着股票估值较低，可能具有较高的潜在投资价值。</w:t>
      </w:r>
    </w:p>
    <w:p w14:paraId="18E39C90">
      <w:pPr>
        <w:rPr>
          <w:rFonts w:hint="default" w:ascii="Times New Roman" w:hAnsi="Times New Roman" w:cs="Times New Roman"/>
          <w:b/>
          <w:bCs/>
        </w:rPr>
      </w:pPr>
      <w:r>
        <w:rPr>
          <w:rFonts w:hint="default" w:ascii="Times New Roman" w:hAnsi="Times New Roman" w:cs="Times New Roman"/>
          <w:b/>
          <w:bCs/>
        </w:rPr>
        <w:t>计算方式：</w:t>
      </w:r>
    </w:p>
    <w:p w14:paraId="6EFA0C10">
      <w:pPr>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m:oMath>
        <m:r>
          <m:rPr>
            <m:nor/>
            <m:sty m:val="p"/>
          </m:rPr>
          <w:rPr>
            <w:rFonts w:hint="default" w:ascii="Times New Roman" w:hAnsi="Times New Roman" w:cs="Times New Roman"/>
            <w:b w:val="0"/>
            <w:i w:val="0"/>
          </w:rPr>
          <m:t>E/</m:t>
        </m:r>
        <m:sSub>
          <m:sSubPr>
            <m:ctrlPr>
              <w:rPr>
                <w:rFonts w:hint="default" w:ascii="Cambria Math" w:hAnsi="Cambria Math" w:cs="Times New Roman"/>
              </w:rPr>
            </m:ctrlPr>
          </m:sSubPr>
          <m:e>
            <m:r>
              <m:rPr>
                <m:nor/>
                <m:sty m:val="p"/>
              </m:rPr>
              <w:rPr>
                <w:rFonts w:hint="default" w:ascii="Times New Roman" w:hAnsi="Times New Roman" w:cs="Times New Roman"/>
                <w:b w:val="0"/>
                <w:i w:val="0"/>
              </w:rPr>
              <m:t>P</m:t>
            </m:r>
            <m:ctrlPr>
              <w:rPr>
                <w:rFonts w:hint="default" w:ascii="Cambria Math" w:hAnsi="Cambria Math" w:cs="Times New Roman"/>
              </w:rPr>
            </m:ctrlPr>
          </m:e>
          <m:sub>
            <m:r>
              <m:rPr>
                <m:nor/>
                <m:sty m:val="p"/>
              </m:rPr>
              <w:rPr>
                <w:rFonts w:hint="default" w:ascii="Times New Roman" w:hAnsi="Times New Roman" w:cs="Times New Roman"/>
                <w:b w:val="0"/>
                <w:i w:val="0"/>
              </w:rPr>
              <m:t>i,t</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EP</m:t>
            </m:r>
            <m:sSub>
              <m:sSubPr>
                <m:ctrlPr>
                  <w:rPr>
                    <w:rFonts w:hint="default" w:ascii="Cambria Math" w:hAnsi="Cambria Math" w:cs="Times New Roman"/>
                  </w:rPr>
                </m:ctrlPr>
              </m:sSubPr>
              <m:e>
                <m:r>
                  <m:rPr>
                    <m:nor/>
                    <m:sty m:val="p"/>
                  </m:rPr>
                  <w:rPr>
                    <w:rFonts w:hint="default" w:ascii="Times New Roman" w:hAnsi="Times New Roman" w:cs="Times New Roman"/>
                    <w:b w:val="0"/>
                    <w:i w:val="0"/>
                  </w:rPr>
                  <m:t>S</m:t>
                </m:r>
                <m:ctrlPr>
                  <w:rPr>
                    <w:rFonts w:hint="default" w:ascii="Cambria Math" w:hAnsi="Cambria Math" w:cs="Times New Roman"/>
                  </w:rPr>
                </m:ctrlPr>
              </m:e>
              <m:sub>
                <m:r>
                  <m:rPr>
                    <m:nor/>
                    <m:sty m:val="p"/>
                  </m:rPr>
                  <w:rPr>
                    <w:rFonts w:hint="default" w:ascii="Times New Roman" w:hAnsi="Times New Roman" w:cs="Times New Roman"/>
                    <w:b w:val="0"/>
                    <w:i w:val="0"/>
                  </w:rPr>
                  <m:t>i,TTM</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w:bookmarkStart w:id="0" w:name="OLE_LINK2"/>
                <m:r>
                  <m:rPr>
                    <m:nor/>
                    <m:sty m:val="p"/>
                  </m:rPr>
                  <w:rPr>
                    <w:rFonts w:hint="default" w:ascii="Times New Roman" w:hAnsi="Times New Roman" w:cs="Times New Roman"/>
                    <w:b w:val="0"/>
                    <w:i w:val="0"/>
                  </w:rPr>
                  <m:t>P</m:t>
                </m:r>
                <m:ctrlPr>
                  <w:rPr>
                    <w:rFonts w:hint="default" w:ascii="Cambria Math" w:hAnsi="Cambria Math" w:cs="Times New Roman"/>
                  </w:rPr>
                </m:ctrlPr>
              </m:e>
              <m:sub>
                <m:r>
                  <m:rPr>
                    <m:nor/>
                    <m:sty m:val="p"/>
                  </m:rPr>
                  <w:rPr>
                    <w:rFonts w:hint="default" w:ascii="Times New Roman" w:hAnsi="Times New Roman" w:cs="Times New Roman"/>
                    <w:b w:val="0"/>
                    <w:i w:val="0"/>
                  </w:rPr>
                  <m:t>i,t</m:t>
                </m:r>
                <w:bookmarkEnd w:id="0"/>
                <m:ctrlPr>
                  <w:rPr>
                    <w:rFonts w:hint="default" w:ascii="Cambria Math" w:hAnsi="Cambria Math" w:cs="Times New Roman"/>
                  </w:rPr>
                </m:ctrlPr>
              </m:sub>
            </m:sSub>
            <m:ctrlPr>
              <w:rPr>
                <w:rFonts w:hint="default" w:ascii="Cambria Math" w:hAnsi="Cambria Math" w:cs="Times New Roman"/>
              </w:rPr>
            </m:ctrlPr>
          </m:den>
        </m:f>
      </m:oMath>
    </w:p>
    <w:p w14:paraId="09ADB428">
      <w:pPr>
        <w:rPr>
          <w:rFonts w:hint="default" w:ascii="Times New Roman" w:hAnsi="Times New Roman" w:cs="Times New Roman"/>
        </w:rPr>
      </w:pPr>
      <w:r>
        <w:rPr>
          <w:rFonts w:hint="default" w:ascii="Times New Roman" w:hAnsi="Times New Roman" w:cs="Times New Roman"/>
          <w:b/>
          <w:bCs/>
        </w:rPr>
        <w:t>其中：</w:t>
      </w:r>
    </w:p>
    <w:p w14:paraId="67E51D33">
      <w:pPr>
        <w:numPr>
          <w:ilvl w:val="0"/>
          <w:numId w:val="13"/>
        </w:numPr>
        <w:rPr>
          <w:rFonts w:hint="default" w:ascii="Times New Roman" w:hAnsi="Times New Roman" w:cs="Times New Roman"/>
        </w:rPr>
      </w:pPr>
      <m:oMath>
        <m:r>
          <m:rPr>
            <m:nor/>
          </m:rPr>
          <w:rPr>
            <w:rFonts w:hint="default" w:ascii="Times New Roman" w:hAnsi="Times New Roman" w:cs="Times New Roman"/>
            <w:i/>
          </w:rPr>
          <m:t>EP</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TTM</m:t>
            </m:r>
            <m:ctrlPr>
              <w:rPr>
                <w:rFonts w:hint="default" w:ascii="Cambria Math" w:hAnsi="Cambria Math" w:cs="Times New Roman"/>
              </w:rPr>
            </m:ctrlPr>
          </m:sub>
        </m:sSub>
      </m:oMath>
      <w:r>
        <w:rPr>
          <w:rFonts w:hint="default" w:ascii="Times New Roman" w:hAnsi="Times New Roman" w:cs="Times New Roman"/>
        </w:rPr>
        <w:t>：股票</w:t>
      </w:r>
      <w:r>
        <w:rPr>
          <w:rFonts w:hint="default" w:ascii="Times New Roman" w:hAnsi="Times New Roman" w:cs="Times New Roman"/>
        </w:rPr>
        <w:t>i</w:t>
      </w:r>
      <w:r>
        <w:rPr>
          <w:rFonts w:hint="default" w:ascii="Times New Roman" w:hAnsi="Times New Roman" w:cs="Times New Roman"/>
        </w:rPr>
        <w:t>在</w:t>
      </w:r>
      <w:r>
        <w:rPr>
          <w:rFonts w:hint="default" w:ascii="Times New Roman" w:hAnsi="Times New Roman" w:cs="Times New Roman"/>
        </w:rPr>
        <w:t>t</w:t>
      </w:r>
      <w:r>
        <w:rPr>
          <w:rFonts w:hint="default" w:ascii="Times New Roman" w:hAnsi="Times New Roman" w:cs="Times New Roman"/>
        </w:rPr>
        <w:t>时点（月末）的最近12个月每股收益。</w:t>
      </w:r>
    </w:p>
    <w:p w14:paraId="5B9E0FFB">
      <w:pPr>
        <w:numPr>
          <w:ilvl w:val="0"/>
          <w:numId w:val="13"/>
        </w:numPr>
        <w:rPr>
          <w:rFonts w:hint="default" w:ascii="Times New Roman" w:hAnsi="Times New Roman" w:cs="Times New Roma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：股票</w:t>
      </w:r>
      <w:r>
        <w:rPr>
          <w:rFonts w:hint="default" w:ascii="Times New Roman" w:hAnsi="Times New Roman" w:cs="Times New Roman"/>
        </w:rPr>
        <w:t>i</w:t>
      </w:r>
      <w:r>
        <w:rPr>
          <w:rFonts w:hint="default" w:ascii="Times New Roman" w:hAnsi="Times New Roman" w:cs="Times New Roman"/>
        </w:rPr>
        <w:t>在</w:t>
      </w:r>
      <w:r>
        <w:rPr>
          <w:rFonts w:hint="default" w:ascii="Times New Roman" w:hAnsi="Times New Roman" w:cs="Times New Roman"/>
        </w:rPr>
        <w:t>t</w:t>
      </w:r>
      <w:r>
        <w:rPr>
          <w:rFonts w:hint="default" w:ascii="Times New Roman" w:hAnsi="Times New Roman" w:cs="Times New Roman"/>
        </w:rPr>
        <w:t>时点（月末）的收盘价。</w:t>
      </w:r>
    </w:p>
    <w:p w14:paraId="59D803F2">
      <w:pPr>
        <w:ind w:left="360"/>
        <w:rPr>
          <w:rFonts w:hint="default" w:ascii="Times New Roman" w:hAnsi="Times New Roman" w:cs="Times New Roman"/>
        </w:rPr>
      </w:pPr>
    </w:p>
    <w:p w14:paraId="4F1C4D1B">
      <w:pPr>
        <w:bidi w:val="0"/>
        <w:rPr>
          <w:rFonts w:hint="default"/>
          <w:b/>
          <w:bCs/>
        </w:rPr>
      </w:pPr>
      <w:r>
        <w:rPr>
          <w:rFonts w:hint="default"/>
          <w:b/>
          <w:bCs/>
        </w:rPr>
        <w:t>5. 净资产收益率 (ROE)</w:t>
      </w:r>
    </w:p>
    <w:p w14:paraId="0BC6D7C2">
      <w:pPr>
        <w:rPr>
          <w:rFonts w:hint="default" w:ascii="Times New Roman" w:hAnsi="Times New Roman" w:cs="Times New Roman"/>
        </w:rPr>
      </w:pPr>
      <w:r>
        <w:rPr>
          <w:rFonts w:hint="default" w:ascii="Times New Roman" w:hAnsi="Times New Roman" w:cs="Times New Roman"/>
        </w:rPr>
        <w:t>净资产收益率衡量的是公司利用股东权益创造利润的能力，是评估公司盈利质量的指标之一。高ROE代表公司为股东创造回报的能力较强，经营效率较高。</w:t>
      </w:r>
    </w:p>
    <w:p w14:paraId="664FE3DF">
      <w:pPr>
        <w:rPr>
          <w:rFonts w:hint="default" w:ascii="Times New Roman" w:hAnsi="Times New Roman" w:cs="Times New Roman"/>
          <w:b/>
          <w:bCs/>
        </w:rPr>
      </w:pPr>
      <w:r>
        <w:rPr>
          <w:rFonts w:hint="default" w:ascii="Times New Roman" w:hAnsi="Times New Roman" w:cs="Times New Roman"/>
          <w:b/>
          <w:bCs/>
        </w:rPr>
        <w:t>计算方式：</w:t>
      </w:r>
    </w:p>
    <w:p w14:paraId="21E5DD45">
      <w:pPr>
        <w:rPr>
          <w:rFonts w:hint="default" w:ascii="Times New Roman" w:hAnsi="Times New Roman" w:cs="Times New Roman"/>
        </w:rPr>
      </w:pPr>
      <m:oMathPara>
        <m:oMath>
          <m:r>
            <m:rPr>
              <m:nor/>
            </m:rPr>
            <w:rPr>
              <w:rFonts w:hint="default" w:ascii="Times New Roman" w:hAnsi="Times New Roman" w:cs="Times New Roman"/>
              <w:i/>
            </w:rPr>
            <m:t>RO</m:t>
          </m:r>
          <m:sSub>
            <m:sSubPr>
              <m:ctrlPr>
                <w:rPr>
                  <w:rFonts w:hint="default" w:ascii="Cambria Math" w:hAnsi="Cambria Math" w:cs="Times New Roman"/>
                  <w:i/>
                </w:rPr>
              </m:ctrlPr>
            </m:sSubPr>
            <m:e>
              <m:r>
                <m:rPr>
                  <m:nor/>
                </m:rPr>
                <w:rPr>
                  <w:rFonts w:hint="default" w:ascii="Times New Roman" w:hAnsi="Times New Roman" w:cs="Times New Roman"/>
                  <w:i/>
                </w:rPr>
                <m:t>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i/>
                    </w:rPr>
                  </m:ctrlPr>
                </m:sSubPr>
                <m:e>
                  <m:r>
                    <m:rPr>
                      <m:nor/>
                      <m:sty m:val="p"/>
                    </m:rPr>
                    <w:rPr>
                      <w:rFonts w:hint="default" w:ascii="Times New Roman" w:hAnsi="Times New Roman" w:cs="Times New Roman"/>
                    </w:rPr>
                    <m:t>NetIncome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ctrlPr>
                    <w:rPr>
                      <w:rFonts w:hint="default" w:ascii="Cambria Math" w:hAnsi="Cambria Math" w:cs="Times New Roman"/>
                      <w:i/>
                    </w:rPr>
                  </m:ctrlPr>
                </m:sub>
              </m:sSub>
              <m:ctrlPr>
                <w:rPr>
                  <w:rFonts w:hint="default" w:ascii="Cambria Math" w:hAnsi="Cambria Math" w:cs="Times New Roman"/>
                  <w:i/>
                </w:rPr>
              </m:ctrlPr>
            </m:num>
            <m:den>
              <m:sSub>
                <m:sSubPr>
                  <m:ctrlPr>
                    <w:rPr>
                      <w:rFonts w:hint="default" w:ascii="Cambria Math" w:hAnsi="Cambria Math" w:cs="Times New Roman"/>
                      <w:i/>
                    </w:rPr>
                  </m:ctrlPr>
                </m:sSubPr>
                <m:e>
                  <w:bookmarkStart w:id="1" w:name="OLE_LINK3"/>
                  <m:r>
                    <m:rPr>
                      <m:nor/>
                      <m:sty m:val="p"/>
                    </m:rPr>
                    <w:rPr>
                      <w:rFonts w:hint="default" w:ascii="Times New Roman" w:hAnsi="Times New Roman" w:cs="Times New Roman"/>
                    </w:rPr>
                    <m:t>AverageEquity</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w:bookmarkEnd w:id="1"/>
                  <m:r>
                    <m:rPr>
                      <m:nor/>
                    </m:rPr>
                    <w:rPr>
                      <w:rFonts w:hint="default" w:ascii="Times New Roman" w:hAnsi="Times New Roman" w:cs="Times New Roman"/>
                      <w:i/>
                    </w:rPr>
                    <m:t>t</m:t>
                  </m:r>
                  <m:ctrlPr>
                    <w:rPr>
                      <w:rFonts w:hint="default" w:ascii="Cambria Math" w:hAnsi="Cambria Math" w:cs="Times New Roman"/>
                      <w:i/>
                    </w:rPr>
                  </m:ctrlPr>
                </m:sub>
              </m:sSub>
              <m:ctrlPr>
                <w:rPr>
                  <w:rFonts w:hint="default" w:ascii="Cambria Math" w:hAnsi="Cambria Math" w:cs="Times New Roman"/>
                  <w:i/>
                </w:rPr>
              </m:ctrlPr>
            </m:den>
          </m:f>
        </m:oMath>
      </m:oMathPara>
    </w:p>
    <w:p w14:paraId="0A667231">
      <w:pPr>
        <w:rPr>
          <w:rFonts w:hint="default" w:ascii="Times New Roman" w:hAnsi="Times New Roman" w:cs="Times New Roman"/>
        </w:rPr>
      </w:pPr>
      <w:r>
        <w:rPr>
          <w:rFonts w:hint="default" w:ascii="Times New Roman" w:hAnsi="Times New Roman" w:cs="Times New Roman"/>
          <w:b/>
          <w:bCs/>
        </w:rPr>
        <w:t>其中：</w:t>
      </w:r>
    </w:p>
    <w:p w14:paraId="17377847">
      <w:pPr>
        <w:numPr>
          <w:ilvl w:val="0"/>
          <w:numId w:val="14"/>
        </w:numPr>
        <w:rPr>
          <w:rFonts w:hint="default" w:ascii="Times New Roman" w:hAnsi="Times New Roman" w:cs="Times New Roman"/>
        </w:rPr>
      </w:pPr>
      <m:oMath>
        <m:sSub>
          <m:sSubPr>
            <m:ctrlPr>
              <w:rPr>
                <w:rFonts w:hint="default" w:ascii="Cambria Math" w:hAnsi="Cambria Math" w:cs="Times New Roman"/>
                <w:i/>
              </w:rPr>
            </m:ctrlPr>
          </m:sSubPr>
          <m:e>
            <m:r>
              <m:rPr>
                <m:nor/>
                <m:sty m:val="p"/>
              </m:rPr>
              <w:rPr>
                <w:rFonts w:hint="default" w:ascii="Times New Roman" w:hAnsi="Times New Roman" w:cs="Times New Roman"/>
              </w:rPr>
              <m:t>NetIncome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ctrlPr>
              <w:rPr>
                <w:rFonts w:hint="default" w:ascii="Cambria Math" w:hAnsi="Cambria Math" w:cs="Times New Roman"/>
                <w:i/>
              </w:rPr>
            </m:ctrlPr>
          </m:sub>
        </m:sSub>
      </m:oMath>
      <w:r>
        <w:rPr>
          <w:rFonts w:hint="default" w:ascii="Times New Roman" w:hAnsi="Times New Roman" w:cs="Times New Roman"/>
        </w:rPr>
        <w:t>：股票</w:t>
      </w:r>
      <w:r>
        <w:rPr>
          <w:rFonts w:hint="default" w:ascii="Times New Roman" w:hAnsi="Times New Roman" w:cs="Times New Roman"/>
        </w:rPr>
        <w:t>i</w:t>
      </w:r>
      <w:r>
        <w:rPr>
          <w:rFonts w:hint="default" w:ascii="Times New Roman" w:hAnsi="Times New Roman" w:cs="Times New Roman"/>
        </w:rPr>
        <w:t>在</w:t>
      </w:r>
      <w:r>
        <w:rPr>
          <w:rFonts w:hint="default" w:ascii="Times New Roman" w:hAnsi="Times New Roman" w:cs="Times New Roman"/>
        </w:rPr>
        <w:t>t</w:t>
      </w:r>
      <w:r>
        <w:rPr>
          <w:rFonts w:hint="default" w:ascii="Times New Roman" w:hAnsi="Times New Roman" w:cs="Times New Roman"/>
        </w:rPr>
        <w:t>时点的最近12个月累计净利润。</w:t>
      </w:r>
    </w:p>
    <w:p w14:paraId="460DF14B">
      <w:pPr>
        <w:numPr>
          <w:ilvl w:val="0"/>
          <w:numId w:val="14"/>
        </w:numPr>
        <w:rPr>
          <w:rFonts w:hint="default" w:ascii="Times New Roman" w:hAnsi="Times New Roman" w:cs="Times New Roman"/>
        </w:rPr>
      </w:pPr>
      <m:oMath>
        <m:sSub>
          <m:sSubPr>
            <m:ctrlPr>
              <w:rPr>
                <w:rFonts w:hint="default" w:ascii="Cambria Math" w:hAnsi="Cambria Math" w:cs="Times New Roman"/>
                <w:i/>
              </w:rPr>
            </m:ctrlPr>
          </m:sSubPr>
          <m:e>
            <m:r>
              <m:rPr>
                <m:nor/>
                <m:sty m:val="p"/>
              </m:rPr>
              <w:rPr>
                <w:rFonts w:hint="default" w:ascii="Times New Roman" w:hAnsi="Times New Roman" w:cs="Times New Roman"/>
              </w:rPr>
              <m:t>AverageEquity</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oMath>
      <w:r>
        <w:rPr>
          <w:rFonts w:hint="default" w:ascii="Times New Roman" w:hAnsi="Times New Roman" w:cs="Times New Roman"/>
        </w:rPr>
        <w:t>：股票</w:t>
      </w:r>
      <w:r>
        <w:rPr>
          <w:rFonts w:hint="default" w:ascii="Times New Roman" w:hAnsi="Times New Roman" w:cs="Times New Roman"/>
        </w:rPr>
        <w:t>i</w:t>
      </w:r>
      <w:r>
        <w:rPr>
          <w:rFonts w:hint="default" w:ascii="Times New Roman" w:hAnsi="Times New Roman" w:cs="Times New Roman"/>
        </w:rPr>
        <w:t>在</w:t>
      </w:r>
      <w:r>
        <w:rPr>
          <w:rFonts w:hint="default" w:ascii="Times New Roman" w:hAnsi="Times New Roman" w:cs="Times New Roman"/>
        </w:rPr>
        <w:t>t</w:t>
      </w:r>
      <w:r>
        <w:rPr>
          <w:rFonts w:hint="default" w:ascii="Times New Roman" w:hAnsi="Times New Roman" w:cs="Times New Roman"/>
        </w:rPr>
        <w:t>时点的平均股东权益（使用最近报告期期初与期末净资产的平均值）。</w:t>
      </w:r>
    </w:p>
    <w:p w14:paraId="1FEE9840">
      <w:pPr>
        <w:ind w:left="360"/>
        <w:rPr>
          <w:rFonts w:hint="default" w:ascii="Times New Roman" w:hAnsi="Times New Roman" w:cs="Times New Roman"/>
        </w:rPr>
      </w:pPr>
    </w:p>
    <w:p w14:paraId="1F53861A">
      <w:pPr>
        <w:bidi w:val="0"/>
        <w:rPr>
          <w:rFonts w:hint="default"/>
          <w:b/>
          <w:bCs/>
        </w:rPr>
      </w:pPr>
      <w:r>
        <w:rPr>
          <w:rFonts w:hint="default"/>
          <w:b/>
          <w:bCs/>
        </w:rPr>
        <w:t>6. 营业收入增长率 (RevenueGrowth)</w:t>
      </w:r>
    </w:p>
    <w:p w14:paraId="624C456C">
      <w:pPr>
        <w:rPr>
          <w:rFonts w:hint="default" w:ascii="Times New Roman" w:hAnsi="Times New Roman" w:cs="Times New Roman"/>
        </w:rPr>
      </w:pPr>
      <w:r>
        <w:rPr>
          <w:rFonts w:hint="default" w:ascii="Times New Roman" w:hAnsi="Times New Roman" w:cs="Times New Roman"/>
        </w:rPr>
        <w:t>营业收入增长率衡量的是公司在一定时期内主营业务收入的增长速度，是评估公司成长性的指标。高增长率表明公司产品或服务具有较强的市场竞争力，可能处于快速扩张期。</w:t>
      </w:r>
    </w:p>
    <w:p w14:paraId="23101FFF">
      <w:pPr>
        <w:rPr>
          <w:rFonts w:hint="default" w:ascii="Times New Roman" w:hAnsi="Times New Roman" w:cs="Times New Roman"/>
        </w:rPr>
      </w:pPr>
      <w:r>
        <w:rPr>
          <w:rFonts w:hint="default" w:ascii="Times New Roman" w:hAnsi="Times New Roman" w:cs="Times New Roman"/>
          <w:b/>
          <w:bCs/>
        </w:rPr>
        <w:t>计算方式：</w:t>
      </w:r>
    </w:p>
    <w:p w14:paraId="3CA8325C">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m:oMath>
        <m:sSub>
          <m:sSubPr>
            <m:ctrlPr>
              <w:rPr>
                <w:rFonts w:hint="default" w:ascii="Cambria Math" w:hAnsi="Cambria Math" w:cs="Times New Roman"/>
                <w:i/>
              </w:rPr>
            </m:ctrlPr>
          </m:sSubPr>
          <m:e>
            <m:r>
              <m:rPr>
                <m:nor/>
                <m:sty m:val="p"/>
              </m:rPr>
              <w:rPr>
                <w:rFonts w:hint="default" w:ascii="Times New Roman" w:hAnsi="Times New Roman" w:cs="Times New Roman"/>
              </w:rPr>
              <m:t>RevenueGrowth</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i/>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i/>
                  </w:rPr>
                </m:ctrlPr>
              </m:sSubPr>
              <m:e>
                <m:r>
                  <m:rPr>
                    <m:nor/>
                    <m:sty m:val="p"/>
                  </m:rPr>
                  <w:rPr>
                    <w:rFonts w:hint="default" w:ascii="Times New Roman" w:hAnsi="Times New Roman" w:cs="Times New Roman"/>
                  </w:rPr>
                  <m:t>Revenue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ctrlPr>
                  <w:rPr>
                    <w:rFonts w:hint="default" w:ascii="Cambria Math" w:hAnsi="Cambria Math" w:cs="Times New Roman"/>
                    <w:i/>
                  </w:rPr>
                </m:ctrlPr>
              </m:sub>
            </m:sSub>
            <m:ctrlPr>
              <w:rPr>
                <w:rFonts w:hint="default" w:ascii="Cambria Math" w:hAnsi="Cambria Math" w:cs="Times New Roman"/>
                <w:i/>
              </w:rPr>
            </m:ctrlPr>
          </m:num>
          <m:den>
            <m:sSub>
              <m:sSubPr>
                <m:ctrlPr>
                  <w:rPr>
                    <w:rFonts w:hint="default" w:ascii="Cambria Math" w:hAnsi="Cambria Math" w:cs="Times New Roman"/>
                    <w:i/>
                  </w:rPr>
                </m:ctrlPr>
              </m:sSubPr>
              <m:e>
                <w:bookmarkStart w:id="2" w:name="OLE_LINK4"/>
                <m:r>
                  <m:rPr>
                    <m:nor/>
                    <m:sty m:val="p"/>
                  </m:rPr>
                  <w:rPr>
                    <w:rFonts w:hint="default" w:ascii="Times New Roman" w:hAnsi="Times New Roman" w:cs="Times New Roman"/>
                  </w:rPr>
                  <m:t>Revenue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r>
                  <m:rPr>
                    <m:nor/>
                    <m:sty m:val="p"/>
                  </m:rPr>
                  <w:rPr>
                    <w:rFonts w:hint="default" w:ascii="Times New Roman" w:hAnsi="Times New Roman" w:cs="Times New Roman"/>
                    <w:i w:val="0"/>
                  </w:rPr>
                  <m:t>−4</m:t>
                </m:r>
                <w:bookmarkEnd w:id="2"/>
                <m:r>
                  <m:rPr>
                    <m:nor/>
                  </m:rPr>
                  <w:rPr>
                    <w:rFonts w:hint="default" w:ascii="Times New Roman" w:hAnsi="Times New Roman" w:cs="Times New Roman"/>
                    <w:i/>
                  </w:rPr>
                  <m:t>Q</m:t>
                </m:r>
                <m:ctrlPr>
                  <w:rPr>
                    <w:rFonts w:hint="default" w:ascii="Cambria Math" w:hAnsi="Cambria Math" w:cs="Times New Roman"/>
                    <w:i/>
                  </w:rPr>
                </m:ctrlPr>
              </m:sub>
            </m:sSub>
            <m:ctrlPr>
              <w:rPr>
                <w:rFonts w:hint="default" w:ascii="Cambria Math" w:hAnsi="Cambria Math" w:cs="Times New Roman"/>
                <w:i/>
              </w:rPr>
            </m:ctrlPr>
          </m:den>
        </m:f>
        <m:r>
          <m:rPr>
            <m:nor/>
            <m:sty m:val="p"/>
          </m:rPr>
          <w:rPr>
            <w:rFonts w:hint="default" w:ascii="Times New Roman" w:hAnsi="Times New Roman" w:cs="Times New Roman"/>
            <w:i w:val="0"/>
          </w:rPr>
          <m:t>−1</m:t>
        </m:r>
      </m:oMath>
    </w:p>
    <w:p w14:paraId="1BA0BA28">
      <w:pPr>
        <w:rPr>
          <w:rFonts w:hint="default" w:ascii="Times New Roman" w:hAnsi="Times New Roman" w:cs="Times New Roman"/>
        </w:rPr>
      </w:pPr>
      <w:r>
        <w:rPr>
          <w:rFonts w:hint="default" w:ascii="Times New Roman" w:hAnsi="Times New Roman" w:cs="Times New Roman"/>
          <w:b/>
          <w:bCs/>
        </w:rPr>
        <w:t>其中：</w:t>
      </w:r>
    </w:p>
    <w:p w14:paraId="001255FE">
      <w:pPr>
        <w:numPr>
          <w:ilvl w:val="0"/>
          <w:numId w:val="15"/>
        </w:numPr>
        <w:rPr>
          <w:rFonts w:hint="default" w:ascii="Times New Roman" w:hAnsi="Times New Roman" w:cs="Times New Roman"/>
        </w:rPr>
      </w:pPr>
      <m:oMath>
        <m:sSub>
          <m:sSubPr>
            <m:ctrlPr>
              <w:rPr>
                <w:rFonts w:hint="default" w:ascii="Cambria Math" w:hAnsi="Cambria Math" w:cs="Times New Roman"/>
                <w:i/>
              </w:rPr>
            </m:ctrlPr>
          </m:sSubPr>
          <m:e>
            <m:r>
              <m:rPr>
                <m:nor/>
                <m:sty m:val="p"/>
              </m:rPr>
              <w:rPr>
                <w:rFonts w:hint="default" w:ascii="Times New Roman" w:hAnsi="Times New Roman" w:cs="Times New Roman"/>
              </w:rPr>
              <m:t>Revenue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ctrlPr>
              <w:rPr>
                <w:rFonts w:hint="default" w:ascii="Cambria Math" w:hAnsi="Cambria Math" w:cs="Times New Roman"/>
                <w:i/>
              </w:rPr>
            </m:ctrlPr>
          </m:sub>
        </m:sSub>
      </m:oMath>
      <w:r>
        <w:rPr>
          <w:rFonts w:hint="default" w:ascii="Times New Roman" w:hAnsi="Times New Roman" w:cs="Times New Roman"/>
        </w:rPr>
        <w:t>：股票</w:t>
      </w:r>
      <w:r>
        <w:rPr>
          <w:rFonts w:hint="default" w:ascii="Times New Roman" w:hAnsi="Times New Roman" w:cs="Times New Roman"/>
        </w:rPr>
        <w:t>i在t</w:t>
      </w:r>
      <w:r>
        <w:rPr>
          <w:rFonts w:hint="default" w:ascii="Times New Roman" w:hAnsi="Times New Roman" w:cs="Times New Roman"/>
        </w:rPr>
        <w:t>时点的最近12个月累计营业收入。</w:t>
      </w:r>
    </w:p>
    <w:p w14:paraId="5A79B35C">
      <w:pPr>
        <w:numPr>
          <w:ilvl w:val="0"/>
          <w:numId w:val="15"/>
        </w:numPr>
        <w:rPr>
          <w:rFonts w:hint="default" w:ascii="Times New Roman" w:hAnsi="Times New Roman" w:cs="Times New Roman"/>
        </w:rPr>
      </w:pPr>
      <m:oMath>
        <m:sSub>
          <m:sSubPr>
            <m:ctrlPr>
              <w:rPr>
                <w:rFonts w:hint="default" w:ascii="Cambria Math" w:hAnsi="Cambria Math" w:cs="Times New Roman"/>
                <w:i/>
              </w:rPr>
            </m:ctrlPr>
          </m:sSubPr>
          <m:e>
            <m:r>
              <m:rPr>
                <m:nor/>
                <m:sty m:val="p"/>
              </m:rPr>
              <w:rPr>
                <w:rFonts w:hint="default" w:ascii="Times New Roman" w:hAnsi="Times New Roman" w:cs="Times New Roman"/>
              </w:rPr>
              <m:t>Revenue</m:t>
            </m:r>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i w:val="0"/>
              </w:rPr>
              <m:t>,</m:t>
            </m:r>
            <m:r>
              <m:rPr>
                <m:nor/>
              </m:rPr>
              <w:rPr>
                <w:rFonts w:hint="default" w:ascii="Times New Roman" w:hAnsi="Times New Roman" w:cs="Times New Roman"/>
                <w:i/>
              </w:rPr>
              <m:t>TTM</m:t>
            </m:r>
            <m:r>
              <m:rPr>
                <m:nor/>
                <m:sty m:val="p"/>
              </m:rPr>
              <w:rPr>
                <w:rFonts w:hint="default" w:ascii="Times New Roman" w:hAnsi="Times New Roman" w:cs="Times New Roman"/>
                <w:i w:val="0"/>
              </w:rPr>
              <m:t>−4</m:t>
            </m:r>
            <m:r>
              <m:rPr>
                <m:nor/>
              </m:rPr>
              <w:rPr>
                <w:rFonts w:hint="default" w:ascii="Times New Roman" w:hAnsi="Times New Roman" w:cs="Times New Roman"/>
                <w:i/>
              </w:rPr>
              <m:t>Q</m:t>
            </m:r>
            <m:ctrlPr>
              <w:rPr>
                <w:rFonts w:hint="default" w:ascii="Cambria Math" w:hAnsi="Cambria Math" w:cs="Times New Roman"/>
                <w:i/>
              </w:rPr>
            </m:ctrlPr>
          </m:sub>
        </m:sSub>
      </m:oMath>
      <w:r>
        <w:rPr>
          <w:rFonts w:hint="default" w:ascii="Times New Roman" w:hAnsi="Times New Roman" w:cs="Times New Roman"/>
        </w:rPr>
        <w:t>：股票</w:t>
      </w:r>
      <w:r>
        <w:rPr>
          <w:rFonts w:hint="default" w:ascii="Times New Roman" w:hAnsi="Times New Roman" w:cs="Times New Roman"/>
        </w:rPr>
        <w:t>i</w:t>
      </w:r>
      <w:r>
        <w:rPr>
          <w:rFonts w:hint="default" w:ascii="Times New Roman" w:hAnsi="Times New Roman" w:cs="Times New Roman"/>
        </w:rPr>
        <w:t>在</w:t>
      </w:r>
      <w:r>
        <w:rPr>
          <w:rFonts w:hint="default" w:ascii="Times New Roman" w:hAnsi="Times New Roman" w:cs="Times New Roman"/>
        </w:rPr>
        <w:t>t</w:t>
      </w:r>
      <w:r>
        <w:rPr>
          <w:rFonts w:hint="default" w:ascii="Times New Roman" w:hAnsi="Times New Roman" w:cs="Times New Roman"/>
        </w:rPr>
        <w:t>时点往前追溯一年（即减去4个季度）的最近12个月累计营业收入。</w:t>
      </w:r>
    </w:p>
    <w:p w14:paraId="09E2B235">
      <w:pPr>
        <w:rPr>
          <w:rFonts w:hint="default" w:ascii="Times New Roman" w:hAnsi="Times New Roman" w:cs="Times New Roman"/>
        </w:rPr>
      </w:pPr>
    </w:p>
    <w:p w14:paraId="58DB5DF0">
      <w:pPr>
        <w:bidi w:val="0"/>
        <w:rPr>
          <w:rFonts w:hint="default"/>
          <w:b/>
          <w:bCs/>
        </w:rPr>
      </w:pPr>
      <w:r>
        <w:rPr>
          <w:rFonts w:hint="default"/>
          <w:b/>
          <w:bCs/>
        </w:rPr>
        <w:t>7. Amihud非流动性因子</w:t>
      </w:r>
    </w:p>
    <w:p w14:paraId="72AFB359">
      <w:pPr>
        <w:rPr>
          <w:rFonts w:hint="default" w:ascii="Times New Roman" w:hAnsi="Times New Roman" w:cs="Times New Roman"/>
          <w:b/>
          <w:bCs/>
        </w:rPr>
      </w:pPr>
      <w:r>
        <w:rPr>
          <w:rFonts w:hint="default" w:ascii="Times New Roman" w:hAnsi="Times New Roman" w:cs="Times New Roman"/>
          <w:b/>
          <w:bCs/>
        </w:rPr>
        <w:t>算法逻辑：</w:t>
      </w:r>
    </w:p>
    <w:p w14:paraId="59806480">
      <w:pPr>
        <w:rPr>
          <w:rFonts w:hint="default" w:ascii="Times New Roman" w:hAnsi="Times New Roman" w:cs="Times New Roman"/>
        </w:rPr>
      </w:pPr>
      <w:r>
        <w:rPr>
          <w:rFonts w:hint="default" w:ascii="Times New Roman" w:hAnsi="Times New Roman" w:cs="Times New Roman"/>
        </w:rPr>
        <w:t>Amihud非流动性因子衡量的是价格对交易量的敏感程度，反映股票的流动性水平。</w:t>
      </w:r>
    </w:p>
    <w:p w14:paraId="2D9C766A">
      <w:pPr>
        <w:rPr>
          <w:rFonts w:hint="default" w:ascii="Times New Roman" w:hAnsi="Times New Roman" w:cs="Times New Roman"/>
          <w:b/>
          <w:bCs/>
        </w:rPr>
      </w:pPr>
      <w:r>
        <w:rPr>
          <w:rFonts w:hint="default" w:ascii="Times New Roman" w:hAnsi="Times New Roman" w:cs="Times New Roman"/>
          <w:b/>
          <w:bCs/>
        </w:rPr>
        <w:t>计算步骤：</w:t>
      </w:r>
    </w:p>
    <w:p w14:paraId="66779A45">
      <w:pPr>
        <w:rPr>
          <w:rFonts w:hint="default" w:ascii="Times New Roman" w:hAnsi="Times New Roman" w:cs="Times New Roman"/>
        </w:rPr>
      </w:pPr>
      <w:r>
        <w:rPr>
          <w:rFonts w:hint="default" w:ascii="Times New Roman" w:hAnsi="Times New Roman" w:cs="Times New Roman"/>
        </w:rPr>
        <w:t>调整收盘价：AdjClsprc = Clsprc × CumulateFwardFactor</w:t>
      </w:r>
    </w:p>
    <w:p w14:paraId="15663A23">
      <w:pPr>
        <w:rPr>
          <w:rFonts w:hint="default" w:ascii="Times New Roman" w:hAnsi="Times New Roman" w:cs="Times New Roman"/>
        </w:rPr>
      </w:pPr>
      <w:r>
        <w:rPr>
          <w:rFonts w:hint="default" w:ascii="Times New Roman" w:hAnsi="Times New Roman" w:cs="Times New Roman"/>
        </w:rPr>
        <w:t>计算日收益率：Return_1d = 当日调整收盘价/前日调整收盘价 - 1</w:t>
      </w:r>
    </w:p>
    <w:p w14:paraId="0DD107DE">
      <w:pPr>
        <w:rPr>
          <w:rFonts w:hint="default" w:ascii="Times New Roman" w:hAnsi="Times New Roman" w:cs="Times New Roman"/>
        </w:rPr>
      </w:pPr>
      <w:r>
        <w:rPr>
          <w:rFonts w:hint="default" w:ascii="Times New Roman" w:hAnsi="Times New Roman" w:cs="Times New Roman"/>
        </w:rPr>
        <w:t>计算Amihud值：Amihud = |Return_1d| / Dnvaltrd × 10¹⁰</w:t>
      </w:r>
    </w:p>
    <w:p w14:paraId="27277723">
      <w:pPr>
        <w:rPr>
          <w:rFonts w:hint="default" w:ascii="Times New Roman" w:hAnsi="Times New Roman" w:cs="Times New Roman"/>
        </w:rPr>
      </w:pPr>
      <w:r>
        <w:rPr>
          <w:rFonts w:hint="default" w:ascii="Times New Roman" w:hAnsi="Times New Roman" w:cs="Times New Roman"/>
        </w:rPr>
        <w:t>月度聚合：对每个股票每月的Amihud值取平均</w:t>
      </w:r>
    </w:p>
    <w:p w14:paraId="301248FE">
      <w:pPr>
        <w:rPr>
          <w:rFonts w:hint="default" w:ascii="Times New Roman" w:hAnsi="Times New Roman" w:cs="Times New Roman"/>
        </w:rPr>
      </w:pPr>
    </w:p>
    <w:p w14:paraId="4886F27E">
      <w:pPr>
        <w:bidi w:val="0"/>
        <w:rPr>
          <w:rFonts w:hint="default"/>
          <w:b/>
          <w:bCs/>
        </w:rPr>
      </w:pPr>
      <w:r>
        <w:rPr>
          <w:rFonts w:hint="default"/>
          <w:b/>
          <w:bCs/>
        </w:rPr>
        <w:t>8. 对数市值因子</w:t>
      </w:r>
    </w:p>
    <w:p w14:paraId="7C11AAC7">
      <w:pPr>
        <w:rPr>
          <w:rFonts w:hint="default" w:ascii="Times New Roman" w:hAnsi="Times New Roman" w:cs="Times New Roman"/>
          <w:b/>
          <w:bCs/>
        </w:rPr>
      </w:pPr>
      <w:r>
        <w:rPr>
          <w:rFonts w:hint="default" w:ascii="Times New Roman" w:hAnsi="Times New Roman" w:cs="Times New Roman"/>
          <w:b/>
          <w:bCs/>
        </w:rPr>
        <w:t>算法逻辑：</w:t>
      </w:r>
    </w:p>
    <w:p w14:paraId="4CD1A0C8">
      <w:pPr>
        <w:rPr>
          <w:rFonts w:hint="default" w:ascii="Times New Roman" w:hAnsi="Times New Roman" w:cs="Times New Roman"/>
        </w:rPr>
      </w:pPr>
      <w:r>
        <w:rPr>
          <w:rFonts w:hint="default" w:ascii="Times New Roman" w:hAnsi="Times New Roman" w:cs="Times New Roman"/>
        </w:rPr>
        <w:t>衡量公司规模大小，是经典的规模因子。</w:t>
      </w:r>
    </w:p>
    <w:p w14:paraId="4BE39D87">
      <w:pPr>
        <w:rPr>
          <w:rFonts w:hint="default" w:ascii="Times New Roman" w:hAnsi="Times New Roman" w:cs="Times New Roman"/>
          <w:b/>
          <w:bCs/>
        </w:rPr>
      </w:pPr>
      <w:r>
        <w:rPr>
          <w:rFonts w:hint="default" w:ascii="Times New Roman" w:hAnsi="Times New Roman" w:cs="Times New Roman"/>
          <w:b/>
          <w:bCs/>
        </w:rPr>
        <w:t>计算步骤：</w:t>
      </w:r>
    </w:p>
    <w:p w14:paraId="761F2539">
      <w:pPr>
        <w:rPr>
          <w:rFonts w:hint="default" w:ascii="Times New Roman" w:hAnsi="Times New Roman" w:cs="Times New Roman"/>
        </w:rPr>
      </w:pPr>
      <w:r>
        <w:rPr>
          <w:rFonts w:hint="default" w:ascii="Times New Roman" w:hAnsi="Times New Roman" w:cs="Times New Roman"/>
        </w:rPr>
        <w:t>计算对数市值：logSize = ln(Dsmvosd)</w:t>
      </w:r>
    </w:p>
    <w:p w14:paraId="23E3EC1A">
      <w:pPr>
        <w:rPr>
          <w:rFonts w:hint="default" w:ascii="Times New Roman" w:hAnsi="Times New Roman" w:cs="Times New Roman"/>
        </w:rPr>
      </w:pPr>
      <w:r>
        <w:rPr>
          <w:rFonts w:hint="default" w:ascii="Times New Roman" w:hAnsi="Times New Roman" w:cs="Times New Roman"/>
        </w:rPr>
        <w:t>月度聚合：对每个股票每月的对数市值取平均</w:t>
      </w:r>
    </w:p>
    <w:p w14:paraId="79E5669A">
      <w:pPr>
        <w:rPr>
          <w:rFonts w:hint="default" w:ascii="Times New Roman" w:hAnsi="Times New Roman" w:cs="Times New Roman"/>
        </w:rPr>
      </w:pPr>
    </w:p>
    <w:p w14:paraId="709E14E2">
      <w:pPr>
        <w:bidi w:val="0"/>
        <w:rPr>
          <w:rFonts w:hint="default"/>
          <w:b/>
          <w:bCs/>
        </w:rPr>
      </w:pPr>
      <w:r>
        <w:rPr>
          <w:rFonts w:hint="default"/>
          <w:b/>
          <w:bCs/>
        </w:rPr>
        <w:t>9. 换手率波动性因子UTD</w:t>
      </w:r>
    </w:p>
    <w:p w14:paraId="7B941484">
      <w:pPr>
        <w:rPr>
          <w:rFonts w:hint="default" w:ascii="Times New Roman" w:hAnsi="Times New Roman" w:cs="Times New Roman"/>
          <w:b/>
          <w:bCs/>
        </w:rPr>
      </w:pPr>
      <w:r>
        <w:rPr>
          <w:rFonts w:hint="default" w:ascii="Times New Roman" w:hAnsi="Times New Roman" w:cs="Times New Roman"/>
          <w:b/>
          <w:bCs/>
        </w:rPr>
        <w:t>算法逻辑：</w:t>
      </w:r>
    </w:p>
    <w:p w14:paraId="7AE3F3E0">
      <w:pPr>
        <w:rPr>
          <w:rFonts w:hint="default" w:ascii="Times New Roman" w:hAnsi="Times New Roman" w:cs="Times New Roman"/>
        </w:rPr>
      </w:pPr>
      <w:r>
        <w:rPr>
          <w:rFonts w:hint="default" w:ascii="Times New Roman" w:hAnsi="Times New Roman" w:cs="Times New Roman"/>
        </w:rPr>
        <w:t>衡量换手率的波动性，反映交易活跃度的不稳定性。</w:t>
      </w:r>
    </w:p>
    <w:p w14:paraId="160FD62F">
      <w:pPr>
        <w:rPr>
          <w:rFonts w:hint="default" w:ascii="Times New Roman" w:hAnsi="Times New Roman" w:cs="Times New Roman"/>
          <w:b/>
          <w:bCs/>
        </w:rPr>
      </w:pPr>
      <w:r>
        <w:rPr>
          <w:rFonts w:hint="default" w:ascii="Times New Roman" w:hAnsi="Times New Roman" w:cs="Times New Roman"/>
          <w:b/>
          <w:bCs/>
        </w:rPr>
        <w:t>计算步骤：</w:t>
      </w:r>
    </w:p>
    <w:p w14:paraId="78987BA6">
      <w:pPr>
        <w:rPr>
          <w:rFonts w:hint="default" w:ascii="Times New Roman" w:hAnsi="Times New Roman" w:cs="Times New Roman"/>
        </w:rPr>
      </w:pPr>
      <w:r>
        <w:rPr>
          <w:rFonts w:hint="default" w:ascii="Times New Roman" w:hAnsi="Times New Roman" w:cs="Times New Roman"/>
        </w:rPr>
        <w:t>计算日换手率：turnover = (Dnshrtrd × Clsprc) / Dsmvosd × 10⁻³</w:t>
      </w:r>
    </w:p>
    <w:p w14:paraId="0CCC8073">
      <w:pPr>
        <w:rPr>
          <w:rFonts w:hint="default" w:ascii="Times New Roman" w:hAnsi="Times New Roman" w:cs="Times New Roman"/>
        </w:rPr>
      </w:pPr>
      <w:r>
        <w:rPr>
          <w:rFonts w:hint="default" w:ascii="Times New Roman" w:hAnsi="Times New Roman" w:cs="Times New Roman"/>
        </w:rPr>
        <w:t>计算月度标准差：对每个股票每月换手率计算标准差</w:t>
      </w:r>
    </w:p>
    <w:p w14:paraId="4F0626CF">
      <w:pPr>
        <w:rPr>
          <w:rFonts w:hint="default" w:ascii="Times New Roman" w:hAnsi="Times New Roman" w:cs="Times New Roman"/>
          <w:lang w:val="en-US" w:eastAsia="zh-CN"/>
        </w:rPr>
      </w:pPr>
      <w:r>
        <w:rPr>
          <w:rFonts w:hint="default" w:ascii="Times New Roman" w:hAnsi="Times New Roman" w:cs="Times New Roman"/>
        </w:rPr>
        <w:t>计算滚动变异系数：对每个股票，用过去6个月的月度换手率标准差计算变异系数（标准差/均值）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2D550"/>
    <w:multiLevelType w:val="singleLevel"/>
    <w:tmpl w:val="9492D550"/>
    <w:lvl w:ilvl="0" w:tentative="0">
      <w:start w:val="1"/>
      <w:numFmt w:val="decimal"/>
      <w:suff w:val="space"/>
      <w:lvlText w:val="%1."/>
      <w:lvlJc w:val="left"/>
    </w:lvl>
  </w:abstractNum>
  <w:abstractNum w:abstractNumId="1">
    <w:nsid w:val="FB52973C"/>
    <w:multiLevelType w:val="multilevel"/>
    <w:tmpl w:val="FB52973C"/>
    <w:lvl w:ilvl="0" w:tentative="0">
      <w:start w:val="1"/>
      <w:numFmt w:val="chineseCounting"/>
      <w:suff w:val="nothing"/>
      <w:lvlText w:val="%1、"/>
      <w:lvlJc w:val="left"/>
      <w:rPr>
        <w:rFonts w:hint="eastAsia"/>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2">
    <w:nsid w:val="0491710D"/>
    <w:multiLevelType w:val="multilevel"/>
    <w:tmpl w:val="049171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8E687A"/>
    <w:multiLevelType w:val="multilevel"/>
    <w:tmpl w:val="1A8E68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B15085"/>
    <w:multiLevelType w:val="multilevel"/>
    <w:tmpl w:val="28B15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CDE0DD2"/>
    <w:multiLevelType w:val="multilevel"/>
    <w:tmpl w:val="2CDE0D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0C7724"/>
    <w:multiLevelType w:val="multilevel"/>
    <w:tmpl w:val="300C77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851B5B"/>
    <w:multiLevelType w:val="multilevel"/>
    <w:tmpl w:val="42851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E44BFB"/>
    <w:multiLevelType w:val="multilevel"/>
    <w:tmpl w:val="43E44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4180B6B"/>
    <w:multiLevelType w:val="multilevel"/>
    <w:tmpl w:val="44180B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FC8632E"/>
    <w:multiLevelType w:val="multilevel"/>
    <w:tmpl w:val="4FC86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764D081"/>
    <w:multiLevelType w:val="singleLevel"/>
    <w:tmpl w:val="5764D081"/>
    <w:lvl w:ilvl="0" w:tentative="0">
      <w:start w:val="1"/>
      <w:numFmt w:val="decimal"/>
      <w:suff w:val="space"/>
      <w:lvlText w:val="%1."/>
      <w:lvlJc w:val="left"/>
    </w:lvl>
  </w:abstractNum>
  <w:abstractNum w:abstractNumId="12">
    <w:nsid w:val="6E9C131C"/>
    <w:multiLevelType w:val="multilevel"/>
    <w:tmpl w:val="6E9C13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6BC5A75"/>
    <w:multiLevelType w:val="singleLevel"/>
    <w:tmpl w:val="76BC5A75"/>
    <w:lvl w:ilvl="0" w:tentative="0">
      <w:start w:val="1"/>
      <w:numFmt w:val="decimal"/>
      <w:suff w:val="space"/>
      <w:lvlText w:val="%1."/>
      <w:lvlJc w:val="left"/>
    </w:lvl>
  </w:abstractNum>
  <w:abstractNum w:abstractNumId="14">
    <w:nsid w:val="7D1262A8"/>
    <w:multiLevelType w:val="multilevel"/>
    <w:tmpl w:val="7D1262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8"/>
  </w:num>
  <w:num w:numId="3">
    <w:abstractNumId w:val="13"/>
  </w:num>
  <w:num w:numId="4">
    <w:abstractNumId w:val="0"/>
  </w:num>
  <w:num w:numId="5">
    <w:abstractNumId w:val="11"/>
  </w:num>
  <w:num w:numId="6">
    <w:abstractNumId w:val="3"/>
  </w:num>
  <w:num w:numId="7">
    <w:abstractNumId w:val="9"/>
  </w:num>
  <w:num w:numId="8">
    <w:abstractNumId w:val="5"/>
  </w:num>
  <w:num w:numId="9">
    <w:abstractNumId w:val="6"/>
  </w:num>
  <w:num w:numId="10">
    <w:abstractNumId w:val="10"/>
  </w:num>
  <w:num w:numId="11">
    <w:abstractNumId w:val="2"/>
  </w:num>
  <w:num w:numId="12">
    <w:abstractNumId w:val="14"/>
  </w:num>
  <w:num w:numId="13">
    <w:abstractNumId w:val="4"/>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C50"/>
    <w:rsid w:val="000F2168"/>
    <w:rsid w:val="00152882"/>
    <w:rsid w:val="001A40E8"/>
    <w:rsid w:val="00237FB3"/>
    <w:rsid w:val="00262590"/>
    <w:rsid w:val="002D3FA1"/>
    <w:rsid w:val="003C1754"/>
    <w:rsid w:val="00402AB9"/>
    <w:rsid w:val="00576985"/>
    <w:rsid w:val="005C0F71"/>
    <w:rsid w:val="005C4E78"/>
    <w:rsid w:val="00622DBE"/>
    <w:rsid w:val="006C5050"/>
    <w:rsid w:val="00746BA0"/>
    <w:rsid w:val="007E53B3"/>
    <w:rsid w:val="008A45D8"/>
    <w:rsid w:val="00984F0B"/>
    <w:rsid w:val="00A133B1"/>
    <w:rsid w:val="00A86B31"/>
    <w:rsid w:val="00B52333"/>
    <w:rsid w:val="00C55C50"/>
    <w:rsid w:val="00CB7B8A"/>
    <w:rsid w:val="00CE4DAC"/>
    <w:rsid w:val="00D25F74"/>
    <w:rsid w:val="00E877BA"/>
    <w:rsid w:val="00EF0CDB"/>
    <w:rsid w:val="012E784D"/>
    <w:rsid w:val="0265650C"/>
    <w:rsid w:val="061E51BB"/>
    <w:rsid w:val="06840264"/>
    <w:rsid w:val="07257A39"/>
    <w:rsid w:val="079F2F6D"/>
    <w:rsid w:val="07E31403"/>
    <w:rsid w:val="097E2DE3"/>
    <w:rsid w:val="0AA00C78"/>
    <w:rsid w:val="0ABC7B0C"/>
    <w:rsid w:val="0EB2438C"/>
    <w:rsid w:val="0F4D2F73"/>
    <w:rsid w:val="0F6167BF"/>
    <w:rsid w:val="10016553"/>
    <w:rsid w:val="10F44B0F"/>
    <w:rsid w:val="128E48ED"/>
    <w:rsid w:val="138C5A6D"/>
    <w:rsid w:val="144A1BCA"/>
    <w:rsid w:val="16455B75"/>
    <w:rsid w:val="1695469E"/>
    <w:rsid w:val="17B42C2B"/>
    <w:rsid w:val="1ABB0719"/>
    <w:rsid w:val="1C5C7DCF"/>
    <w:rsid w:val="1CE01D4A"/>
    <w:rsid w:val="1DAD2C5F"/>
    <w:rsid w:val="1EC93137"/>
    <w:rsid w:val="1F2D471B"/>
    <w:rsid w:val="215727DE"/>
    <w:rsid w:val="21A0435F"/>
    <w:rsid w:val="22197868"/>
    <w:rsid w:val="23D91B5C"/>
    <w:rsid w:val="24557B18"/>
    <w:rsid w:val="2466191B"/>
    <w:rsid w:val="26825B68"/>
    <w:rsid w:val="2C8D56FB"/>
    <w:rsid w:val="2DE71DAA"/>
    <w:rsid w:val="30392836"/>
    <w:rsid w:val="307A075A"/>
    <w:rsid w:val="30FD41C2"/>
    <w:rsid w:val="31EC5663"/>
    <w:rsid w:val="33235945"/>
    <w:rsid w:val="370545D6"/>
    <w:rsid w:val="37992C26"/>
    <w:rsid w:val="37B90DE7"/>
    <w:rsid w:val="39AD0EB0"/>
    <w:rsid w:val="3B086BDE"/>
    <w:rsid w:val="3E5A18EE"/>
    <w:rsid w:val="3FB07DD5"/>
    <w:rsid w:val="3FE30487"/>
    <w:rsid w:val="40261761"/>
    <w:rsid w:val="413F3AF0"/>
    <w:rsid w:val="42C43F34"/>
    <w:rsid w:val="43940B9A"/>
    <w:rsid w:val="43D84C69"/>
    <w:rsid w:val="45CD4877"/>
    <w:rsid w:val="46EC5FE9"/>
    <w:rsid w:val="47325EA5"/>
    <w:rsid w:val="4748111E"/>
    <w:rsid w:val="49E1612D"/>
    <w:rsid w:val="4B5010C4"/>
    <w:rsid w:val="4CA36D0B"/>
    <w:rsid w:val="4DE73DB1"/>
    <w:rsid w:val="503975E5"/>
    <w:rsid w:val="50853693"/>
    <w:rsid w:val="52A423CA"/>
    <w:rsid w:val="54ED411E"/>
    <w:rsid w:val="57B3147A"/>
    <w:rsid w:val="58796AC3"/>
    <w:rsid w:val="59E4026E"/>
    <w:rsid w:val="5C000CBF"/>
    <w:rsid w:val="5F162F4F"/>
    <w:rsid w:val="60060717"/>
    <w:rsid w:val="609B5764"/>
    <w:rsid w:val="60A30CEF"/>
    <w:rsid w:val="624D0E68"/>
    <w:rsid w:val="66066BA6"/>
    <w:rsid w:val="666715AA"/>
    <w:rsid w:val="68825215"/>
    <w:rsid w:val="6AAA26D3"/>
    <w:rsid w:val="6B277147"/>
    <w:rsid w:val="6D3D0BF0"/>
    <w:rsid w:val="6E125581"/>
    <w:rsid w:val="704856E1"/>
    <w:rsid w:val="724A1433"/>
    <w:rsid w:val="72A8336D"/>
    <w:rsid w:val="74A852F4"/>
    <w:rsid w:val="7656611D"/>
    <w:rsid w:val="76B410C8"/>
    <w:rsid w:val="770B5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spacing w:before="240" w:after="120"/>
      <w:outlineLvl w:val="1"/>
    </w:pPr>
    <w:rPr>
      <w:rFonts w:eastAsia="黑体" w:asciiTheme="majorHAnsi" w:hAnsiTheme="majorHAnsi" w:cstheme="majorBidi"/>
      <w:b/>
      <w:color w:val="000000" w:themeColor="text1"/>
      <w:sz w:val="24"/>
      <w:szCs w:val="40"/>
      <w14:textFill>
        <w14:solidFill>
          <w14:schemeClr w14:val="tx1"/>
        </w14:solidFill>
      </w14:textFill>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6"/>
    <w:uiPriority w:val="0"/>
    <w:pPr>
      <w:jc w:val="left"/>
    </w:pPr>
  </w:style>
  <w:style w:type="paragraph" w:styleId="5">
    <w:name w:val="footer"/>
    <w:basedOn w:val="1"/>
    <w:link w:val="19"/>
    <w:uiPriority w:val="0"/>
    <w:pPr>
      <w:tabs>
        <w:tab w:val="center" w:pos="4153"/>
        <w:tab w:val="right" w:pos="8306"/>
      </w:tabs>
      <w:snapToGrid w:val="0"/>
      <w:jc w:val="left"/>
    </w:pPr>
    <w:rPr>
      <w:sz w:val="18"/>
      <w:szCs w:val="18"/>
    </w:rPr>
  </w:style>
  <w:style w:type="paragraph" w:styleId="6">
    <w:name w:val="header"/>
    <w:basedOn w:val="1"/>
    <w:link w:val="18"/>
    <w:uiPriority w:val="0"/>
    <w:pPr>
      <w:tabs>
        <w:tab w:val="center" w:pos="4153"/>
        <w:tab w:val="right" w:pos="8306"/>
      </w:tabs>
      <w:snapToGrid w:val="0"/>
      <w:jc w:val="center"/>
    </w:pPr>
    <w:rPr>
      <w:sz w:val="18"/>
      <w:szCs w:val="18"/>
    </w:rPr>
  </w:style>
  <w:style w:type="paragraph" w:styleId="7">
    <w:name w:val="Normal (Web)"/>
    <w:basedOn w:val="1"/>
    <w:uiPriority w:val="0"/>
    <w:rPr>
      <w:sz w:val="24"/>
    </w:rPr>
  </w:style>
  <w:style w:type="paragraph" w:styleId="8">
    <w:name w:val="annotation subject"/>
    <w:basedOn w:val="4"/>
    <w:next w:val="4"/>
    <w:link w:val="17"/>
    <w:uiPriority w:val="0"/>
    <w:rPr>
      <w:b/>
      <w:bCs/>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uiPriority w:val="0"/>
    <w:rPr>
      <w:rFonts w:ascii="Courier New" w:hAnsi="Courier New"/>
      <w:sz w:val="20"/>
    </w:rPr>
  </w:style>
  <w:style w:type="character" w:styleId="14">
    <w:name w:val="annotation reference"/>
    <w:basedOn w:val="11"/>
    <w:uiPriority w:val="0"/>
    <w:rPr>
      <w:sz w:val="21"/>
      <w:szCs w:val="21"/>
    </w:rPr>
  </w:style>
  <w:style w:type="paragraph" w:styleId="15">
    <w:name w:val="List Paragraph"/>
    <w:basedOn w:val="1"/>
    <w:qFormat/>
    <w:uiPriority w:val="34"/>
    <w:pPr>
      <w:ind w:left="720"/>
      <w:contextualSpacing/>
    </w:pPr>
  </w:style>
  <w:style w:type="character" w:customStyle="1" w:styleId="16">
    <w:name w:val="批注文字 字符"/>
    <w:basedOn w:val="11"/>
    <w:link w:val="4"/>
    <w:uiPriority w:val="0"/>
    <w:rPr>
      <w:rFonts w:asciiTheme="minorHAnsi" w:hAnsiTheme="minorHAnsi" w:eastAsiaTheme="minorEastAsia" w:cstheme="minorBidi"/>
      <w:kern w:val="2"/>
      <w:sz w:val="21"/>
      <w:szCs w:val="24"/>
    </w:rPr>
  </w:style>
  <w:style w:type="character" w:customStyle="1" w:styleId="17">
    <w:name w:val="批注主题 字符"/>
    <w:basedOn w:val="16"/>
    <w:link w:val="8"/>
    <w:uiPriority w:val="0"/>
    <w:rPr>
      <w:rFonts w:asciiTheme="minorHAnsi" w:hAnsiTheme="minorHAnsi" w:eastAsiaTheme="minorEastAsia" w:cstheme="minorBidi"/>
      <w:b/>
      <w:bCs/>
      <w:kern w:val="2"/>
      <w:sz w:val="21"/>
      <w:szCs w:val="24"/>
    </w:rPr>
  </w:style>
  <w:style w:type="character" w:customStyle="1" w:styleId="18">
    <w:name w:val="页眉 字符"/>
    <w:basedOn w:val="11"/>
    <w:link w:val="6"/>
    <w:uiPriority w:val="0"/>
    <w:rPr>
      <w:rFonts w:asciiTheme="minorHAnsi" w:hAnsiTheme="minorHAnsi" w:eastAsiaTheme="minorEastAsia" w:cstheme="minorBidi"/>
      <w:kern w:val="2"/>
      <w:sz w:val="18"/>
      <w:szCs w:val="18"/>
    </w:rPr>
  </w:style>
  <w:style w:type="character" w:customStyle="1" w:styleId="19">
    <w:name w:val="页脚 字符"/>
    <w:basedOn w:val="11"/>
    <w:link w:val="5"/>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1059</Words>
  <Characters>1329</Characters>
  <Lines>58</Lines>
  <Paragraphs>16</Paragraphs>
  <TotalTime>2</TotalTime>
  <ScaleCrop>false</ScaleCrop>
  <LinksUpToDate>false</LinksUpToDate>
  <CharactersWithSpaces>1343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2025-11-05T02:21:00Z</dcterms:created>
  <dc:creator>Administrator.DESKTOP-CCM0Q80</dc:creator>
  <cp:lastModifiedBy>亢予凡</cp:lastModifiedBy>
  <dcterms:modified xsi:type="dcterms:W3CDTF">2025-12-14T07:36:21Z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eyJoZGlkIjoiNjBmZGFhZGIxYWI0ODE2YjIwZTRkYmYzNWI1YThjYjAiLCJ1c2VySWQiOiIxNTQ4NDMwMTM3In0=</vt:lpwstr>
  </property>
  <property fmtid="{D5CDD505-2E9C-101B-9397-08002B2CF9AE}" pid="4" name="ICV">
    <vt:lpwstr>9C98999FB2D5486E898D11A3C3435C49_12</vt:lpwstr>
  </property>
</Properties>
</file>