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母公司资产负债表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母公司资产负债表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单位：亿元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报告期</w:t>
            </w:r>
          </w:p>
        </w:tc>
        <w:tc>
          <w:tcPr>
            <w:tcW w:type="dxa" w:w="1728"/>
          </w:tcPr>
          <w:p>
            <w:r>
              <w:t>一季报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</w:tr>
      <w:tr>
        <w:tc>
          <w:tcPr>
            <w:tcW w:type="dxa" w:w="1728"/>
          </w:tcPr>
          <w:p>
            <w:r>
              <w:t>报表类型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2026-03-31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  <w:tc>
          <w:tcPr>
            <w:tcW w:type="dxa" w:w="1728"/>
          </w:tcPr>
          <w:p>
            <w:r>
              <w:t>2024-12-31</w:t>
            </w:r>
          </w:p>
        </w:tc>
        <w:tc>
          <w:tcPr>
            <w:tcW w:type="dxa" w:w="1728"/>
          </w:tcPr>
          <w:p>
            <w:r>
              <w:t>2023-12-31</w:t>
            </w:r>
          </w:p>
        </w:tc>
      </w:tr>
      <w:tr>
        <w:tc>
          <w:tcPr>
            <w:tcW w:type="dxa" w:w="1728"/>
          </w:tcPr>
          <w:p>
            <w:r>
              <w:t>流动资产：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货币资金</w:t>
            </w:r>
          </w:p>
        </w:tc>
        <w:tc>
          <w:tcPr>
            <w:tcW w:type="dxa" w:w="1728"/>
          </w:tcPr>
          <w:p>
            <w:r>
              <w:t>44.28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23.48</w:t>
            </w:r>
          </w:p>
        </w:tc>
        <w:tc>
          <w:tcPr>
            <w:tcW w:type="dxa" w:w="1728"/>
          </w:tcPr>
          <w:p>
            <w:r>
              <w:t>18.9</w:t>
            </w:r>
          </w:p>
        </w:tc>
      </w:tr>
      <w:tr>
        <w:tc>
          <w:tcPr>
            <w:tcW w:type="dxa" w:w="1728"/>
          </w:tcPr>
          <w:p>
            <w:r>
              <w:t>应收账款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存货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3.1</w:t>
            </w:r>
          </w:p>
        </w:tc>
      </w:tr>
      <w:tr>
        <w:tc>
          <w:tcPr>
            <w:tcW w:type="dxa" w:w="1728"/>
          </w:tcPr>
          <w:p>
            <w:r>
              <w:t>流动资产合计</w:t>
            </w:r>
          </w:p>
        </w:tc>
        <w:tc>
          <w:tcPr>
            <w:tcW w:type="dxa" w:w="1728"/>
          </w:tcPr>
          <w:p>
            <w:r>
              <w:t>62.18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35.48</w:t>
            </w:r>
          </w:p>
        </w:tc>
        <w:tc>
          <w:tcPr>
            <w:tcW w:type="dxa" w:w="1728"/>
          </w:tcPr>
          <w:p>
            <w:r>
              <w:t>29.5</w:t>
            </w:r>
          </w:p>
        </w:tc>
      </w:tr>
      <w:tr>
        <w:tc>
          <w:tcPr>
            <w:tcW w:type="dxa" w:w="1728"/>
          </w:tcPr>
          <w:p>
            <w:r>
              <w:t>非流动资产：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固定资产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28.4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</w:tr>
      <w:tr>
        <w:tc>
          <w:tcPr>
            <w:tcW w:type="dxa" w:w="1728"/>
          </w:tcPr>
          <w:p>
            <w:r>
              <w:t>资产总计</w:t>
            </w:r>
          </w:p>
        </w:tc>
        <w:tc>
          <w:tcPr>
            <w:tcW w:type="dxa" w:w="1728"/>
          </w:tcPr>
          <w:p>
            <w:r>
              <w:t>92.28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62.48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