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3864"/>
          <w:sz w:val="52"/>
          <w:szCs w:val="52"/>
        </w:rPr>
        <w:t xml:space="preserve">Study Project on LLM Assisted Threat Quantification</w:t>
      </w:r>
    </w:p>
    <w:p>
      <w:pPr>
        <w:spacing w:before="0" w:after="200"/>
        <w:jc w:val="center"/>
      </w:pPr>
      <w:r>
        <w:rPr>
          <w:rFonts w:ascii="Arial" w:cs="Arial" w:eastAsia="Arial" w:hAnsi="Arial"/>
          <w:i/>
          <w:iCs/>
          <w:color w:val="2E5FA3"/>
          <w:sz w:val="30"/>
          <w:szCs w:val="30"/>
        </w:rPr>
        <w:t xml:space="preserve">Automated Taxonomy of APT (Advanced Persistent Threat) Attacks</w:t>
      </w:r>
    </w:p>
    <w:p>
      <w:r>
        <w:rPr>
          <w:sz w:val="22"/>
          <w:szCs w:val="22"/>
        </w:rPr>
        <w:t xml:space="preserve"/>
      </w:r>
    </w:p>
    <w:p>
      <w:pPr>
        <w:pBdr>
          <w:bottom w:val="single" w:color="2E5FA3" w:sz="6" w:space="4"/>
        </w:pBdr>
        <w:jc w:val="center"/>
      </w:pPr>
      <w:r>
        <w:rPr>
          <w:sz w:val="22"/>
          <w:szCs w:val="22"/>
        </w:rPr>
        <w:t xml:space="preserve"/>
      </w:r>
    </w:p>
    <w:p>
      <w:r>
        <w:rPr>
          <w:sz w:val="22"/>
          <w:szCs w:val="22"/>
        </w:rPr>
        <w:t xml:space="preserve"/>
      </w:r>
    </w:p>
    <w:p>
      <w:pPr>
        <w:spacing w:before="200" w:after="80"/>
        <w:jc w:val="center"/>
      </w:pPr>
      <w:r>
        <w:rPr>
          <w:rFonts w:ascii="Arial" w:cs="Arial" w:eastAsia="Arial" w:hAnsi="Arial"/>
          <w:color w:val="1A1A2E"/>
          <w:sz w:val="24"/>
          <w:szCs w:val="24"/>
        </w:rPr>
        <w:t xml:space="preserve">A Systematic Literature Review &amp; Automated Taxonomy of APT Attacks</w:t>
      </w:r>
    </w:p>
    <w:p>
      <w:pPr>
        <w:spacing w:before="80" w:after="80"/>
        <w:jc w:val="center"/>
      </w:pPr>
      <w:r>
        <w:rPr>
          <w:rFonts w:ascii="Arial" w:cs="Arial" w:eastAsia="Arial" w:hAnsi="Arial"/>
          <w:color w:val="555555"/>
          <w:sz w:val="22"/>
          <w:szCs w:val="22"/>
        </w:rPr>
        <w:t xml:space="preserve">Dept. of Computer Science &amp; Engineering  |  BITS Pilani</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Under Supervision 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Prof. Rajesh Kumar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Student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Kanik Kumar  |  ID: 2023A7PS0575P</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Student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Lakshay  |  ID: 2022A7PS0044P</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Computer Science &amp; Engineering (CSE)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BITS Pilani, Pilani Campus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Corpus Size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 Peer-Reviewed Papers (2020–2026)</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bl>
    <w:p>
      <w:r>
        <w:rPr>
          <w:sz w:val="22"/>
          <w:szCs w:val="22"/>
        </w:rPr>
        <w:t xml:space="preserve"/>
      </w:r>
    </w:p>
    <w:p>
      <w:r>
        <w:rPr>
          <w:sz w:val="22"/>
          <w:szCs w:val="22"/>
        </w:rPr>
        <w:t xml:space="preserve"/>
      </w:r>
    </w:p>
    <w:p>
      <w:r>
        <w:br w:type="page"/>
      </w:r>
    </w:p>
    <w:p>
      <w:pPr>
        <w:pStyle w:val="Heading1"/>
        <w:spacing w:before="400" w:after="200"/>
      </w:pPr>
      <w:r>
        <w:rPr>
          <w:rFonts w:ascii="Arial" w:cs="Arial" w:eastAsia="Arial" w:hAnsi="Arial"/>
          <w:b/>
          <w:bCs/>
          <w:color w:val="1F3864"/>
          <w:sz w:val="32"/>
          <w:szCs w:val="32"/>
        </w:rPr>
        <w:t xml:space="preserve">Section 1: Research Methodology &amp; Corpus Selection Protocol</w:t>
      </w:r>
    </w:p>
    <w:p>
      <w:r>
        <w:rPr>
          <w:sz w:val="22"/>
          <w:szCs w:val="22"/>
        </w:rPr>
        <w:t xml:space="preserve"/>
      </w:r>
    </w:p>
    <w:p>
      <w:pPr>
        <w:pStyle w:val="Heading2"/>
        <w:spacing w:before="300" w:after="150"/>
      </w:pPr>
      <w:r>
        <w:rPr>
          <w:rFonts w:ascii="Arial" w:cs="Arial" w:eastAsia="Arial" w:hAnsi="Arial"/>
          <w:b/>
          <w:bCs/>
          <w:color w:val="2E5FA3"/>
          <w:sz w:val="26"/>
          <w:szCs w:val="26"/>
        </w:rPr>
        <w:t xml:space="preserve">1.1  Overview</w:t>
      </w:r>
    </w:p>
    <w:p>
      <w:pPr>
        <w:spacing w:before="80" w:after="80"/>
        <w:jc w:val="both"/>
      </w:pPr>
      <w:r>
        <w:rPr>
          <w:rFonts w:ascii="Arial" w:cs="Arial" w:eastAsia="Arial" w:hAnsi="Arial"/>
          <w:color w:val="1A1A2E"/>
          <w:sz w:val="22"/>
          <w:szCs w:val="22"/>
        </w:rPr>
        <w:t xml:space="preserve">This study employs a systematic literature review (SLR) methodology to construct an empirically grounded, automated taxonomy of Advanced Persistent Threat (APT) attacks. The review protocol was designed in strict accordance with the PRISMA 2020 (Preferred Reporting Items for Systematic Reviews and Meta-Analyses) guidelines to ensure reproducibility, transparency, and academic rigour. The corpus was assembled through a structured, multi-phase process encompassing database querying, keyword-driven retrieval, eligibility screening, and temporal stratification — each phase governed by pre-defined inclusion and exclusion criteria.</w:t>
      </w:r>
    </w:p>
    <w:p>
      <w:r>
        <w:rPr>
          <w:sz w:val="22"/>
          <w:szCs w:val="22"/>
        </w:rPr>
        <w:t xml:space="preserve"/>
      </w:r>
    </w:p>
    <w:p>
      <w:pPr>
        <w:pStyle w:val="Heading2"/>
        <w:spacing w:before="300" w:after="150"/>
      </w:pPr>
      <w:r>
        <w:rPr>
          <w:rFonts w:ascii="Arial" w:cs="Arial" w:eastAsia="Arial" w:hAnsi="Arial"/>
          <w:b/>
          <w:bCs/>
          <w:color w:val="2E5FA3"/>
          <w:sz w:val="26"/>
          <w:szCs w:val="26"/>
        </w:rPr>
        <w:t xml:space="preserve">1.2  Research Objectives Governing Corpus Design</w:t>
      </w:r>
    </w:p>
    <w:p>
      <w:pPr>
        <w:spacing w:before="80" w:after="80"/>
        <w:jc w:val="both"/>
      </w:pPr>
      <w:r>
        <w:rPr>
          <w:rFonts w:ascii="Arial" w:cs="Arial" w:eastAsia="Arial" w:hAnsi="Arial"/>
          <w:color w:val="1A1A2E"/>
          <w:sz w:val="22"/>
          <w:szCs w:val="22"/>
        </w:rPr>
        <w:t xml:space="preserve">The corpus construction was directed by the following primary research questions:</w:t>
      </w:r>
    </w:p>
    <w:p>
      <w:pPr>
        <w:pStyle w:val="ListParagraph"/>
        <w:numPr>
          <w:ilvl w:val="0"/>
          <w:numId w:val="2"/>
        </w:numPr>
        <w:spacing w:before="60" w:after="60"/>
      </w:pPr>
      <w:r>
        <w:rPr>
          <w:rFonts w:ascii="Arial" w:cs="Arial" w:eastAsia="Arial" w:hAnsi="Arial"/>
          <w:color w:val="1A1A2E"/>
          <w:sz w:val="22"/>
          <w:szCs w:val="22"/>
        </w:rPr>
        <w:t xml:space="preserve">RQ1: What automated or semi-automated methods have been proposed in the literature (2020–2026) for the classification and taxonomization of APT attack campaigns?</w:t>
      </w:r>
    </w:p>
    <w:p>
      <w:pPr>
        <w:pStyle w:val="ListParagraph"/>
        <w:numPr>
          <w:ilvl w:val="0"/>
          <w:numId w:val="2"/>
        </w:numPr>
        <w:spacing w:before="60" w:after="60"/>
      </w:pPr>
      <w:r>
        <w:rPr>
          <w:rFonts w:ascii="Arial" w:cs="Arial" w:eastAsia="Arial" w:hAnsi="Arial"/>
          <w:color w:val="1A1A2E"/>
          <w:sz w:val="22"/>
          <w:szCs w:val="22"/>
        </w:rPr>
        <w:t xml:space="preserve">RQ2: How do existing frameworks map APT lifecycle stages — from initial reconnaissance to data exfiltration — onto structured, machine-parseable classification schemas?</w:t>
      </w:r>
    </w:p>
    <w:p>
      <w:pPr>
        <w:pStyle w:val="ListParagraph"/>
        <w:numPr>
          <w:ilvl w:val="0"/>
          <w:numId w:val="2"/>
        </w:numPr>
        <w:spacing w:before="60" w:after="60"/>
      </w:pPr>
      <w:r>
        <w:rPr>
          <w:rFonts w:ascii="Arial" w:cs="Arial" w:eastAsia="Arial" w:hAnsi="Arial"/>
          <w:color w:val="1A1A2E"/>
          <w:sz w:val="22"/>
          <w:szCs w:val="22"/>
        </w:rPr>
        <w:t xml:space="preserve">RQ3: To what extent does MITRE ATT&amp;CK serve as a normative baseline for APT stage classification across contemporary research?</w:t>
      </w:r>
    </w:p>
    <w:p>
      <w:r>
        <w:rPr>
          <w:sz w:val="22"/>
          <w:szCs w:val="22"/>
        </w:rPr>
        <w:t xml:space="preserve"/>
      </w:r>
    </w:p>
    <w:p>
      <w:pPr>
        <w:pStyle w:val="Heading2"/>
        <w:spacing w:before="300" w:after="150"/>
      </w:pPr>
      <w:r>
        <w:rPr>
          <w:rFonts w:ascii="Arial" w:cs="Arial" w:eastAsia="Arial" w:hAnsi="Arial"/>
          <w:b/>
          <w:bCs/>
          <w:color w:val="2E5FA3"/>
          <w:sz w:val="26"/>
          <w:szCs w:val="26"/>
        </w:rPr>
        <w:t xml:space="preserve">1.3  Database Selection &amp; Search Scope</w:t>
      </w:r>
    </w:p>
    <w:p>
      <w:pPr>
        <w:spacing w:before="80" w:after="80"/>
        <w:jc w:val="both"/>
      </w:pPr>
      <w:r>
        <w:rPr>
          <w:rFonts w:ascii="Arial" w:cs="Arial" w:eastAsia="Arial" w:hAnsi="Arial"/>
          <w:color w:val="1A1A2E"/>
          <w:sz w:val="22"/>
          <w:szCs w:val="22"/>
        </w:rPr>
        <w:t xml:space="preserve">To maximize coverage across computer science, information security, and systems engineering literature, the search was conducted across four internationally recognized academic databases: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IEEE Xplore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repository for peer-reviewed conference and journal publications in cybersecurity and network systems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ACM Digital Library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Comprehensive coverage of computing research, including threat intelligence and security frameworks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SpringerLink</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Extensive coverage of security-focused journals and Lecture Notes in Computer Science (LNCS) series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Scopus (Elsevier)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Broad interdisciplinary index enabling cross-validation of results retrieved from domain-specific databases</w:t>
            </w:r>
          </w:p>
        </w:tc>
      </w:tr>
    </w:tbl>
    <w:p>
      <w:r>
        <w:rPr>
          <w:sz w:val="22"/>
          <w:szCs w:val="22"/>
        </w:rPr>
        <w:t xml:space="preserve"/>
      </w:r>
    </w:p>
    <w:p>
      <w:pPr>
        <w:spacing w:before="80" w:after="80"/>
        <w:jc w:val="both"/>
      </w:pPr>
      <w:r>
        <w:rPr>
          <w:rFonts w:ascii="Arial" w:cs="Arial" w:eastAsia="Arial" w:hAnsi="Arial"/>
          <w:color w:val="1A1A2E"/>
          <w:sz w:val="22"/>
          <w:szCs w:val="22"/>
        </w:rPr>
        <w:t xml:space="preserve">Searches were executed independently on each platform to avoid cross-database deduplication errors at the retrieval stage. Duplicate records identified post-retrieval were eliminated using a normalized metadata comparison (title + DOI + author matching).</w:t>
      </w:r>
    </w:p>
    <w:p>
      <w:r>
        <w:rPr>
          <w:sz w:val="22"/>
          <w:szCs w:val="22"/>
        </w:rPr>
        <w:t xml:space="preserve"/>
      </w:r>
    </w:p>
    <w:p>
      <w:pPr>
        <w:pStyle w:val="Heading2"/>
        <w:spacing w:before="300" w:after="150"/>
      </w:pPr>
      <w:r>
        <w:rPr>
          <w:rFonts w:ascii="Arial" w:cs="Arial" w:eastAsia="Arial" w:hAnsi="Arial"/>
          <w:b/>
          <w:bCs/>
          <w:color w:val="2E5FA3"/>
          <w:sz w:val="26"/>
          <w:szCs w:val="26"/>
        </w:rPr>
        <w:t xml:space="preserve">1.4  Search String Construction</w:t>
      </w:r>
    </w:p>
    <w:p>
      <w:pPr>
        <w:spacing w:before="80" w:after="80"/>
        <w:jc w:val="both"/>
      </w:pPr>
      <w:r>
        <w:rPr>
          <w:rFonts w:ascii="Arial" w:cs="Arial" w:eastAsia="Arial" w:hAnsi="Arial"/>
          <w:color w:val="1A1A2E"/>
          <w:sz w:val="22"/>
          <w:szCs w:val="22"/>
        </w:rPr>
        <w:t xml:space="preserve">The search query was constructed using Boolean logic to capture both terminological variants and conceptually adjacent research. The finalized search string applied uniformly across all four databases is as follows:</w:t>
      </w:r>
    </w:p>
    <w:p>
      <w:r>
        <w:rPr>
          <w:sz w:val="22"/>
          <w:szCs w:val="22"/>
        </w:rPr>
        <w:t xml:space="preserve"/>
      </w:r>
    </w:p>
    <w:p>
      <w:pPr>
        <w:pBdr>
          <w:left w:val="single" w:color="2E5FA3" w:sz="8"/>
        </w:pBdr>
        <w:shd w:fill="F2F2F2" w:val="clear"/>
        <w:spacing w:before="100" w:after="100"/>
        <w:ind w:left="360"/>
      </w:pPr>
      <w:r>
        <w:rPr>
          <w:rFonts w:ascii="Courier New" w:cs="Courier New" w:eastAsia="Courier New" w:hAnsi="Courier New"/>
          <w:color w:val="1F3864"/>
          <w:sz w:val="20"/>
          <w:szCs w:val="20"/>
        </w:rPr>
        <w:t xml:space="preserve">("Advanced Persistent Threat" OR "APT") AND ("Automated Taxonomy" OR "Classification" OR "Framework" OR "MITRE ATT&amp;CK")</w:t>
      </w:r>
    </w:p>
    <w:p>
      <w:r>
        <w:rPr>
          <w:sz w:val="22"/>
          <w:szCs w:val="22"/>
        </w:rPr>
        <w:t xml:space="preserve"/>
      </w:r>
    </w:p>
    <w:p>
      <w:pPr>
        <w:spacing w:before="80" w:after="80"/>
      </w:pPr>
      <w:r>
        <w:rPr>
          <w:rFonts w:ascii="Arial" w:cs="Arial" w:eastAsia="Arial" w:hAnsi="Arial"/>
          <w:b/>
          <w:bCs/>
          <w:color w:val="1A1A2E"/>
          <w:sz w:val="22"/>
          <w:szCs w:val="22"/>
        </w:rPr>
        <w:t xml:space="preserve">Rationale for Term Selection:</w:t>
      </w:r>
    </w:p>
    <w:p>
      <w:pPr>
        <w:pStyle w:val="ListParagraph"/>
        <w:numPr>
          <w:ilvl w:val="0"/>
          <w:numId w:val="2"/>
        </w:numPr>
        <w:spacing w:before="60" w:after="60"/>
      </w:pPr>
      <w:r>
        <w:rPr>
          <w:rFonts w:ascii="Arial" w:cs="Arial" w:eastAsia="Arial" w:hAnsi="Arial"/>
          <w:color w:val="1A1A2E"/>
          <w:sz w:val="22"/>
          <w:szCs w:val="22"/>
        </w:rPr>
        <w:t xml:space="preserve">"Advanced Persistent Threat" OR "APT" — Ensures retrieval of both formally defined and abbreviated references, capturing the full terminological range across academic and practitioner literature.</w:t>
      </w:r>
    </w:p>
    <w:p>
      <w:pPr>
        <w:pStyle w:val="ListParagraph"/>
        <w:numPr>
          <w:ilvl w:val="0"/>
          <w:numId w:val="2"/>
        </w:numPr>
        <w:spacing w:before="60" w:after="60"/>
      </w:pPr>
      <w:r>
        <w:rPr>
          <w:rFonts w:ascii="Arial" w:cs="Arial" w:eastAsia="Arial" w:hAnsi="Arial"/>
          <w:color w:val="1A1A2E"/>
          <w:sz w:val="22"/>
          <w:szCs w:val="22"/>
        </w:rPr>
        <w:t xml:space="preserve">"Automated Taxonomy" — Targets papers explicitly proposing or evaluating machine-driven classification structures for threat categorization.</w:t>
      </w:r>
    </w:p>
    <w:p>
      <w:pPr>
        <w:pStyle w:val="ListParagraph"/>
        <w:numPr>
          <w:ilvl w:val="0"/>
          <w:numId w:val="2"/>
        </w:numPr>
        <w:spacing w:before="60" w:after="60"/>
      </w:pPr>
      <w:r>
        <w:rPr>
          <w:rFonts w:ascii="Arial" w:cs="Arial" w:eastAsia="Arial" w:hAnsi="Arial"/>
          <w:color w:val="1A1A2E"/>
          <w:sz w:val="22"/>
          <w:szCs w:val="22"/>
        </w:rPr>
        <w:t xml:space="preserve">"Classification" — Broadens retrieval to include supervised, unsupervised, and rule-based approaches applied to APT detection or attribution.</w:t>
      </w:r>
    </w:p>
    <w:p>
      <w:pPr>
        <w:pStyle w:val="ListParagraph"/>
        <w:numPr>
          <w:ilvl w:val="0"/>
          <w:numId w:val="2"/>
        </w:numPr>
        <w:spacing w:before="60" w:after="60"/>
      </w:pPr>
      <w:r>
        <w:rPr>
          <w:rFonts w:ascii="Arial" w:cs="Arial" w:eastAsia="Arial" w:hAnsi="Arial"/>
          <w:color w:val="1A1A2E"/>
          <w:sz w:val="22"/>
          <w:szCs w:val="22"/>
        </w:rPr>
        <w:t xml:space="preserve">"Framework" — Captures structured methodological contributions proposing replicable pipelines for APT analysis.</w:t>
      </w:r>
    </w:p>
    <w:p>
      <w:pPr>
        <w:pStyle w:val="ListParagraph"/>
        <w:numPr>
          <w:ilvl w:val="0"/>
          <w:numId w:val="2"/>
        </w:numPr>
        <w:spacing w:before="60" w:after="60"/>
      </w:pPr>
      <w:r>
        <w:rPr>
          <w:rFonts w:ascii="Arial" w:cs="Arial" w:eastAsia="Arial" w:hAnsi="Arial"/>
          <w:color w:val="1A1A2E"/>
          <w:sz w:val="22"/>
          <w:szCs w:val="22"/>
        </w:rPr>
        <w:t xml:space="preserve">"MITRE ATT&amp;CK" — Specifically retrieves literature employing the de facto industry-standard knowledge base for mapping adversary TTPs.</w:t>
      </w:r>
    </w:p>
    <w:p>
      <w:r>
        <w:rPr>
          <w:sz w:val="22"/>
          <w:szCs w:val="22"/>
        </w:rPr>
        <w:t xml:space="preserve"/>
      </w:r>
    </w:p>
    <w:p>
      <w:pPr>
        <w:pStyle w:val="Heading2"/>
        <w:spacing w:before="300" w:after="150"/>
      </w:pPr>
      <w:r>
        <w:rPr>
          <w:rFonts w:ascii="Arial" w:cs="Arial" w:eastAsia="Arial" w:hAnsi="Arial"/>
          <w:b/>
          <w:bCs/>
          <w:color w:val="2E5FA3"/>
          <w:sz w:val="26"/>
          <w:szCs w:val="26"/>
        </w:rPr>
        <w:t xml:space="preserve">1.5  Temporal Scope</w:t>
      </w:r>
    </w:p>
    <w:p>
      <w:pPr>
        <w:spacing w:before="80" w:after="80"/>
        <w:jc w:val="both"/>
      </w:pPr>
      <w:r>
        <w:rPr>
          <w:rFonts w:ascii="Arial" w:cs="Arial" w:eastAsia="Arial" w:hAnsi="Arial"/>
          <w:color w:val="1A1A2E"/>
          <w:sz w:val="22"/>
          <w:szCs w:val="22"/>
        </w:rPr>
        <w:t xml:space="preserve">The review was bounded to publications from January 2020 through March 2026. This window was selected because: (i) it coincides with significant advances in machine learning-driven threat intelligence and the maturation of MITRE ATT&amp;CK (v7 through v15); (ii) it captures the post-COVID threat landscape shift, during which APT activity targeting critical infrastructure accelerated substantially; and (iii) it excludes legacy literature predating modern automated classification paradigms, ensuring methodological coherence.</w:t>
      </w:r>
    </w:p>
    <w:p>
      <w:r>
        <w:rPr>
          <w:sz w:val="22"/>
          <w:szCs w:val="22"/>
        </w:rPr>
        <w:t xml:space="preserve"/>
      </w:r>
    </w:p>
    <w:p>
      <w:pPr>
        <w:pStyle w:val="Heading2"/>
        <w:spacing w:before="300" w:after="150"/>
      </w:pPr>
      <w:r>
        <w:rPr>
          <w:rFonts w:ascii="Arial" w:cs="Arial" w:eastAsia="Arial" w:hAnsi="Arial"/>
          <w:b/>
          <w:bCs/>
          <w:color w:val="2E5FA3"/>
          <w:sz w:val="26"/>
          <w:szCs w:val="26"/>
        </w:rPr>
        <w:t xml:space="preserve">1.6  Temporal Stratification Protocol (Anti-Bias Mechanism)</w:t>
      </w:r>
    </w:p>
    <w:p>
      <w:pPr>
        <w:pStyle w:val="Heading3"/>
        <w:spacing w:before="200" w:after="100"/>
      </w:pPr>
      <w:r>
        <w:rPr>
          <w:rFonts w:ascii="Arial" w:cs="Arial" w:eastAsia="Arial" w:hAnsi="Arial"/>
          <w:b/>
          <w:bCs/>
          <w:color w:val="2E5FA3"/>
          <w:sz w:val="24"/>
          <w:szCs w:val="24"/>
        </w:rPr>
        <w:t xml:space="preserve">1.6.1  Rationale</w:t>
      </w:r>
    </w:p>
    <w:p>
      <w:pPr>
        <w:spacing w:before="80" w:after="80"/>
        <w:jc w:val="both"/>
      </w:pPr>
      <w:r>
        <w:rPr>
          <w:rFonts w:ascii="Arial" w:cs="Arial" w:eastAsia="Arial" w:hAnsi="Arial"/>
          <w:color w:val="1A1A2E"/>
          <w:sz w:val="22"/>
          <w:szCs w:val="22"/>
        </w:rPr>
        <w:t xml:space="preserve">A conventional systematic review drawing papers proportionally from a multi-year window risks recency bias — the over-representation of recent years due to the exponential growth of publications in active research domains. In cybersecurity, this effect is pronounced: post-2022 APT literature is substantially more voluminous than 2020–2021 literature. Between 2020 and 2026, an estimated 10,000+ papers on APT attacks were published across the four target databases. A proportional draw would have yielded approximately 60–70% of the corpus from 2023–2026, rendering 2020–2022 contributions statistically invisible in the analysis.</w:t>
      </w:r>
    </w:p>
    <w:p>
      <w:r>
        <w:rPr>
          <w:sz w:val="22"/>
          <w:szCs w:val="22"/>
        </w:rPr>
        <w:t xml:space="preserve"/>
      </w:r>
    </w:p>
    <w:p>
      <w:pPr>
        <w:pStyle w:val="Heading3"/>
        <w:spacing w:before="200" w:after="100"/>
      </w:pPr>
      <w:r>
        <w:rPr>
          <w:rFonts w:ascii="Arial" w:cs="Arial" w:eastAsia="Arial" w:hAnsi="Arial"/>
          <w:b/>
          <w:bCs/>
          <w:color w:val="2E5FA3"/>
          <w:sz w:val="24"/>
          <w:szCs w:val="24"/>
        </w:rPr>
        <w:t xml:space="preserve">1.6.2  How Temporal Stratification Works</w:t>
      </w:r>
    </w:p>
    <w:p>
      <w:pPr>
        <w:spacing w:before="80" w:after="80"/>
        <w:jc w:val="both"/>
      </w:pPr>
      <w:r>
        <w:rPr>
          <w:rFonts w:ascii="Arial" w:cs="Arial" w:eastAsia="Arial" w:hAnsi="Arial"/>
          <w:color w:val="1A1A2E"/>
          <w:sz w:val="22"/>
          <w:szCs w:val="22"/>
        </w:rPr>
        <w:t xml:space="preserve">Temporal Stratification is a corpus balancing technique in which the total paper quota is partitioned into discrete annual strata, and a fixed allocation is assigned to each stratum prior to database querying. Papers are then selected to fill each stratum independently, ensuring no single year dominates the corpus by volume. Think of it as dividing a 100-seat auditorium into 7 reserved sections — each year gets its own reserved seats, and filling one section has no impact on any other.</w:t>
      </w:r>
    </w:p>
    <w:p>
      <w:r>
        <w:rPr>
          <w:sz w:val="22"/>
          <w:szCs w:val="22"/>
        </w:rPr>
        <w:t xml:space="preserve"/>
      </w:r>
    </w:p>
    <w:p>
      <w:pPr>
        <w:pStyle w:val="Heading3"/>
        <w:spacing w:before="200" w:after="100"/>
      </w:pPr>
      <w:r>
        <w:rPr>
          <w:rFonts w:ascii="Arial" w:cs="Arial" w:eastAsia="Arial" w:hAnsi="Arial"/>
          <w:b/>
          <w:bCs/>
          <w:color w:val="2E5FA3"/>
          <w:sz w:val="24"/>
          <w:szCs w:val="24"/>
        </w:rPr>
        <w:t xml:space="preserve">1.6.3  Allocation Schema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Allocated</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Delivered</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Complete</w:t>
            </w:r>
          </w:p>
        </w:tc>
      </w:tr>
    </w:tbl>
    <w:p>
      <w:r>
        <w:rPr>
          <w:sz w:val="22"/>
          <w:szCs w:val="22"/>
        </w:rPr>
        <w:t xml:space="preserve"/>
      </w:r>
    </w:p>
    <w:p>
      <w:pPr>
        <w:spacing w:before="80" w:after="80"/>
        <w:jc w:val="both"/>
      </w:pPr>
      <w:r>
        <w:rPr>
          <w:rFonts w:ascii="Arial" w:cs="Arial" w:eastAsia="Arial" w:hAnsi="Arial"/>
          <w:color w:val="1A1A2E"/>
          <w:sz w:val="22"/>
          <w:szCs w:val="22"/>
        </w:rPr>
        <w:t xml:space="preserve">The 2026 stratum receives a marginally elevated allocation of 16 papers to account for in-press, early-access, and preprint publications not yet assigned to a full volume/issue, ensuring the most current research trajectories are adequately represented without compromising overall balance.</w:t>
      </w:r>
    </w:p>
    <w:p>
      <w:r>
        <w:rPr>
          <w:sz w:val="22"/>
          <w:szCs w:val="22"/>
        </w:rPr>
        <w:t xml:space="preserve"/>
      </w:r>
    </w:p>
    <w:p>
      <w:pPr>
        <w:pStyle w:val="Heading2"/>
        <w:spacing w:before="300" w:after="150"/>
      </w:pPr>
      <w:r>
        <w:rPr>
          <w:rFonts w:ascii="Arial" w:cs="Arial" w:eastAsia="Arial" w:hAnsi="Arial"/>
          <w:b/>
          <w:bCs/>
          <w:color w:val="2E5FA3"/>
          <w:sz w:val="26"/>
          <w:szCs w:val="26"/>
        </w:rPr>
        <w:t xml:space="preserve">1.7  Inclusion &amp; Exclusion Criteria</w:t>
      </w:r>
    </w:p>
    <w:p>
      <w:pPr>
        <w:spacing w:before="80" w:after="80"/>
      </w:pPr>
      <w:r>
        <w:rPr>
          <w:rFonts w:ascii="Arial" w:cs="Arial" w:eastAsia="Arial" w:hAnsi="Arial"/>
          <w:b/>
          <w:bCs/>
          <w:color w:val="1A1A2E"/>
          <w:sz w:val="22"/>
          <w:szCs w:val="22"/>
        </w:rPr>
        <w:t xml:space="preserve">Inclusion Criteria (ALL conditions must be satisfied):</w:t>
      </w:r>
    </w:p>
    <w:p>
      <w:pPr>
        <w:pStyle w:val="ListParagraph"/>
        <w:numPr>
          <w:ilvl w:val="0"/>
          <w:numId w:val="2"/>
        </w:numPr>
        <w:spacing w:before="60" w:after="60"/>
      </w:pPr>
      <w:r>
        <w:rPr>
          <w:rFonts w:ascii="Arial" w:cs="Arial" w:eastAsia="Arial" w:hAnsi="Arial"/>
          <w:color w:val="1A1A2E"/>
          <w:sz w:val="22"/>
          <w:szCs w:val="22"/>
        </w:rPr>
        <w:t xml:space="preserve">Published between January 1, 2020 and March 31, 2026</w:t>
      </w:r>
    </w:p>
    <w:p>
      <w:pPr>
        <w:pStyle w:val="ListParagraph"/>
        <w:numPr>
          <w:ilvl w:val="0"/>
          <w:numId w:val="2"/>
        </w:numPr>
        <w:spacing w:before="60" w:after="60"/>
      </w:pPr>
      <w:r>
        <w:rPr>
          <w:rFonts w:ascii="Arial" w:cs="Arial" w:eastAsia="Arial" w:hAnsi="Arial"/>
          <w:color w:val="1A1A2E"/>
          <w:sz w:val="22"/>
          <w:szCs w:val="22"/>
        </w:rPr>
        <w:t xml:space="preserve">Peer-reviewed journal article, conference paper, or book chapter indexed in at least one of the four designated databases</w:t>
      </w:r>
    </w:p>
    <w:p>
      <w:pPr>
        <w:pStyle w:val="ListParagraph"/>
        <w:numPr>
          <w:ilvl w:val="0"/>
          <w:numId w:val="2"/>
        </w:numPr>
        <w:spacing w:before="60" w:after="60"/>
      </w:pPr>
      <w:r>
        <w:rPr>
          <w:rFonts w:ascii="Arial" w:cs="Arial" w:eastAsia="Arial" w:hAnsi="Arial"/>
          <w:color w:val="1A1A2E"/>
          <w:sz w:val="22"/>
          <w:szCs w:val="22"/>
        </w:rPr>
        <w:t xml:space="preserve">Explicitly addresses one or more of: APT lifecycle stage mapping, automated/semi-automated APT classification, APT attribution frameworks, or MITRE ATT&amp;CK-based threat modelling</w:t>
      </w:r>
    </w:p>
    <w:p>
      <w:pPr>
        <w:pStyle w:val="ListParagraph"/>
        <w:numPr>
          <w:ilvl w:val="0"/>
          <w:numId w:val="2"/>
        </w:numPr>
        <w:spacing w:before="60" w:after="60"/>
      </w:pPr>
      <w:r>
        <w:rPr>
          <w:rFonts w:ascii="Arial" w:cs="Arial" w:eastAsia="Arial" w:hAnsi="Arial"/>
          <w:color w:val="1A1A2E"/>
          <w:sz w:val="22"/>
          <w:szCs w:val="22"/>
        </w:rPr>
        <w:t xml:space="preserve">Written in English</w:t>
      </w:r>
    </w:p>
    <w:p>
      <w:r>
        <w:rPr>
          <w:sz w:val="22"/>
          <w:szCs w:val="22"/>
        </w:rPr>
        <w:t xml:space="preserve"/>
      </w:r>
    </w:p>
    <w:p>
      <w:pPr>
        <w:spacing w:before="80" w:after="80"/>
      </w:pPr>
      <w:r>
        <w:rPr>
          <w:rFonts w:ascii="Arial" w:cs="Arial" w:eastAsia="Arial" w:hAnsi="Arial"/>
          <w:b/>
          <w:bCs/>
          <w:color w:val="1A1A2E"/>
          <w:sz w:val="22"/>
          <w:szCs w:val="22"/>
        </w:rPr>
        <w:t xml:space="preserve">Exclusion Criteria (ANY one condition triggers exclusion):</w:t>
      </w:r>
    </w:p>
    <w:p>
      <w:pPr>
        <w:pStyle w:val="ListParagraph"/>
        <w:numPr>
          <w:ilvl w:val="0"/>
          <w:numId w:val="2"/>
        </w:numPr>
        <w:spacing w:before="60" w:after="60"/>
      </w:pPr>
      <w:r>
        <w:rPr>
          <w:rFonts w:ascii="Arial" w:cs="Arial" w:eastAsia="Arial" w:hAnsi="Arial"/>
          <w:color w:val="1A1A2E"/>
          <w:sz w:val="22"/>
          <w:szCs w:val="22"/>
        </w:rPr>
        <w:t xml:space="preserve">Focuses exclusively on general malware, ransomware, or commodity threats without explicit APT-level analysis</w:t>
      </w:r>
    </w:p>
    <w:p>
      <w:pPr>
        <w:pStyle w:val="ListParagraph"/>
        <w:numPr>
          <w:ilvl w:val="0"/>
          <w:numId w:val="2"/>
        </w:numPr>
        <w:spacing w:before="60" w:after="60"/>
      </w:pPr>
      <w:r>
        <w:rPr>
          <w:rFonts w:ascii="Arial" w:cs="Arial" w:eastAsia="Arial" w:hAnsi="Arial"/>
          <w:color w:val="1A1A2E"/>
          <w:sz w:val="22"/>
          <w:szCs w:val="22"/>
        </w:rPr>
        <w:t xml:space="preserve">Does not propose, evaluate, or utilize a classification or taxonomization method</w:t>
      </w:r>
    </w:p>
    <w:p>
      <w:pPr>
        <w:pStyle w:val="ListParagraph"/>
        <w:numPr>
          <w:ilvl w:val="0"/>
          <w:numId w:val="2"/>
        </w:numPr>
        <w:spacing w:before="60" w:after="60"/>
      </w:pPr>
      <w:r>
        <w:rPr>
          <w:rFonts w:ascii="Arial" w:cs="Arial" w:eastAsia="Arial" w:hAnsi="Arial"/>
          <w:color w:val="1A1A2E"/>
          <w:sz w:val="22"/>
          <w:szCs w:val="22"/>
        </w:rPr>
        <w:t xml:space="preserve">Grey literature (technical reports, white papers, blog posts) not subject to peer review</w:t>
      </w:r>
    </w:p>
    <w:p>
      <w:pPr>
        <w:pStyle w:val="ListParagraph"/>
        <w:numPr>
          <w:ilvl w:val="0"/>
          <w:numId w:val="2"/>
        </w:numPr>
        <w:spacing w:before="60" w:after="60"/>
      </w:pPr>
      <w:r>
        <w:rPr>
          <w:rFonts w:ascii="Arial" w:cs="Arial" w:eastAsia="Arial" w:hAnsi="Arial"/>
          <w:color w:val="1A1A2E"/>
          <w:sz w:val="22"/>
          <w:szCs w:val="22"/>
        </w:rPr>
        <w:t xml:space="preserve">Duplicate records of a previously selected paper (regardless of database of retrieval)</w:t>
      </w:r>
    </w:p>
    <w:p>
      <w:pPr>
        <w:pStyle w:val="ListParagraph"/>
        <w:numPr>
          <w:ilvl w:val="0"/>
          <w:numId w:val="2"/>
        </w:numPr>
        <w:spacing w:before="60" w:after="60"/>
      </w:pPr>
      <w:r>
        <w:rPr>
          <w:rFonts w:ascii="Arial" w:cs="Arial" w:eastAsia="Arial" w:hAnsi="Arial"/>
          <w:color w:val="1A1A2E"/>
          <w:sz w:val="22"/>
          <w:szCs w:val="22"/>
        </w:rPr>
        <w:t xml:space="preserve">Papers for which full text was unavailable through institutional or open-access channels</w:t>
      </w:r>
    </w:p>
    <w:p>
      <w:r>
        <w:rPr>
          <w:sz w:val="22"/>
          <w:szCs w:val="22"/>
        </w:rPr>
        <w:t xml:space="preserve"/>
      </w:r>
    </w:p>
    <w:p>
      <w:pPr>
        <w:pStyle w:val="Heading2"/>
        <w:spacing w:before="300" w:after="150"/>
      </w:pPr>
      <w:r>
        <w:rPr>
          <w:rFonts w:ascii="Arial" w:cs="Arial" w:eastAsia="Arial" w:hAnsi="Arial"/>
          <w:b/>
          <w:bCs/>
          <w:color w:val="2E5FA3"/>
          <w:sz w:val="26"/>
          <w:szCs w:val="26"/>
        </w:rPr>
        <w:t xml:space="preserve">1.8  PRISMA-Aligned Selection Funnel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Stage 1 — Identification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~1,200 records retrieved across all four databases via keyword search</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Stage 2 — Deduplication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~300 duplicate records removed → ~900 unique records retained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Stage 3 — Title &amp; Abstract Screening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~900 records screened; ~640 excluded (general malware, off-topic, non-English) → ~260 eligible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Stage 4 — Temporal Stratification &amp; Final Selection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260 eligible papers ranked and allocated per annual stratum → Final corpus: 100 papers</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1.9  Data Extraction Schema</w:t>
      </w:r>
    </w:p>
    <w:p>
      <w:pPr>
        <w:spacing w:before="80" w:after="80"/>
        <w:jc w:val="both"/>
      </w:pPr>
      <w:r>
        <w:rPr>
          <w:rFonts w:ascii="Arial" w:cs="Arial" w:eastAsia="Arial" w:hAnsi="Arial"/>
          <w:color w:val="1A1A2E"/>
          <w:sz w:val="22"/>
          <w:szCs w:val="22"/>
        </w:rPr>
        <w:t xml:space="preserve">For each of the 100 selected papers, the following structured metadata fields were extracted and recorded in the master corpus table: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Paper No.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corpus identifier (1–100)</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Year of publication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Paper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title as published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Database of primary retrieval (IEEE / ACM / Springer / Scopus)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APT Stage / Focus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APT lifecycle stage(s) addressed (taxonomy nodes from Section 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 Framework</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Taxonomic or analytical framework employed by the paper</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1.10  Reproducibility Statement</w:t>
      </w:r>
    </w:p>
    <w:p>
      <w:pPr>
        <w:spacing w:before="80" w:after="80"/>
        <w:jc w:val="both"/>
      </w:pPr>
      <w:r>
        <w:rPr>
          <w:rFonts w:ascii="Arial" w:cs="Arial" w:eastAsia="Arial" w:hAnsi="Arial"/>
          <w:color w:val="1A1A2E"/>
          <w:sz w:val="22"/>
          <w:szCs w:val="22"/>
        </w:rPr>
        <w:t xml:space="preserve">All search queries were executed between March 1–15, 2026. The Temporal Stratification allocation table and the full PRISMA flow diagram are available for independent audit. This methodology is designed to be fully reproducible by any researcher with institutional access to the four designated databases.</w:t>
      </w:r>
    </w:p>
    <w:p>
      <w:r>
        <w:br w:type="page"/>
      </w:r>
    </w:p>
    <w:p>
      <w:pPr>
        <w:pStyle w:val="Heading1"/>
        <w:spacing w:before="400" w:after="200"/>
      </w:pPr>
      <w:r>
        <w:rPr>
          <w:rFonts w:ascii="Arial" w:cs="Arial" w:eastAsia="Arial" w:hAnsi="Arial"/>
          <w:b/>
          <w:bCs/>
          <w:color w:val="1F3864"/>
          <w:sz w:val="32"/>
          <w:szCs w:val="32"/>
        </w:rPr>
        <w:t xml:space="preserve">Section 2: The Automated Taxonomy of APT Attacks</w:t>
      </w:r>
    </w:p>
    <w:p>
      <w:r>
        <w:rPr>
          <w:sz w:val="22"/>
          <w:szCs w:val="22"/>
        </w:rPr>
        <w:t xml:space="preserve"/>
      </w:r>
    </w:p>
    <w:p>
      <w:pPr>
        <w:pStyle w:val="Heading2"/>
        <w:spacing w:before="300" w:after="150"/>
      </w:pPr>
      <w:r>
        <w:rPr>
          <w:rFonts w:ascii="Arial" w:cs="Arial" w:eastAsia="Arial" w:hAnsi="Arial"/>
          <w:b/>
          <w:bCs/>
          <w:color w:val="2E5FA3"/>
          <w:sz w:val="26"/>
          <w:szCs w:val="26"/>
        </w:rPr>
        <w:t xml:space="preserve">2.1  Preamble &amp; Taxonomic Design Philosophy</w:t>
      </w:r>
    </w:p>
    <w:p>
      <w:pPr>
        <w:spacing w:before="80" w:after="80"/>
        <w:jc w:val="both"/>
      </w:pPr>
      <w:r>
        <w:rPr>
          <w:rFonts w:ascii="Arial" w:cs="Arial" w:eastAsia="Arial" w:hAnsi="Arial"/>
          <w:color w:val="1A1A2E"/>
          <w:sz w:val="22"/>
          <w:szCs w:val="22"/>
        </w:rPr>
        <w:t xml:space="preserve">The construction of a robust, automated taxonomy for APT attacks necessitates a departure from static, manually curated classification schemas. Traditional threat taxonomies suffer from three structural deficiencies when applied to APT-class adversaries: (i) inability to scale with the exponential growth of threat intelligence data; (ii) inter-analyst inconsistency in stage attribution, introducing classification noise; and (iii) temporal rigidity, whereby static taxonomies fail to accommodate the evolutionary behaviour of long-dwell adversary campaigns.</w:t>
      </w:r>
    </w:p>
    <w:p>
      <w:r>
        <w:rPr>
          <w:sz w:val="22"/>
          <w:szCs w:val="22"/>
        </w:rPr>
        <w:t xml:space="preserve"/>
      </w:r>
    </w:p>
    <w:p>
      <w:pPr>
        <w:spacing w:before="80" w:after="80"/>
        <w:jc w:val="both"/>
      </w:pPr>
      <w:r>
        <w:rPr>
          <w:rFonts w:ascii="Arial" w:cs="Arial" w:eastAsia="Arial" w:hAnsi="Arial"/>
          <w:color w:val="1A1A2E"/>
          <w:sz w:val="22"/>
          <w:szCs w:val="22"/>
        </w:rPr>
        <w:t xml:space="preserve">The automated taxonomy presented in this section addresses these deficiencies through a multi-layered, machine-assisted classification architecture grounded in three foundational pillars:</w:t>
      </w:r>
    </w:p>
    <w:p>
      <w:pPr>
        <w:pStyle w:val="ListParagraph"/>
        <w:numPr>
          <w:ilvl w:val="0"/>
          <w:numId w:val="2"/>
        </w:numPr>
        <w:spacing w:before="60" w:after="60"/>
      </w:pPr>
      <w:r>
        <w:rPr>
          <w:rFonts w:ascii="Arial" w:cs="Arial" w:eastAsia="Arial" w:hAnsi="Arial"/>
          <w:color w:val="1A1A2E"/>
          <w:sz w:val="22"/>
          <w:szCs w:val="22"/>
        </w:rPr>
        <w:t xml:space="preserve">Structural Baseline: MITRE ATT&amp;CK Enterprise Matrix (v14.1) as the normative TTP ontology</w:t>
      </w:r>
    </w:p>
    <w:p>
      <w:pPr>
        <w:pStyle w:val="ListParagraph"/>
        <w:numPr>
          <w:ilvl w:val="0"/>
          <w:numId w:val="2"/>
        </w:numPr>
        <w:spacing w:before="60" w:after="60"/>
      </w:pPr>
      <w:r>
        <w:rPr>
          <w:rFonts w:ascii="Arial" w:cs="Arial" w:eastAsia="Arial" w:hAnsi="Arial"/>
          <w:color w:val="1A1A2E"/>
          <w:sz w:val="22"/>
          <w:szCs w:val="22"/>
        </w:rPr>
        <w:t xml:space="preserve">Automated Classification Engine: A hybrid pipeline combining NLP-based indicator extraction, graph-theoretic campaign modelling, and supervised/unsupervised ML classifiers</w:t>
      </w:r>
    </w:p>
    <w:p>
      <w:pPr>
        <w:pStyle w:val="ListParagraph"/>
        <w:numPr>
          <w:ilvl w:val="0"/>
          <w:numId w:val="2"/>
        </w:numPr>
        <w:spacing w:before="60" w:after="60"/>
      </w:pPr>
      <w:r>
        <w:rPr>
          <w:rFonts w:ascii="Arial" w:cs="Arial" w:eastAsia="Arial" w:hAnsi="Arial"/>
          <w:color w:val="1A1A2E"/>
          <w:sz w:val="22"/>
          <w:szCs w:val="22"/>
        </w:rPr>
        <w:t xml:space="preserve">Temporal Dimension: Longitudinal campaign tracking that models APT behaviour as a time-ordered Markov chain across lifecycle stages</w:t>
      </w:r>
    </w:p>
    <w:p>
      <w:r>
        <w:rPr>
          <w:sz w:val="22"/>
          <w:szCs w:val="22"/>
        </w:rPr>
        <w:t xml:space="preserve"/>
      </w:r>
    </w:p>
    <w:p>
      <w:pPr>
        <w:pStyle w:val="Heading2"/>
        <w:spacing w:before="300" w:after="150"/>
      </w:pPr>
      <w:r>
        <w:rPr>
          <w:rFonts w:ascii="Arial" w:cs="Arial" w:eastAsia="Arial" w:hAnsi="Arial"/>
          <w:b/>
          <w:bCs/>
          <w:color w:val="2E5FA3"/>
          <w:sz w:val="26"/>
          <w:szCs w:val="26"/>
        </w:rPr>
        <w:t xml:space="preserve">2.2  Automated Classification Parameters</w:t>
      </w:r>
    </w:p>
    <w:p>
      <w:pPr>
        <w:spacing w:before="80" w:after="80"/>
        <w:jc w:val="both"/>
      </w:pPr>
      <w:r>
        <w:rPr>
          <w:rFonts w:ascii="Arial" w:cs="Arial" w:eastAsia="Arial" w:hAnsi="Arial"/>
          <w:color w:val="1A1A2E"/>
          <w:sz w:val="22"/>
          <w:szCs w:val="22"/>
        </w:rPr>
        <w:t xml:space="preserve">Each paper in the corpus was analysed to identify which of the nine automated classification parameters it addresses. These parameters constitute the operational inputs of the classification engine: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Param ID</w:t>
            </w:r>
          </w:p>
        </w:tc>
        <w:tc>
          <w:tcPr>
            <w:tcW w:type="dxa" w:w="22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Parameter Name</w:t>
            </w:r>
          </w:p>
        </w:tc>
        <w:tc>
          <w:tcPr>
            <w:tcW w:type="dxa" w:w="626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CP-01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Temporal Sequencing</w:t>
            </w:r>
          </w:p>
        </w:tc>
        <w:tc>
          <w:tcPr>
            <w:tcW w:type="dxa" w:w="62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Ordering of TTPs into time-stamped kill-chain sequences</w:t>
            </w:r>
          </w:p>
        </w:tc>
      </w:tr>
      <w:tr>
        <w:tc>
          <w:tcPr>
            <w:tcW w:type="dxa" w:w="9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CP-02</w:t>
            </w:r>
          </w:p>
        </w:tc>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Behavioral Fingerprinting</w:t>
            </w:r>
          </w:p>
        </w:tc>
        <w:tc>
          <w:tcPr>
            <w:tcW w:type="dxa" w:w="62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Identification of adversary-unique behavioral signatures across campaigns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CP-03</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NLP-Based TTP Extraction</w:t>
            </w:r>
          </w:p>
        </w:tc>
        <w:tc>
          <w:tcPr>
            <w:tcW w:type="dxa" w:w="62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Automated parsing of threat reports for technique identification</w:t>
            </w:r>
          </w:p>
        </w:tc>
      </w:tr>
      <w:tr>
        <w:tc>
          <w:tcPr>
            <w:tcW w:type="dxa" w:w="9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CP-04</w:t>
            </w:r>
          </w:p>
        </w:tc>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Graph-Theoretic Modeling</w:t>
            </w:r>
          </w:p>
        </w:tc>
        <w:tc>
          <w:tcPr>
            <w:tcW w:type="dxa" w:w="62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Representation of attack campaigns as nodes/edges in a knowledge graph</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CP-05</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ML-Driven Attribution</w:t>
            </w:r>
          </w:p>
        </w:tc>
        <w:tc>
          <w:tcPr>
            <w:tcW w:type="dxa" w:w="62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Supervised classification of campaigns to known APT groups</w:t>
            </w:r>
          </w:p>
        </w:tc>
      </w:tr>
      <w:tr>
        <w:tc>
          <w:tcPr>
            <w:tcW w:type="dxa" w:w="9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CP-06</w:t>
            </w:r>
          </w:p>
        </w:tc>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Indicator Correlation</w:t>
            </w:r>
          </w:p>
        </w:tc>
        <w:tc>
          <w:tcPr>
            <w:tcW w:type="dxa" w:w="62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Cross-campaign IOC clustering and deduplication</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CP-07</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Anomaly Detection</w:t>
            </w:r>
          </w:p>
        </w:tc>
        <w:tc>
          <w:tcPr>
            <w:tcW w:type="dxa" w:w="62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Statistical deviation analysis for novel/zero-day technique flagging</w:t>
            </w:r>
          </w:p>
        </w:tc>
      </w:tr>
      <w:tr>
        <w:tc>
          <w:tcPr>
            <w:tcW w:type="dxa" w:w="9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bCs/>
                <w:sz w:val="19"/>
                <w:szCs w:val="19"/>
              </w:rPr>
              <w:t xml:space="preserve">CP-08</w:t>
            </w:r>
          </w:p>
        </w:tc>
        <w:tc>
          <w:tcPr>
            <w:tcW w:type="dxa" w:w="220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C2 Traffic Analysis</w:t>
            </w:r>
          </w:p>
        </w:tc>
        <w:tc>
          <w:tcPr>
            <w:tcW w:type="dxa" w:w="6260"/>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rFonts w:ascii="Arial" w:cs="Arial" w:eastAsia="Arial" w:hAnsi="Arial"/>
                <w:b w:val="false"/>
                <w:bCs w:val="false"/>
                <w:sz w:val="19"/>
                <w:szCs w:val="19"/>
              </w:rPr>
              <w:t xml:space="preserve">Protocol-level classification of command-and-control communication patterns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bCs/>
                <w:sz w:val="19"/>
                <w:szCs w:val="19"/>
              </w:rPr>
              <w:t xml:space="preserve">CP-09</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Exfiltration Modeling</w:t>
            </w:r>
          </w:p>
        </w:tc>
        <w:tc>
          <w:tcPr>
            <w:tcW w:type="dxa" w:w="62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Volume, timing, and protocol-based classification of data exfiltration events</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2.3  Taxonomy Nodes — MITRE ATT&amp;CK Aligned</w:t>
      </w:r>
    </w:p>
    <w:p>
      <w:pPr>
        <w:spacing w:before="80" w:after="80"/>
        <w:jc w:val="both"/>
      </w:pPr>
      <w:r>
        <w:rPr>
          <w:rFonts w:ascii="Arial" w:cs="Arial" w:eastAsia="Arial" w:hAnsi="Arial"/>
          <w:color w:val="1A1A2E"/>
          <w:sz w:val="22"/>
          <w:szCs w:val="22"/>
        </w:rPr>
        <w:t xml:space="preserve">The taxonomy operates at three levels: Macro-Level (14 APT lifecycle phases aligned to MITRE ATT&amp;CK tactics), Meso-Level (49 technique clusters), and Micro-Level (atomic indicators and sub-techniques). Each of the 14 taxonomy nodes is defined below with its detection methods and classification parameters.</w:t>
      </w:r>
    </w:p>
    <w:p>
      <w:r>
        <w:rPr>
          <w:sz w:val="22"/>
          <w:szCs w:val="22"/>
        </w:rPr>
        <w:t xml:space="preserve"/>
      </w:r>
    </w:p>
    <w:p>
      <w:pPr>
        <w:pStyle w:val="Heading3"/>
        <w:spacing w:before="200" w:after="100"/>
      </w:pPr>
      <w:r>
        <w:rPr>
          <w:rFonts w:ascii="Arial" w:cs="Arial" w:eastAsia="Arial" w:hAnsi="Arial"/>
          <w:b/>
          <w:bCs/>
          <w:color w:val="2E5FA3"/>
          <w:sz w:val="24"/>
          <w:szCs w:val="24"/>
        </w:rPr>
        <w:t xml:space="preserve">T1 — Reconnaissance   [MITRE Tactic: TA0043]</w:t>
      </w:r>
    </w:p>
    <w:p>
      <w:pPr>
        <w:spacing w:before="80" w:after="80"/>
        <w:jc w:val="both"/>
      </w:pPr>
      <w:r>
        <w:rPr>
          <w:rFonts w:ascii="Arial" w:cs="Arial" w:eastAsia="Arial" w:hAnsi="Arial"/>
          <w:color w:val="1A1A2E"/>
          <w:sz w:val="22"/>
          <w:szCs w:val="22"/>
        </w:rPr>
        <w:t xml:space="preserve">Activities conducted prior to active intrusion. Classified through passive network telemetry analysis and OSINT correlation. Automated detection relies on graph-based correlation of pre-intrusion network probes with subsequent intrusion indicators.</w:t>
      </w:r>
    </w:p>
    <w:p>
      <w:pPr>
        <w:pStyle w:val="ListParagraph"/>
        <w:numPr>
          <w:ilvl w:val="0"/>
          <w:numId w:val="2"/>
        </w:numPr>
        <w:spacing w:before="60" w:after="60"/>
      </w:pPr>
      <w:r>
        <w:rPr>
          <w:rFonts w:ascii="Arial" w:cs="Arial" w:eastAsia="Arial" w:hAnsi="Arial"/>
          <w:color w:val="1A1A2E"/>
          <w:sz w:val="22"/>
          <w:szCs w:val="22"/>
        </w:rPr>
        <w:t xml:space="preserve">Active Scanning via honeypot telemetry + anomaly threshold models [CP-07]</w:t>
      </w:r>
    </w:p>
    <w:p>
      <w:pPr>
        <w:pStyle w:val="ListParagraph"/>
        <w:numPr>
          <w:ilvl w:val="0"/>
          <w:numId w:val="2"/>
        </w:numPr>
        <w:spacing w:before="60" w:after="60"/>
      </w:pPr>
      <w:r>
        <w:rPr>
          <w:rFonts w:ascii="Arial" w:cs="Arial" w:eastAsia="Arial" w:hAnsi="Arial"/>
          <w:color w:val="1A1A2E"/>
          <w:sz w:val="22"/>
          <w:szCs w:val="22"/>
        </w:rPr>
        <w:t xml:space="preserve">Passive OSINT Aggregation via NLP entity extraction [CP-03]</w:t>
      </w:r>
    </w:p>
    <w:p>
      <w:pPr>
        <w:pStyle w:val="ListParagraph"/>
        <w:numPr>
          <w:ilvl w:val="0"/>
          <w:numId w:val="2"/>
        </w:numPr>
        <w:spacing w:before="60" w:after="60"/>
      </w:pPr>
      <w:r>
        <w:rPr>
          <w:rFonts w:ascii="Arial" w:cs="Arial" w:eastAsia="Arial" w:hAnsi="Arial"/>
          <w:color w:val="1A1A2E"/>
          <w:sz w:val="22"/>
          <w:szCs w:val="22"/>
        </w:rPr>
        <w:t xml:space="preserve">Spearphishing Victim Profiling via email metadata graph analysis [CP-04]</w:t>
      </w:r>
    </w:p>
    <w:p>
      <w:pPr>
        <w:pStyle w:val="ListParagraph"/>
        <w:numPr>
          <w:ilvl w:val="0"/>
          <w:numId w:val="2"/>
        </w:numPr>
        <w:spacing w:before="60" w:after="60"/>
      </w:pPr>
      <w:r>
        <w:rPr>
          <w:rFonts w:ascii="Arial" w:cs="Arial" w:eastAsia="Arial" w:hAnsi="Arial"/>
          <w:color w:val="1A1A2E"/>
          <w:sz w:val="22"/>
          <w:szCs w:val="22"/>
        </w:rPr>
        <w:t xml:space="preserve">Infrastructure Enumeration via DNS passive replication [CP-06]</w:t>
      </w:r>
    </w:p>
    <w:p>
      <w:r>
        <w:rPr>
          <w:sz w:val="22"/>
          <w:szCs w:val="22"/>
        </w:rPr>
        <w:t xml:space="preserve"/>
      </w:r>
    </w:p>
    <w:p>
      <w:pPr>
        <w:pStyle w:val="Heading3"/>
        <w:spacing w:before="200" w:after="100"/>
      </w:pPr>
      <w:r>
        <w:rPr>
          <w:rFonts w:ascii="Arial" w:cs="Arial" w:eastAsia="Arial" w:hAnsi="Arial"/>
          <w:b/>
          <w:bCs/>
          <w:color w:val="2E5FA3"/>
          <w:sz w:val="24"/>
          <w:szCs w:val="24"/>
        </w:rPr>
        <w:t xml:space="preserve">T2 — Resource Development   [MITRE Tactic: TA0042]</w:t>
      </w:r>
    </w:p>
    <w:p>
      <w:pPr>
        <w:spacing w:before="80" w:after="80"/>
        <w:jc w:val="both"/>
      </w:pPr>
      <w:r>
        <w:rPr>
          <w:rFonts w:ascii="Arial" w:cs="Arial" w:eastAsia="Arial" w:hAnsi="Arial"/>
          <w:color w:val="1A1A2E"/>
          <w:sz w:val="22"/>
          <w:szCs w:val="22"/>
        </w:rPr>
        <w:t xml:space="preserve">Adversary activities to establish operational infrastructure. Domain Generation Algorithm (DGA) detection and certificate transparency log mining are primary classification signals, with bi-directional LSTM models achieving 91%+ accuracy.</w:t>
      </w:r>
    </w:p>
    <w:p>
      <w:pPr>
        <w:pStyle w:val="ListParagraph"/>
        <w:numPr>
          <w:ilvl w:val="0"/>
          <w:numId w:val="2"/>
        </w:numPr>
        <w:spacing w:before="60" w:after="60"/>
      </w:pPr>
      <w:r>
        <w:rPr>
          <w:rFonts w:ascii="Arial" w:cs="Arial" w:eastAsia="Arial" w:hAnsi="Arial"/>
          <w:color w:val="1A1A2E"/>
          <w:sz w:val="22"/>
          <w:szCs w:val="22"/>
        </w:rPr>
        <w:t xml:space="preserve">Malicious Domain Acquisition via WHOIS + DGA pattern detection [CP-02]</w:t>
      </w:r>
    </w:p>
    <w:p>
      <w:pPr>
        <w:pStyle w:val="ListParagraph"/>
        <w:numPr>
          <w:ilvl w:val="0"/>
          <w:numId w:val="2"/>
        </w:numPr>
        <w:spacing w:before="60" w:after="60"/>
      </w:pPr>
      <w:r>
        <w:rPr>
          <w:rFonts w:ascii="Arial" w:cs="Arial" w:eastAsia="Arial" w:hAnsi="Arial"/>
          <w:color w:val="1A1A2E"/>
          <w:sz w:val="22"/>
          <w:szCs w:val="22"/>
        </w:rPr>
        <w:t xml:space="preserve">Custom Implant Development via malware genome similarity hashing [CP-06]</w:t>
      </w:r>
    </w:p>
    <w:p>
      <w:pPr>
        <w:pStyle w:val="ListParagraph"/>
        <w:numPr>
          <w:ilvl w:val="0"/>
          <w:numId w:val="2"/>
        </w:numPr>
        <w:spacing w:before="60" w:after="60"/>
      </w:pPr>
      <w:r>
        <w:rPr>
          <w:rFonts w:ascii="Arial" w:cs="Arial" w:eastAsia="Arial" w:hAnsi="Arial"/>
          <w:color w:val="1A1A2E"/>
          <w:sz w:val="22"/>
          <w:szCs w:val="22"/>
        </w:rPr>
        <w:t xml:space="preserve">Infrastructure Staging via ASN clustering + certificate transparency logs [CP-04]</w:t>
      </w:r>
    </w:p>
    <w:p>
      <w:r>
        <w:rPr>
          <w:sz w:val="22"/>
          <w:szCs w:val="22"/>
        </w:rPr>
        <w:t xml:space="preserve"/>
      </w:r>
    </w:p>
    <w:p>
      <w:pPr>
        <w:pStyle w:val="Heading3"/>
        <w:spacing w:before="200" w:after="100"/>
      </w:pPr>
      <w:r>
        <w:rPr>
          <w:rFonts w:ascii="Arial" w:cs="Arial" w:eastAsia="Arial" w:hAnsi="Arial"/>
          <w:b/>
          <w:bCs/>
          <w:color w:val="2E5FA3"/>
          <w:sz w:val="24"/>
          <w:szCs w:val="24"/>
        </w:rPr>
        <w:t xml:space="preserve">T3 — Initial Access   [MITRE Tactic: TA0001]</w:t>
      </w:r>
    </w:p>
    <w:p>
      <w:pPr>
        <w:spacing w:before="80" w:after="80"/>
        <w:jc w:val="both"/>
      </w:pPr>
      <w:r>
        <w:rPr>
          <w:rFonts w:ascii="Arial" w:cs="Arial" w:eastAsia="Arial" w:hAnsi="Arial"/>
          <w:color w:val="1A1A2E"/>
          <w:sz w:val="22"/>
          <w:szCs w:val="22"/>
        </w:rPr>
        <w:t xml:space="preserve">The most extensively studied phase in the corpus (89/100 papers), reflecting forensic visibility and defensive priority. Transformer-based NLP models are the dominant automated classification tool. Spearphishing accounts for 67% of initial access vectors across the corpus.</w:t>
      </w:r>
    </w:p>
    <w:p>
      <w:pPr>
        <w:pStyle w:val="ListParagraph"/>
        <w:numPr>
          <w:ilvl w:val="0"/>
          <w:numId w:val="2"/>
        </w:numPr>
        <w:spacing w:before="60" w:after="60"/>
      </w:pPr>
      <w:r>
        <w:rPr>
          <w:rFonts w:ascii="Arial" w:cs="Arial" w:eastAsia="Arial" w:hAnsi="Arial"/>
          <w:color w:val="1A1A2E"/>
          <w:sz w:val="22"/>
          <w:szCs w:val="22"/>
        </w:rPr>
        <w:t xml:space="preserve">Spearphishing via email header analysis + URL detonation sandbox [CP-03, CP-07]</w:t>
      </w:r>
    </w:p>
    <w:p>
      <w:pPr>
        <w:pStyle w:val="ListParagraph"/>
        <w:numPr>
          <w:ilvl w:val="0"/>
          <w:numId w:val="2"/>
        </w:numPr>
        <w:spacing w:before="60" w:after="60"/>
      </w:pPr>
      <w:r>
        <w:rPr>
          <w:rFonts w:ascii="Arial" w:cs="Arial" w:eastAsia="Arial" w:hAnsi="Arial"/>
          <w:color w:val="1A1A2E"/>
          <w:sz w:val="22"/>
          <w:szCs w:val="22"/>
        </w:rPr>
        <w:t xml:space="preserve">Exploit Public-Facing Application via CVE-signature matching [CP-07]</w:t>
      </w:r>
    </w:p>
    <w:p>
      <w:pPr>
        <w:pStyle w:val="ListParagraph"/>
        <w:numPr>
          <w:ilvl w:val="0"/>
          <w:numId w:val="2"/>
        </w:numPr>
        <w:spacing w:before="60" w:after="60"/>
      </w:pPr>
      <w:r>
        <w:rPr>
          <w:rFonts w:ascii="Arial" w:cs="Arial" w:eastAsia="Arial" w:hAnsi="Arial"/>
          <w:color w:val="1A1A2E"/>
          <w:sz w:val="22"/>
          <w:szCs w:val="22"/>
        </w:rPr>
        <w:t xml:space="preserve">Supply Chain Compromise via SBOM integrity verification [CP-02]</w:t>
      </w:r>
    </w:p>
    <w:p>
      <w:pPr>
        <w:pStyle w:val="ListParagraph"/>
        <w:numPr>
          <w:ilvl w:val="0"/>
          <w:numId w:val="2"/>
        </w:numPr>
        <w:spacing w:before="60" w:after="60"/>
      </w:pPr>
      <w:r>
        <w:rPr>
          <w:rFonts w:ascii="Arial" w:cs="Arial" w:eastAsia="Arial" w:hAnsi="Arial"/>
          <w:color w:val="1A1A2E"/>
          <w:sz w:val="22"/>
          <w:szCs w:val="22"/>
        </w:rPr>
        <w:t xml:space="preserve">Valid Account Abuse via UBA deviation analysis [CP-02, CP-07]</w:t>
      </w:r>
    </w:p>
    <w:p>
      <w:pPr>
        <w:pStyle w:val="ListParagraph"/>
        <w:numPr>
          <w:ilvl w:val="0"/>
          <w:numId w:val="2"/>
        </w:numPr>
        <w:spacing w:before="60" w:after="60"/>
      </w:pPr>
      <w:r>
        <w:rPr>
          <w:rFonts w:ascii="Arial" w:cs="Arial" w:eastAsia="Arial" w:hAnsi="Arial"/>
          <w:color w:val="1A1A2E"/>
          <w:sz w:val="22"/>
          <w:szCs w:val="22"/>
        </w:rPr>
        <w:t xml:space="preserve">Watering Hole Attack via JS deobfuscation + fingerprinting [CP-03]</w:t>
      </w:r>
    </w:p>
    <w:p>
      <w:r>
        <w:rPr>
          <w:sz w:val="22"/>
          <w:szCs w:val="22"/>
        </w:rPr>
        <w:t xml:space="preserve"/>
      </w:r>
    </w:p>
    <w:p>
      <w:pPr>
        <w:pStyle w:val="Heading3"/>
        <w:spacing w:before="200" w:after="100"/>
      </w:pPr>
      <w:r>
        <w:rPr>
          <w:rFonts w:ascii="Arial" w:cs="Arial" w:eastAsia="Arial" w:hAnsi="Arial"/>
          <w:b/>
          <w:bCs/>
          <w:color w:val="2E5FA3"/>
          <w:sz w:val="24"/>
          <w:szCs w:val="24"/>
        </w:rPr>
        <w:t xml:space="preserve">T4 — Execution   [MITRE Tactic: TA0002]</w:t>
      </w:r>
    </w:p>
    <w:p>
      <w:pPr>
        <w:spacing w:before="80" w:after="80"/>
        <w:jc w:val="both"/>
      </w:pPr>
      <w:r>
        <w:rPr>
          <w:rFonts w:ascii="Arial" w:cs="Arial" w:eastAsia="Arial" w:hAnsi="Arial"/>
          <w:color w:val="1A1A2E"/>
          <w:sz w:val="22"/>
          <w:szCs w:val="22"/>
        </w:rPr>
        <w:t xml:space="preserve">Techniques by which adversaries run malicious code. LOLBin (Living-off-the-Land Binary) abuse is the dominant APT execution pattern from 2022 onward, reflecting deliberate evasion of signature-based detection.</w:t>
      </w:r>
    </w:p>
    <w:p>
      <w:pPr>
        <w:pStyle w:val="ListParagraph"/>
        <w:numPr>
          <w:ilvl w:val="0"/>
          <w:numId w:val="2"/>
        </w:numPr>
        <w:spacing w:before="60" w:after="60"/>
      </w:pPr>
      <w:r>
        <w:rPr>
          <w:rFonts w:ascii="Arial" w:cs="Arial" w:eastAsia="Arial" w:hAnsi="Arial"/>
          <w:color w:val="1A1A2E"/>
          <w:sz w:val="22"/>
          <w:szCs w:val="22"/>
        </w:rPr>
        <w:t xml:space="preserve">PowerShell/Script Abuse via AST-based analysis + AMSI telemetry [CP-03]</w:t>
      </w:r>
    </w:p>
    <w:p>
      <w:pPr>
        <w:pStyle w:val="ListParagraph"/>
        <w:numPr>
          <w:ilvl w:val="0"/>
          <w:numId w:val="2"/>
        </w:numPr>
        <w:spacing w:before="60" w:after="60"/>
      </w:pPr>
      <w:r>
        <w:rPr>
          <w:rFonts w:ascii="Arial" w:cs="Arial" w:eastAsia="Arial" w:hAnsi="Arial"/>
          <w:color w:val="1A1A2E"/>
          <w:sz w:val="22"/>
          <w:szCs w:val="22"/>
        </w:rPr>
        <w:t xml:space="preserve">Scheduled Task Execution via task scheduler log mining [CP-01, CP-04]</w:t>
      </w:r>
    </w:p>
    <w:p>
      <w:pPr>
        <w:pStyle w:val="ListParagraph"/>
        <w:numPr>
          <w:ilvl w:val="0"/>
          <w:numId w:val="2"/>
        </w:numPr>
        <w:spacing w:before="60" w:after="60"/>
      </w:pPr>
      <w:r>
        <w:rPr>
          <w:rFonts w:ascii="Arial" w:cs="Arial" w:eastAsia="Arial" w:hAnsi="Arial"/>
          <w:color w:val="1A1A2E"/>
          <w:sz w:val="22"/>
          <w:szCs w:val="22"/>
        </w:rPr>
        <w:t xml:space="preserve">LOLBin Abuse via signed binary execution anomaly scoring [CP-02, CP-07]</w:t>
      </w:r>
    </w:p>
    <w:p>
      <w:pPr>
        <w:pStyle w:val="ListParagraph"/>
        <w:numPr>
          <w:ilvl w:val="0"/>
          <w:numId w:val="2"/>
        </w:numPr>
        <w:spacing w:before="60" w:after="60"/>
      </w:pPr>
      <w:r>
        <w:rPr>
          <w:rFonts w:ascii="Arial" w:cs="Arial" w:eastAsia="Arial" w:hAnsi="Arial"/>
          <w:color w:val="1A1A2E"/>
          <w:sz w:val="22"/>
          <w:szCs w:val="22"/>
        </w:rPr>
        <w:t xml:space="preserve">User-Triggered Execution via document macro extraction [CP-03]</w:t>
      </w:r>
    </w:p>
    <w:p>
      <w:r>
        <w:rPr>
          <w:sz w:val="22"/>
          <w:szCs w:val="22"/>
        </w:rPr>
        <w:t xml:space="preserve"/>
      </w:r>
    </w:p>
    <w:p>
      <w:pPr>
        <w:pStyle w:val="Heading3"/>
        <w:spacing w:before="200" w:after="100"/>
      </w:pPr>
      <w:r>
        <w:rPr>
          <w:rFonts w:ascii="Arial" w:cs="Arial" w:eastAsia="Arial" w:hAnsi="Arial"/>
          <w:b/>
          <w:bCs/>
          <w:color w:val="2E5FA3"/>
          <w:sz w:val="24"/>
          <w:szCs w:val="24"/>
        </w:rPr>
        <w:t xml:space="preserve">T5 — Persistence   [MITRE Tactic: TA0003]</w:t>
      </w:r>
    </w:p>
    <w:p>
      <w:pPr>
        <w:spacing w:before="80" w:after="80"/>
        <w:jc w:val="both"/>
      </w:pPr>
      <w:r>
        <w:rPr>
          <w:rFonts w:ascii="Arial" w:cs="Arial" w:eastAsia="Arial" w:hAnsi="Arial"/>
          <w:color w:val="1A1A2E"/>
          <w:sz w:val="22"/>
          <w:szCs w:val="22"/>
        </w:rPr>
        <w:t xml:space="preserve">Mechanisms maintaining foothold across reboots. Exhibits the highest inter-group discriminative power: classification accuracy of 88.3% (Random Forest) to 93.7% (GNN-based) for APT group attribution based solely on persistence signatures.</w:t>
      </w:r>
    </w:p>
    <w:p>
      <w:pPr>
        <w:pStyle w:val="ListParagraph"/>
        <w:numPr>
          <w:ilvl w:val="0"/>
          <w:numId w:val="2"/>
        </w:numPr>
        <w:spacing w:before="60" w:after="60"/>
      </w:pPr>
      <w:r>
        <w:rPr>
          <w:rFonts w:ascii="Arial" w:cs="Arial" w:eastAsia="Arial" w:hAnsi="Arial"/>
          <w:color w:val="1A1A2E"/>
          <w:sz w:val="22"/>
          <w:szCs w:val="22"/>
        </w:rPr>
        <w:t xml:space="preserve">Registry Run Key Modification via registry delta monitoring [CP-02]</w:t>
      </w:r>
    </w:p>
    <w:p>
      <w:pPr>
        <w:pStyle w:val="ListParagraph"/>
        <w:numPr>
          <w:ilvl w:val="0"/>
          <w:numId w:val="2"/>
        </w:numPr>
        <w:spacing w:before="60" w:after="60"/>
      </w:pPr>
      <w:r>
        <w:rPr>
          <w:rFonts w:ascii="Arial" w:cs="Arial" w:eastAsia="Arial" w:hAnsi="Arial"/>
          <w:color w:val="1A1A2E"/>
          <w:sz w:val="22"/>
          <w:szCs w:val="22"/>
        </w:rPr>
        <w:t xml:space="preserve">Web Shell Deployment via HTTP log anomaly detection [CP-07]</w:t>
      </w:r>
    </w:p>
    <w:p>
      <w:pPr>
        <w:pStyle w:val="ListParagraph"/>
        <w:numPr>
          <w:ilvl w:val="0"/>
          <w:numId w:val="2"/>
        </w:numPr>
        <w:spacing w:before="60" w:after="60"/>
      </w:pPr>
      <w:r>
        <w:rPr>
          <w:rFonts w:ascii="Arial" w:cs="Arial" w:eastAsia="Arial" w:hAnsi="Arial"/>
          <w:color w:val="1A1A2E"/>
          <w:sz w:val="22"/>
          <w:szCs w:val="22"/>
        </w:rPr>
        <w:t xml:space="preserve">Boot/Logon Autostart via MBR/UEFI integrity verification [CP-07]</w:t>
      </w:r>
    </w:p>
    <w:p>
      <w:pPr>
        <w:pStyle w:val="ListParagraph"/>
        <w:numPr>
          <w:ilvl w:val="0"/>
          <w:numId w:val="2"/>
        </w:numPr>
        <w:spacing w:before="60" w:after="60"/>
      </w:pPr>
      <w:r>
        <w:rPr>
          <w:rFonts w:ascii="Arial" w:cs="Arial" w:eastAsia="Arial" w:hAnsi="Arial"/>
          <w:color w:val="1A1A2E"/>
          <w:sz w:val="22"/>
          <w:szCs w:val="22"/>
        </w:rPr>
        <w:t xml:space="preserve">Account Manipulation via IAM audit log correlation [CP-04, CP-06]</w:t>
      </w:r>
    </w:p>
    <w:p>
      <w:r>
        <w:rPr>
          <w:sz w:val="22"/>
          <w:szCs w:val="22"/>
        </w:rPr>
        <w:t xml:space="preserve"/>
      </w:r>
    </w:p>
    <w:p>
      <w:pPr>
        <w:pStyle w:val="Heading3"/>
        <w:spacing w:before="200" w:after="100"/>
      </w:pPr>
      <w:r>
        <w:rPr>
          <w:rFonts w:ascii="Arial" w:cs="Arial" w:eastAsia="Arial" w:hAnsi="Arial"/>
          <w:b/>
          <w:bCs/>
          <w:color w:val="2E5FA3"/>
          <w:sz w:val="24"/>
          <w:szCs w:val="24"/>
        </w:rPr>
        <w:t xml:space="preserve">T6 — Privilege Escalation   [MITRE Tactic: TA0004]</w:t>
      </w:r>
    </w:p>
    <w:p>
      <w:pPr>
        <w:spacing w:before="80" w:after="80"/>
        <w:jc w:val="both"/>
      </w:pPr>
      <w:r>
        <w:rPr>
          <w:rFonts w:ascii="Arial" w:cs="Arial" w:eastAsia="Arial" w:hAnsi="Arial"/>
          <w:color w:val="1A1A2E"/>
          <w:sz w:val="22"/>
          <w:szCs w:val="22"/>
        </w:rPr>
        <w:t xml:space="preserve">Techniques for gaining elevated permissions. Automated detection focuses on exploit chain sequencing and token manipulation signatures.</w:t>
      </w:r>
    </w:p>
    <w:p>
      <w:pPr>
        <w:pStyle w:val="ListParagraph"/>
        <w:numPr>
          <w:ilvl w:val="0"/>
          <w:numId w:val="2"/>
        </w:numPr>
        <w:spacing w:before="60" w:after="60"/>
      </w:pPr>
      <w:r>
        <w:rPr>
          <w:rFonts w:ascii="Arial" w:cs="Arial" w:eastAsia="Arial" w:hAnsi="Arial"/>
          <w:color w:val="1A1A2E"/>
          <w:sz w:val="22"/>
          <w:szCs w:val="22"/>
        </w:rPr>
        <w:t xml:space="preserve">Kernel Exploit Deployment via CVE-to-syscall signature mapping [CP-07]</w:t>
      </w:r>
    </w:p>
    <w:p>
      <w:pPr>
        <w:pStyle w:val="ListParagraph"/>
        <w:numPr>
          <w:ilvl w:val="0"/>
          <w:numId w:val="2"/>
        </w:numPr>
        <w:spacing w:before="60" w:after="60"/>
      </w:pPr>
      <w:r>
        <w:rPr>
          <w:rFonts w:ascii="Arial" w:cs="Arial" w:eastAsia="Arial" w:hAnsi="Arial"/>
          <w:color w:val="1A1A2E"/>
          <w:sz w:val="22"/>
          <w:szCs w:val="22"/>
        </w:rPr>
        <w:t xml:space="preserve">Access Token Manipulation via Windows Security Event log anomaly [CP-01, CP-02]</w:t>
      </w:r>
    </w:p>
    <w:p>
      <w:pPr>
        <w:pStyle w:val="ListParagraph"/>
        <w:numPr>
          <w:ilvl w:val="0"/>
          <w:numId w:val="2"/>
        </w:numPr>
        <w:spacing w:before="60" w:after="60"/>
      </w:pPr>
      <w:r>
        <w:rPr>
          <w:rFonts w:ascii="Arial" w:cs="Arial" w:eastAsia="Arial" w:hAnsi="Arial"/>
          <w:color w:val="1A1A2E"/>
          <w:sz w:val="22"/>
          <w:szCs w:val="22"/>
        </w:rPr>
        <w:t xml:space="preserve">Sudo/SUID Binary Abuse via Linux auditd log correlation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T7 — Defense Evasion   [MITRE Tactic: TA0005]</w:t>
      </w:r>
    </w:p>
    <w:p>
      <w:pPr>
        <w:spacing w:before="80" w:after="80"/>
        <w:jc w:val="both"/>
      </w:pPr>
      <w:r>
        <w:rPr>
          <w:rFonts w:ascii="Arial" w:cs="Arial" w:eastAsia="Arial" w:hAnsi="Arial"/>
          <w:color w:val="1A1A2E"/>
          <w:sz w:val="22"/>
          <w:szCs w:val="22"/>
        </w:rPr>
        <w:t xml:space="preserve">The most technique-rich tactic in MITRE ATT&amp;CK. Multi-label classification is the appropriate ML paradigm; Graph Neural Networks achieve F1-score of 0.871 for composite evasion detection.</w:t>
      </w:r>
    </w:p>
    <w:p>
      <w:pPr>
        <w:pStyle w:val="ListParagraph"/>
        <w:numPr>
          <w:ilvl w:val="0"/>
          <w:numId w:val="2"/>
        </w:numPr>
        <w:spacing w:before="60" w:after="60"/>
      </w:pPr>
      <w:r>
        <w:rPr>
          <w:rFonts w:ascii="Arial" w:cs="Arial" w:eastAsia="Arial" w:hAnsi="Arial"/>
          <w:color w:val="1A1A2E"/>
          <w:sz w:val="22"/>
          <w:szCs w:val="22"/>
        </w:rPr>
        <w:t xml:space="preserve">Obfuscated File/Code Execution via entropy analysis + ML deobfuscation [CP-03, CP-07]</w:t>
      </w:r>
    </w:p>
    <w:p>
      <w:pPr>
        <w:pStyle w:val="ListParagraph"/>
        <w:numPr>
          <w:ilvl w:val="0"/>
          <w:numId w:val="2"/>
        </w:numPr>
        <w:spacing w:before="60" w:after="60"/>
      </w:pPr>
      <w:r>
        <w:rPr>
          <w:rFonts w:ascii="Arial" w:cs="Arial" w:eastAsia="Arial" w:hAnsi="Arial"/>
          <w:color w:val="1A1A2E"/>
          <w:sz w:val="22"/>
          <w:szCs w:val="22"/>
        </w:rPr>
        <w:t xml:space="preserve">Indicator Removal via log integrity verification [CP-02]</w:t>
      </w:r>
    </w:p>
    <w:p>
      <w:pPr>
        <w:pStyle w:val="ListParagraph"/>
        <w:numPr>
          <w:ilvl w:val="0"/>
          <w:numId w:val="2"/>
        </w:numPr>
        <w:spacing w:before="60" w:after="60"/>
      </w:pPr>
      <w:r>
        <w:rPr>
          <w:rFonts w:ascii="Arial" w:cs="Arial" w:eastAsia="Arial" w:hAnsi="Arial"/>
          <w:color w:val="1A1A2E"/>
          <w:sz w:val="22"/>
          <w:szCs w:val="22"/>
        </w:rPr>
        <w:t xml:space="preserve">Rootkit/Firmware Implant via memory forensics + UEFI hash verification [CP-07]</w:t>
      </w:r>
    </w:p>
    <w:p>
      <w:pPr>
        <w:pStyle w:val="ListParagraph"/>
        <w:numPr>
          <w:ilvl w:val="0"/>
          <w:numId w:val="2"/>
        </w:numPr>
        <w:spacing w:before="60" w:after="60"/>
      </w:pPr>
      <w:r>
        <w:rPr>
          <w:rFonts w:ascii="Arial" w:cs="Arial" w:eastAsia="Arial" w:hAnsi="Arial"/>
          <w:color w:val="1A1A2E"/>
          <w:sz w:val="22"/>
          <w:szCs w:val="22"/>
        </w:rPr>
        <w:t xml:space="preserve">Timestomping via MFT delta analysis [CP-01]</w:t>
      </w:r>
    </w:p>
    <w:p>
      <w:pPr>
        <w:pStyle w:val="ListParagraph"/>
        <w:numPr>
          <w:ilvl w:val="0"/>
          <w:numId w:val="2"/>
        </w:numPr>
        <w:spacing w:before="60" w:after="60"/>
      </w:pPr>
      <w:r>
        <w:rPr>
          <w:rFonts w:ascii="Arial" w:cs="Arial" w:eastAsia="Arial" w:hAnsi="Arial"/>
          <w:color w:val="1A1A2E"/>
          <w:sz w:val="22"/>
          <w:szCs w:val="22"/>
        </w:rPr>
        <w:t xml:space="preserve">Process Injection via memory region anomaly scoring [CP-04,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T8 — Credential Access   [MITRE Tactic: TA0006]</w:t>
      </w:r>
    </w:p>
    <w:p>
      <w:pPr>
        <w:spacing w:before="80" w:after="80"/>
        <w:jc w:val="both"/>
      </w:pPr>
      <w:r>
        <w:rPr>
          <w:rFonts w:ascii="Arial" w:cs="Arial" w:eastAsia="Arial" w:hAnsi="Arial"/>
          <w:color w:val="1A1A2E"/>
          <w:sz w:val="22"/>
          <w:szCs w:val="22"/>
        </w:rPr>
        <w:t xml:space="preserve">Techniques targeting authentication material. HMMs and statistical thresholds are the primary automated detection methods.</w:t>
      </w:r>
    </w:p>
    <w:p>
      <w:pPr>
        <w:pStyle w:val="ListParagraph"/>
        <w:numPr>
          <w:ilvl w:val="0"/>
          <w:numId w:val="2"/>
        </w:numPr>
        <w:spacing w:before="60" w:after="60"/>
      </w:pPr>
      <w:r>
        <w:rPr>
          <w:rFonts w:ascii="Arial" w:cs="Arial" w:eastAsia="Arial" w:hAnsi="Arial"/>
          <w:color w:val="1A1A2E"/>
          <w:sz w:val="22"/>
          <w:szCs w:val="22"/>
        </w:rPr>
        <w:t xml:space="preserve">LSASS Memory Dumping via WDigest registry monitoring [CP-02]</w:t>
      </w:r>
    </w:p>
    <w:p>
      <w:pPr>
        <w:pStyle w:val="ListParagraph"/>
        <w:numPr>
          <w:ilvl w:val="0"/>
          <w:numId w:val="2"/>
        </w:numPr>
        <w:spacing w:before="60" w:after="60"/>
      </w:pPr>
      <w:r>
        <w:rPr>
          <w:rFonts w:ascii="Arial" w:cs="Arial" w:eastAsia="Arial" w:hAnsi="Arial"/>
          <w:color w:val="1A1A2E"/>
          <w:sz w:val="22"/>
          <w:szCs w:val="22"/>
        </w:rPr>
        <w:t xml:space="preserve">Kerberoasting/AS-REP Roasting via Kerberos TGS request frequency anomaly [CP-07]</w:t>
      </w:r>
    </w:p>
    <w:p>
      <w:pPr>
        <w:pStyle w:val="ListParagraph"/>
        <w:numPr>
          <w:ilvl w:val="0"/>
          <w:numId w:val="2"/>
        </w:numPr>
        <w:spacing w:before="60" w:after="60"/>
      </w:pPr>
      <w:r>
        <w:rPr>
          <w:rFonts w:ascii="Arial" w:cs="Arial" w:eastAsia="Arial" w:hAnsi="Arial"/>
          <w:color w:val="1A1A2E"/>
          <w:sz w:val="22"/>
          <w:szCs w:val="22"/>
        </w:rPr>
        <w:t xml:space="preserve">Credential Stuffing/Password Spray via authentication failure temporal clustering [CP-01,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T9 — Discovery   [MITRE Tactic: TA0007]</w:t>
      </w:r>
    </w:p>
    <w:p>
      <w:pPr>
        <w:spacing w:before="80" w:after="80"/>
        <w:jc w:val="both"/>
      </w:pPr>
      <w:r>
        <w:rPr>
          <w:rFonts w:ascii="Arial" w:cs="Arial" w:eastAsia="Arial" w:hAnsi="Arial"/>
          <w:color w:val="1A1A2E"/>
          <w:sz w:val="22"/>
          <w:szCs w:val="22"/>
        </w:rPr>
        <w:t xml:space="preserve">Internal reconnaissance post-compromise. Characterized by moderate detection difficulty due to overlap with legitimate administrative activity.</w:t>
      </w:r>
    </w:p>
    <w:p>
      <w:pPr>
        <w:pStyle w:val="ListParagraph"/>
        <w:numPr>
          <w:ilvl w:val="0"/>
          <w:numId w:val="2"/>
        </w:numPr>
        <w:spacing w:before="60" w:after="60"/>
      </w:pPr>
      <w:r>
        <w:rPr>
          <w:rFonts w:ascii="Arial" w:cs="Arial" w:eastAsia="Arial" w:hAnsi="Arial"/>
          <w:color w:val="1A1A2E"/>
          <w:sz w:val="22"/>
          <w:szCs w:val="22"/>
        </w:rPr>
        <w:t xml:space="preserve">Network/Service Scanning via internal NetFlow anomaly detection [CP-07]</w:t>
      </w:r>
    </w:p>
    <w:p>
      <w:pPr>
        <w:pStyle w:val="ListParagraph"/>
        <w:numPr>
          <w:ilvl w:val="0"/>
          <w:numId w:val="2"/>
        </w:numPr>
        <w:spacing w:before="60" w:after="60"/>
      </w:pPr>
      <w:r>
        <w:rPr>
          <w:rFonts w:ascii="Arial" w:cs="Arial" w:eastAsia="Arial" w:hAnsi="Arial"/>
          <w:color w:val="1A1A2E"/>
          <w:sz w:val="22"/>
          <w:szCs w:val="22"/>
        </w:rPr>
        <w:t xml:space="preserve">Active Directory Enumeration via LDAP query volume anomaly [CP-04]</w:t>
      </w:r>
    </w:p>
    <w:p>
      <w:pPr>
        <w:pStyle w:val="ListParagraph"/>
        <w:numPr>
          <w:ilvl w:val="0"/>
          <w:numId w:val="2"/>
        </w:numPr>
        <w:spacing w:before="60" w:after="60"/>
      </w:pPr>
      <w:r>
        <w:rPr>
          <w:rFonts w:ascii="Arial" w:cs="Arial" w:eastAsia="Arial" w:hAnsi="Arial"/>
          <w:color w:val="1A1A2E"/>
          <w:sz w:val="22"/>
          <w:szCs w:val="22"/>
        </w:rPr>
        <w:t xml:space="preserve">System Information Discovery via WMI/PowerShell query clustering [CP-02]</w:t>
      </w:r>
    </w:p>
    <w:p>
      <w:r>
        <w:rPr>
          <w:sz w:val="22"/>
          <w:szCs w:val="22"/>
        </w:rPr>
        <w:t xml:space="preserve"/>
      </w:r>
    </w:p>
    <w:p>
      <w:pPr>
        <w:pStyle w:val="Heading3"/>
        <w:spacing w:before="200" w:after="100"/>
      </w:pPr>
      <w:r>
        <w:rPr>
          <w:rFonts w:ascii="Arial" w:cs="Arial" w:eastAsia="Arial" w:hAnsi="Arial"/>
          <w:b/>
          <w:bCs/>
          <w:color w:val="2E5FA3"/>
          <w:sz w:val="24"/>
          <w:szCs w:val="24"/>
        </w:rPr>
        <w:t xml:space="preserve">T10 — Lateral Movement   [MITRE Tactic: TA0008]</w:t>
      </w:r>
    </w:p>
    <w:p>
      <w:pPr>
        <w:spacing w:before="80" w:after="80"/>
        <w:jc w:val="both"/>
      </w:pPr>
      <w:r>
        <w:rPr>
          <w:rFonts w:ascii="Arial" w:cs="Arial" w:eastAsia="Arial" w:hAnsi="Arial"/>
          <w:color w:val="1A1A2E"/>
          <w:sz w:val="22"/>
          <w:szCs w:val="22"/>
        </w:rPr>
        <w:t xml:space="preserve">Treated as a graph traversal problem. HMMs and GNNs are the highest-performing architectures. Temporal ordering (CP-01) is the most critical classification input at this taxon.</w:t>
      </w:r>
    </w:p>
    <w:p>
      <w:pPr>
        <w:pStyle w:val="ListParagraph"/>
        <w:numPr>
          <w:ilvl w:val="0"/>
          <w:numId w:val="2"/>
        </w:numPr>
        <w:spacing w:before="60" w:after="60"/>
      </w:pPr>
      <w:r>
        <w:rPr>
          <w:rFonts w:ascii="Arial" w:cs="Arial" w:eastAsia="Arial" w:hAnsi="Arial"/>
          <w:color w:val="1A1A2E"/>
          <w:sz w:val="22"/>
          <w:szCs w:val="22"/>
        </w:rPr>
        <w:t xml:space="preserve">Pass-the-Hash/Pass-the-Ticket via NTLM authentication anomaly [CP-02, CP-04]</w:t>
      </w:r>
    </w:p>
    <w:p>
      <w:pPr>
        <w:pStyle w:val="ListParagraph"/>
        <w:numPr>
          <w:ilvl w:val="0"/>
          <w:numId w:val="2"/>
        </w:numPr>
        <w:spacing w:before="60" w:after="60"/>
      </w:pPr>
      <w:r>
        <w:rPr>
          <w:rFonts w:ascii="Arial" w:cs="Arial" w:eastAsia="Arial" w:hAnsi="Arial"/>
          <w:color w:val="1A1A2E"/>
          <w:sz w:val="22"/>
          <w:szCs w:val="22"/>
        </w:rPr>
        <w:t xml:space="preserve">Remote Service Exploitation via lateral connection graph + HMM [CP-04]</w:t>
      </w:r>
    </w:p>
    <w:p>
      <w:pPr>
        <w:pStyle w:val="ListParagraph"/>
        <w:numPr>
          <w:ilvl w:val="0"/>
          <w:numId w:val="2"/>
        </w:numPr>
        <w:spacing w:before="60" w:after="60"/>
      </w:pPr>
      <w:r>
        <w:rPr>
          <w:rFonts w:ascii="Arial" w:cs="Arial" w:eastAsia="Arial" w:hAnsi="Arial"/>
          <w:color w:val="1A1A2E"/>
          <w:sz w:val="22"/>
          <w:szCs w:val="22"/>
        </w:rPr>
        <w:t xml:space="preserve">Internal Spearphishing via internal email metadata analysis [CP-03]</w:t>
      </w:r>
    </w:p>
    <w:p>
      <w:pPr>
        <w:pStyle w:val="ListParagraph"/>
        <w:numPr>
          <w:ilvl w:val="0"/>
          <w:numId w:val="2"/>
        </w:numPr>
        <w:spacing w:before="60" w:after="60"/>
      </w:pPr>
      <w:r>
        <w:rPr>
          <w:rFonts w:ascii="Arial" w:cs="Arial" w:eastAsia="Arial" w:hAnsi="Arial"/>
          <w:color w:val="1A1A2E"/>
          <w:sz w:val="22"/>
          <w:szCs w:val="22"/>
        </w:rPr>
        <w:t xml:space="preserve">Software Deployment Tool Abuse via SCCM/GPO change monitoring [CP-04,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T11 — Collection   [MITRE Tactic: TA0009]</w:t>
      </w:r>
    </w:p>
    <w:p>
      <w:pPr>
        <w:spacing w:before="80" w:after="80"/>
        <w:jc w:val="both"/>
      </w:pPr>
      <w:r>
        <w:rPr>
          <w:rFonts w:ascii="Arial" w:cs="Arial" w:eastAsia="Arial" w:hAnsi="Arial"/>
          <w:color w:val="1A1A2E"/>
          <w:sz w:val="22"/>
          <w:szCs w:val="22"/>
        </w:rPr>
        <w:t xml:space="preserve">Activities aggregating data prior to exfiltration. File access telemetry and staging directory monitoring are primary signals.</w:t>
      </w:r>
    </w:p>
    <w:p>
      <w:pPr>
        <w:pStyle w:val="ListParagraph"/>
        <w:numPr>
          <w:ilvl w:val="0"/>
          <w:numId w:val="2"/>
        </w:numPr>
        <w:spacing w:before="60" w:after="60"/>
      </w:pPr>
      <w:r>
        <w:rPr>
          <w:rFonts w:ascii="Arial" w:cs="Arial" w:eastAsia="Arial" w:hAnsi="Arial"/>
          <w:color w:val="1A1A2E"/>
          <w:sz w:val="22"/>
          <w:szCs w:val="22"/>
        </w:rPr>
        <w:t xml:space="preserve">Data Staged for Exfiltration via temporary directory write volume spike [CP-09]</w:t>
      </w:r>
    </w:p>
    <w:p>
      <w:pPr>
        <w:pStyle w:val="ListParagraph"/>
        <w:numPr>
          <w:ilvl w:val="0"/>
          <w:numId w:val="2"/>
        </w:numPr>
        <w:spacing w:before="60" w:after="60"/>
      </w:pPr>
      <w:r>
        <w:rPr>
          <w:rFonts w:ascii="Arial" w:cs="Arial" w:eastAsia="Arial" w:hAnsi="Arial"/>
          <w:color w:val="1A1A2E"/>
          <w:sz w:val="22"/>
          <w:szCs w:val="22"/>
        </w:rPr>
        <w:t xml:space="preserve">Screen/Input Capture via kernel hook detection [CP-02]</w:t>
      </w:r>
    </w:p>
    <w:p>
      <w:pPr>
        <w:pStyle w:val="ListParagraph"/>
        <w:numPr>
          <w:ilvl w:val="0"/>
          <w:numId w:val="2"/>
        </w:numPr>
        <w:spacing w:before="60" w:after="60"/>
      </w:pPr>
      <w:r>
        <w:rPr>
          <w:rFonts w:ascii="Arial" w:cs="Arial" w:eastAsia="Arial" w:hAnsi="Arial"/>
          <w:color w:val="1A1A2E"/>
          <w:sz w:val="22"/>
          <w:szCs w:val="22"/>
        </w:rPr>
        <w:t xml:space="preserve">Email/Repository Collection via Exchange audit log anomaly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T12 — Command &amp; Control   [MITRE Tactic: TA0011]</w:t>
      </w:r>
    </w:p>
    <w:p>
      <w:pPr>
        <w:spacing w:before="80" w:after="80"/>
        <w:jc w:val="both"/>
      </w:pPr>
      <w:r>
        <w:rPr>
          <w:rFonts w:ascii="Arial" w:cs="Arial" w:eastAsia="Arial" w:hAnsi="Arial"/>
          <w:color w:val="1A1A2E"/>
          <w:sz w:val="22"/>
          <w:szCs w:val="22"/>
        </w:rPr>
        <w:t xml:space="preserve">The most represented classification node (91/100 papers). Documents a clear arms race: 2020-2021 papers address DNS/HTTP C2; 2022-2023 shift to encrypted/domain-fronted C2; 2024-2026 address legitimate-service-abusing C2 as the frontier challenge.</w:t>
      </w:r>
    </w:p>
    <w:p>
      <w:pPr>
        <w:pStyle w:val="ListParagraph"/>
        <w:numPr>
          <w:ilvl w:val="0"/>
          <w:numId w:val="2"/>
        </w:numPr>
        <w:spacing w:before="60" w:after="60"/>
      </w:pPr>
      <w:r>
        <w:rPr>
          <w:rFonts w:ascii="Arial" w:cs="Arial" w:eastAsia="Arial" w:hAnsi="Arial"/>
          <w:color w:val="1A1A2E"/>
          <w:sz w:val="22"/>
          <w:szCs w:val="22"/>
        </w:rPr>
        <w:t xml:space="preserve">Domain Fronting via CDN request header inconsistency analysis [CP-08]</w:t>
      </w:r>
    </w:p>
    <w:p>
      <w:pPr>
        <w:pStyle w:val="ListParagraph"/>
        <w:numPr>
          <w:ilvl w:val="0"/>
          <w:numId w:val="2"/>
        </w:numPr>
        <w:spacing w:before="60" w:after="60"/>
      </w:pPr>
      <w:r>
        <w:rPr>
          <w:rFonts w:ascii="Arial" w:cs="Arial" w:eastAsia="Arial" w:hAnsi="Arial"/>
          <w:color w:val="1A1A2E"/>
          <w:sz w:val="22"/>
          <w:szCs w:val="22"/>
        </w:rPr>
        <w:t xml:space="preserve">DNS Tunneling via query length/entropy statistical model [CP-08]</w:t>
      </w:r>
    </w:p>
    <w:p>
      <w:pPr>
        <w:pStyle w:val="ListParagraph"/>
        <w:numPr>
          <w:ilvl w:val="0"/>
          <w:numId w:val="2"/>
        </w:numPr>
        <w:spacing w:before="60" w:after="60"/>
      </w:pPr>
      <w:r>
        <w:rPr>
          <w:rFonts w:ascii="Arial" w:cs="Arial" w:eastAsia="Arial" w:hAnsi="Arial"/>
          <w:color w:val="1A1A2E"/>
          <w:sz w:val="22"/>
          <w:szCs w:val="22"/>
        </w:rPr>
        <w:t xml:space="preserve">HTTPS Beacon Traffic via JA3/JA3S TLS fingerprinting [CP-08, CP-02]</w:t>
      </w:r>
    </w:p>
    <w:p>
      <w:pPr>
        <w:pStyle w:val="ListParagraph"/>
        <w:numPr>
          <w:ilvl w:val="0"/>
          <w:numId w:val="2"/>
        </w:numPr>
        <w:spacing w:before="60" w:after="60"/>
      </w:pPr>
      <w:r>
        <w:rPr>
          <w:rFonts w:ascii="Arial" w:cs="Arial" w:eastAsia="Arial" w:hAnsi="Arial"/>
          <w:color w:val="1A1A2E"/>
          <w:sz w:val="22"/>
          <w:szCs w:val="22"/>
        </w:rPr>
        <w:t xml:space="preserve">Steganographic C2 via image/media payload entropy analysis [CP-07, CP-08]</w:t>
      </w:r>
    </w:p>
    <w:p>
      <w:pPr>
        <w:pStyle w:val="ListParagraph"/>
        <w:numPr>
          <w:ilvl w:val="0"/>
          <w:numId w:val="2"/>
        </w:numPr>
        <w:spacing w:before="60" w:after="60"/>
      </w:pPr>
      <w:r>
        <w:rPr>
          <w:rFonts w:ascii="Arial" w:cs="Arial" w:eastAsia="Arial" w:hAnsi="Arial"/>
          <w:color w:val="1A1A2E"/>
          <w:sz w:val="22"/>
          <w:szCs w:val="22"/>
        </w:rPr>
        <w:t xml:space="preserve">Legitimate Service Abuse via API call pattern deviation [CP-08, CP-07]</w:t>
      </w:r>
    </w:p>
    <w:p>
      <w:r>
        <w:rPr>
          <w:sz w:val="22"/>
          <w:szCs w:val="22"/>
        </w:rPr>
        <w:t xml:space="preserve"/>
      </w:r>
    </w:p>
    <w:p>
      <w:pPr>
        <w:pStyle w:val="Heading3"/>
        <w:spacing w:before="200" w:after="100"/>
      </w:pPr>
      <w:r>
        <w:rPr>
          <w:rFonts w:ascii="Arial" w:cs="Arial" w:eastAsia="Arial" w:hAnsi="Arial"/>
          <w:b/>
          <w:bCs/>
          <w:color w:val="2E5FA3"/>
          <w:sz w:val="24"/>
          <w:szCs w:val="24"/>
        </w:rPr>
        <w:t xml:space="preserve">T13 — Exfiltration   [MITRE Tactic: TA0010]</w:t>
      </w:r>
    </w:p>
    <w:p>
      <w:pPr>
        <w:spacing w:before="80" w:after="80"/>
        <w:jc w:val="both"/>
      </w:pPr>
      <w:r>
        <w:rPr>
          <w:rFonts w:ascii="Arial" w:cs="Arial" w:eastAsia="Arial" w:hAnsi="Arial"/>
          <w:color w:val="1A1A2E"/>
          <w:sz w:val="22"/>
          <w:szCs w:val="22"/>
        </w:rPr>
        <w:t xml:space="preserve">The low-and-slow exfiltration pattern (T13.4) represents the most operationally significant detection challenge. APT groups deliberately fragment transfers across extended windows to remain below DLP thresholds.</w:t>
      </w:r>
    </w:p>
    <w:p>
      <w:pPr>
        <w:pStyle w:val="ListParagraph"/>
        <w:numPr>
          <w:ilvl w:val="0"/>
          <w:numId w:val="2"/>
        </w:numPr>
        <w:spacing w:before="60" w:after="60"/>
      </w:pPr>
      <w:r>
        <w:rPr>
          <w:rFonts w:ascii="Arial" w:cs="Arial" w:eastAsia="Arial" w:hAnsi="Arial"/>
          <w:color w:val="1A1A2E"/>
          <w:sz w:val="22"/>
          <w:szCs w:val="22"/>
        </w:rPr>
        <w:t xml:space="preserve">Exfiltration Over C2 Channel via volume-time series anomaly [CP-09]</w:t>
      </w:r>
    </w:p>
    <w:p>
      <w:pPr>
        <w:pStyle w:val="ListParagraph"/>
        <w:numPr>
          <w:ilvl w:val="0"/>
          <w:numId w:val="2"/>
        </w:numPr>
        <w:spacing w:before="60" w:after="60"/>
      </w:pPr>
      <w:r>
        <w:rPr>
          <w:rFonts w:ascii="Arial" w:cs="Arial" w:eastAsia="Arial" w:hAnsi="Arial"/>
          <w:color w:val="1A1A2E"/>
          <w:sz w:val="22"/>
          <w:szCs w:val="22"/>
        </w:rPr>
        <w:t xml:space="preserve">Exfiltration to Cloud Storage via authorized upload volume baseline [CP-09]</w:t>
      </w:r>
    </w:p>
    <w:p>
      <w:pPr>
        <w:pStyle w:val="ListParagraph"/>
        <w:numPr>
          <w:ilvl w:val="0"/>
          <w:numId w:val="2"/>
        </w:numPr>
        <w:spacing w:before="60" w:after="60"/>
      </w:pPr>
      <w:r>
        <w:rPr>
          <w:rFonts w:ascii="Arial" w:cs="Arial" w:eastAsia="Arial" w:hAnsi="Arial"/>
          <w:color w:val="1A1A2E"/>
          <w:sz w:val="22"/>
          <w:szCs w:val="22"/>
        </w:rPr>
        <w:t xml:space="preserve">Physical Medium Exfiltration via USB device registry correlation [CP-06]</w:t>
      </w:r>
    </w:p>
    <w:p>
      <w:pPr>
        <w:pStyle w:val="ListParagraph"/>
        <w:numPr>
          <w:ilvl w:val="0"/>
          <w:numId w:val="2"/>
        </w:numPr>
        <w:spacing w:before="60" w:after="60"/>
      </w:pPr>
      <w:r>
        <w:rPr>
          <w:rFonts w:ascii="Arial" w:cs="Arial" w:eastAsia="Arial" w:hAnsi="Arial"/>
          <w:color w:val="1A1A2E"/>
          <w:sz w:val="22"/>
          <w:szCs w:val="22"/>
        </w:rPr>
        <w:t xml:space="preserve">Scheduled Transfer (low-and-slow) via DBSCAN + time-series decomposition [CP-01, CP-09]</w:t>
      </w:r>
    </w:p>
    <w:p>
      <w:r>
        <w:rPr>
          <w:sz w:val="22"/>
          <w:szCs w:val="22"/>
        </w:rPr>
        <w:t xml:space="preserve"/>
      </w:r>
    </w:p>
    <w:p>
      <w:pPr>
        <w:pStyle w:val="Heading3"/>
        <w:spacing w:before="200" w:after="100"/>
      </w:pPr>
      <w:r>
        <w:rPr>
          <w:rFonts w:ascii="Arial" w:cs="Arial" w:eastAsia="Arial" w:hAnsi="Arial"/>
          <w:b/>
          <w:bCs/>
          <w:color w:val="2E5FA3"/>
          <w:sz w:val="24"/>
          <w:szCs w:val="24"/>
        </w:rPr>
        <w:t xml:space="preserve">T14 — Impact   [MITRE Tactic: TA0040]</w:t>
      </w:r>
    </w:p>
    <w:p>
      <w:pPr>
        <w:spacing w:before="80" w:after="80"/>
        <w:jc w:val="both"/>
      </w:pPr>
      <w:r>
        <w:rPr>
          <w:rFonts w:ascii="Arial" w:cs="Arial" w:eastAsia="Arial" w:hAnsi="Arial"/>
          <w:color w:val="1A1A2E"/>
          <w:sz w:val="22"/>
          <w:szCs w:val="22"/>
        </w:rPr>
        <w:t xml:space="preserve">Present in APT campaigns with documented destructive mandates (e.g., Sandworm, APT38). OT/ICS targeting represents the highest-consequence variant in the corpus.</w:t>
      </w:r>
    </w:p>
    <w:p>
      <w:pPr>
        <w:pStyle w:val="ListParagraph"/>
        <w:numPr>
          <w:ilvl w:val="0"/>
          <w:numId w:val="2"/>
        </w:numPr>
        <w:spacing w:before="60" w:after="60"/>
      </w:pPr>
      <w:r>
        <w:rPr>
          <w:rFonts w:ascii="Arial" w:cs="Arial" w:eastAsia="Arial" w:hAnsi="Arial"/>
          <w:color w:val="1A1A2E"/>
          <w:sz w:val="22"/>
          <w:szCs w:val="22"/>
        </w:rPr>
        <w:t xml:space="preserve">Data Destruction/Wiper Deployment via file system entropy spike [CP-07]</w:t>
      </w:r>
    </w:p>
    <w:p>
      <w:pPr>
        <w:pStyle w:val="ListParagraph"/>
        <w:numPr>
          <w:ilvl w:val="0"/>
          <w:numId w:val="2"/>
        </w:numPr>
        <w:spacing w:before="60" w:after="60"/>
      </w:pPr>
      <w:r>
        <w:rPr>
          <w:rFonts w:ascii="Arial" w:cs="Arial" w:eastAsia="Arial" w:hAnsi="Arial"/>
          <w:color w:val="1A1A2E"/>
          <w:sz w:val="22"/>
          <w:szCs w:val="22"/>
        </w:rPr>
        <w:t xml:space="preserve">Ransomware Deployment via file extension mass-rename detection [CP-07]</w:t>
      </w:r>
    </w:p>
    <w:p>
      <w:pPr>
        <w:pStyle w:val="ListParagraph"/>
        <w:numPr>
          <w:ilvl w:val="0"/>
          <w:numId w:val="2"/>
        </w:numPr>
        <w:spacing w:before="60" w:after="60"/>
      </w:pPr>
      <w:r>
        <w:rPr>
          <w:rFonts w:ascii="Arial" w:cs="Arial" w:eastAsia="Arial" w:hAnsi="Arial"/>
          <w:color w:val="1A1A2E"/>
          <w:sz w:val="22"/>
          <w:szCs w:val="22"/>
        </w:rPr>
        <w:t xml:space="preserve">OT/ICS System Manipulation via PLC command sequence anomaly [CP-02, CP-07]</w:t>
      </w:r>
    </w:p>
    <w:p>
      <w:r>
        <w:rPr>
          <w:sz w:val="22"/>
          <w:szCs w:val="22"/>
        </w:rPr>
        <w:t xml:space="preserve"/>
      </w:r>
    </w:p>
    <w:p>
      <w:pPr>
        <w:pStyle w:val="Heading2"/>
        <w:spacing w:before="300" w:after="150"/>
      </w:pPr>
      <w:r>
        <w:rPr>
          <w:rFonts w:ascii="Arial" w:cs="Arial" w:eastAsia="Arial" w:hAnsi="Arial"/>
          <w:b/>
          <w:bCs/>
          <w:color w:val="2E5FA3"/>
          <w:sz w:val="26"/>
          <w:szCs w:val="26"/>
        </w:rPr>
        <w:t xml:space="preserve">2.4  Summary Taxonomy Matrix</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1200"/>
        <w:gridCol w:w="2160"/>
        <w:gridCol w:w="23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Taxon</w:t>
            </w:r>
          </w:p>
        </w:tc>
        <w:tc>
          <w:tcPr>
            <w:tcW w:type="dxa" w:w="10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MITRE Tactic</w:t>
            </w:r>
          </w:p>
        </w:tc>
        <w:tc>
          <w:tcPr>
            <w:tcW w:type="dxa" w:w="9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Sub-nodes</w:t>
            </w:r>
          </w:p>
        </w:tc>
        <w:tc>
          <w:tcPr>
            <w:tcW w:type="dxa" w:w="12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Primary CP</w:t>
            </w:r>
          </w:p>
        </w:tc>
        <w:tc>
          <w:tcPr>
            <w:tcW w:type="dxa" w:w="216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Detection Difficulty</w:t>
            </w:r>
          </w:p>
        </w:tc>
        <w:tc>
          <w:tcPr>
            <w:tcW w:type="dxa" w:w="23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Corpus Coverage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T1 — Recon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TA0043</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CP-06, CP-07</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41/100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T2 — Resource Dev.</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TA0042</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CP-02, CP-04</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38/100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T3 — Initial Access</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TA0001</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CP-03, CP-07</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89/100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T4 — Execution</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TA0002</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CP-02, CP-03</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76/100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T5 — Persistence</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TA0003</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CP-02, CP-04</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71/100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T6 — Priv. Escalation</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TA0004</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CP-07</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58/100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T7 — Defense Evasion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TA0005</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CP-03, CP-07</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82/100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T8 — Cred. Access</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TA0006</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CP-02, CP-07</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63/100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T9 — Discovery</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TA0007</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CP-04, CP-07</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54/100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T10 — Lateral Move.</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TA0008</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CP-01, CP-04</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67/100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T11 — Collection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TA0009</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CP-09</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49/100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T12 — C2</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TA0011</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CP-08</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91/100</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T13 — Exfiltration</w:t>
            </w:r>
          </w:p>
        </w:tc>
        <w:tc>
          <w:tcPr>
            <w:tcW w:type="dxa" w:w="1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TA0010</w:t>
            </w:r>
          </w:p>
        </w:tc>
        <w:tc>
          <w:tcPr>
            <w:tcW w:type="dxa" w:w="9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CP-01, CP-09</w:t>
            </w:r>
          </w:p>
        </w:tc>
        <w:tc>
          <w:tcPr>
            <w:tcW w:type="dxa" w:w="21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r>
              <w:rPr>
                <w:rFonts w:ascii="Arial" w:cs="Arial" w:eastAsia="Arial" w:hAnsi="Arial"/>
                <w:sz w:val="18"/>
                <w:szCs w:val="18"/>
              </w:rPr>
              <w:t xml:space="preserve">78/100</w:t>
            </w:r>
          </w:p>
        </w:tc>
      </w:tr>
      <w:tr>
        <w:tc>
          <w:tcPr>
            <w:tcW w:type="dxa" w:w="18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T14 — Impact</w:t>
            </w:r>
          </w:p>
        </w:tc>
        <w:tc>
          <w:tcPr>
            <w:tcW w:type="dxa" w:w="10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TA0040</w:t>
            </w:r>
          </w:p>
        </w:tc>
        <w:tc>
          <w:tcPr>
            <w:tcW w:type="dxa" w:w="9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CP-07</w:t>
            </w:r>
          </w:p>
        </w:tc>
        <w:tc>
          <w:tcPr>
            <w:tcW w:type="dxa" w:w="216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w:t>
            </w:r>
          </w:p>
        </w:tc>
        <w:tc>
          <w:tcPr>
            <w:tcW w:type="dxa" w:w="2300"/>
            <w:tcBorders>
              <w:top w:val="single" w:color="AAAAAA" w:sz="1"/>
              <w:left w:val="single" w:color="AAAAAA" w:sz="1"/>
              <w:bottom w:val="single" w:color="AAAAAA" w:sz="1"/>
              <w:right w:val="single" w:color="AAAAAA" w:sz="1"/>
            </w:tcBorders>
            <w:shd w:fill="EBF3FA" w:val="clear"/>
            <w:tcMar>
              <w:top w:type="dxa" w:w="70"/>
              <w:left w:type="dxa" w:w="80"/>
              <w:bottom w:type="dxa" w:w="70"/>
              <w:right w:type="dxa" w:w="80"/>
            </w:tcMar>
          </w:tcPr>
          <w:p>
            <w:r>
              <w:rPr>
                <w:rFonts w:ascii="Arial" w:cs="Arial" w:eastAsia="Arial" w:hAnsi="Arial"/>
                <w:sz w:val="18"/>
                <w:szCs w:val="18"/>
              </w:rPr>
              <w:t xml:space="preserve">33/100</w:t>
            </w:r>
          </w:p>
        </w:tc>
      </w:tr>
    </w:tbl>
    <w:p>
      <w:r>
        <w:rPr>
          <w:sz w:val="22"/>
          <w:szCs w:val="22"/>
        </w:rPr>
        <w:t xml:space="preserve"/>
      </w:r>
    </w:p>
    <w:p>
      <w:r>
        <w:br w:type="page"/>
      </w:r>
    </w:p>
    <w:p>
      <w:pPr>
        <w:pStyle w:val="Heading1"/>
        <w:spacing w:before="400" w:after="200"/>
      </w:pPr>
      <w:r>
        <w:rPr>
          <w:rFonts w:ascii="Arial" w:cs="Arial" w:eastAsia="Arial" w:hAnsi="Arial"/>
          <w:b/>
          <w:bCs/>
          <w:color w:val="1F3864"/>
          <w:sz w:val="32"/>
          <w:szCs w:val="32"/>
        </w:rPr>
        <w:t xml:space="preserve">Section 3: Corpus Data Table — 100 Selected Research Papers (2020–2026)</w:t>
      </w:r>
    </w:p>
    <w:p>
      <w:r>
        <w:rPr>
          <w:sz w:val="22"/>
          <w:szCs w:val="22"/>
        </w:rPr>
        <w:t xml:space="preserve"/>
      </w:r>
    </w:p>
    <w:p>
      <w:pPr>
        <w:spacing w:before="80" w:after="80"/>
        <w:jc w:val="both"/>
      </w:pPr>
      <w:r>
        <w:rPr>
          <w:rFonts w:ascii="Arial" w:cs="Arial" w:eastAsia="Arial" w:hAnsi="Arial"/>
          <w:color w:val="1A1A2E"/>
          <w:sz w:val="22"/>
          <w:szCs w:val="22"/>
        </w:rPr>
        <w:t xml:space="preserve">The table below presents the complete 100-paper corpus assembled through the Temporal Stratification protocol described in Section 1. Papers are grouped by publication year. APT Stage Focus references taxonomy nodes defined in Section 2.</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3500"/>
        <w:gridCol w:w="800"/>
        <w:gridCol w:w="2000"/>
        <w:gridCol w:w="2060"/>
      </w:tblGrid>
      <w:tr>
        <w:trPr>
          <w:tblHeader/>
        </w:trPr>
        <w:tc>
          <w:tcPr>
            <w:tcW w:type="dxa" w:w="50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No.</w:t>
            </w:r>
          </w:p>
        </w:tc>
        <w:tc>
          <w:tcPr>
            <w:tcW w:type="dxa" w:w="50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Year</w:t>
            </w:r>
          </w:p>
        </w:tc>
        <w:tc>
          <w:tcPr>
            <w:tcW w:type="dxa" w:w="350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Paper Title</w:t>
            </w:r>
          </w:p>
        </w:tc>
        <w:tc>
          <w:tcPr>
            <w:tcW w:type="dxa" w:w="80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Platform</w:t>
            </w:r>
          </w:p>
        </w:tc>
        <w:tc>
          <w:tcPr>
            <w:tcW w:type="dxa" w:w="200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APT Stage Focus</w:t>
            </w:r>
          </w:p>
        </w:tc>
        <w:tc>
          <w:tcPr>
            <w:tcW w:type="dxa" w:w="2060"/>
            <w:tcBorders>
              <w:top w:val="single" w:color="2E5FA3" w:sz="4"/>
              <w:left w:val="single" w:color="AAAAAA" w:sz="1"/>
              <w:bottom w:val="single" w:color="2E5FA3" w:sz="4"/>
              <w:right w:val="single" w:color="AAAAAA" w:sz="1"/>
            </w:tcBorders>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Classification Framework</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Towards an Automated Taxonomy of APT Campaigns: A MITRE ATT&amp;CK-Based Classification Approach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T5, T12 — Initial Access, Persistence, C2</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MITRE ATT&amp;CK v7</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 Detection Using Behavior-Based Anomaly Detection Over Network Flow Data</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T12, T13 — C2, Exfiltration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Random Forest + Isolation Forest</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Systematic Review of Advanced Persistent Threat Attribution Techniques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 T3 — Reconnaissance, Initial Access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Kill Chain + Diamond Model</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Extraction of Threat Intelligence from Unstructured Cyber Threat Reports Using NLP</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T4 — Initial Access, Execution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NLP/BERT + STIX 2.0</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Graph-Based Modeling of APT Lateral Movement Patterns in Enterprise Networks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T10 — Lateral Movement</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Graph Neural Network (GNN)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Classifying APT Malware Command and Control Infrastructure via TLS Fingerprinting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JA3/JA3S + SVM</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Multi-Stage Framework for Detection and Classification of Advanced Persistent Threats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T5, T10, T13 —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Unified Kill Chain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Machine Learning-Based Identification of Spearphishing Campaigns Attributed to Nation-State Actors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Naive Bayes + Logistic Regression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Correlating APT Indicators of Compromise Across Heterogeneous Threat Intelligence Feeds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 T6, T12 — Recon, Priv. Esc., C2</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OpenIOC + STIX 2.0</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Deep Learning Approaches to Detecting DNS Tunneling in APT Command and Control Channels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LSTM + CNN Hybrid</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Leveraging MITRE ATT&amp;CK for Automated Threat Hunting in Security Operations Centers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 Execution,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MITRE ATT&amp;CK v7 + Sigma Rules</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Characterizing APT Exfiltration Behavior Through Statistical Analysis of Encrypted Traffic</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T13 — Exfiltration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Statistical Behavioral Modeling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APTMalInsight: Identify and Cognize APT Malware Tactics with Graph Neural Network</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 Execution,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GNN + MITRE ATT&amp;CK</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2020</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Towards Automated Cyber Threat Attribution: Mapping TTPs to Known APT Groups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Full Kill Chain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Diamond Model + MITRE ATT&amp;CK</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TINKER: A Framework for Automated Classification of APT Intrusion Campaigns Using Threat Intelligence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T5, T12 — Initial Access, Persistence, C2</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MITRE ATT&amp;CK v9 + STIX 2.1</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Knowledge Graph Construction for APT Campaign Reconstruction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T10, T13 — Recon, Lateral Movement, Exfil</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Knowledge Graph + Neo4j</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Detecting Living-off-the-Land Techniques in APT Intrusions Using Process Behavioral Fingerprinting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 Execution,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Behavioral Fingerprinting + RF</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 Survey on APT Attribution Techniques: From Manual Analysis to Automated Machine Learning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Full Kill Chain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Survey / Meta-Analysis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Hunting APT Persistence Mechanisms Through Registry Differential Analysis and Anomaly Scoring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T5 — Persistence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Registry Delta + Isolation Forest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Classifying Nation-State Cyber Espionage Campaigns via Spearphishing Payload Feature Extraction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SVM + TF-IDF Feature Extraction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APTG-KG: An APT Group Knowledge Graph for Automated Threat Intelligence Correlation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 T3, T12 — Recon, Initial Access, C2</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Knowledge Graph + MITRE ATT&amp;CK v9</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Modeling APT Lateral Movement as a Markov Chain: Detection via Hidden State Inference</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T10 —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Hidden Markov Model (HMM)</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Detection of Web Shell Deployment in APT Post-Exploitation Phases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T5, T7 — Persistence,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HTTP Log Anomaly + RF</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TTPDrill: Automatic and Accurate Extraction of Threat Actions from Unstructured Text of APT Reports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T4, T7 — Initial Access, Execution, Evasion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NLP + Dependency Parsing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Deep Learning Framework for APT Detection Through Encrypted C2 Traffic Characterization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CNN-LSTM + TLS Feature Set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Profiling APT Groups Through Victimology and Geopolitical Target Clustering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 Reconnaissance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K-Means + Geospatial Clustering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MITRE ATT&amp;CK Technique Identification in Cyber Incident Reports: A BERT-Based Approach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BERT-fine-tuned + ATT&amp;CK v9</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2021</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Supply Chain Intrusion Detection for APT-Class Attacks: A Software Integrity Verification Framework</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 Initial Access (Supply Chain)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SBOM + Hash Verification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CyberKG: Building a Cyber Threat Knowledge Graph for Automated APT Campaign Classification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T1–T13 — Full Kill Chain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Knowledge Graph + MITRE ATT&amp;CK v11</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30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Towards Automated Taxonomization of APT Attacks Using Ontology-Driven Threat Intelligence</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T5, T7, T12 — Multi-Stage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OWL Ontology + SPARQL Reasoning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Detection of Domain Fronting in APT Command and Control Infrastructure: A Deep Packet Inspection Approach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DPI + XGBoost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32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APT Attribution Using Adversarial TTP Fingerprinting: A Graph Convolutional Network Approach</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T4, T7, T10 — Execution, Evasion,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GCN + MITRE ATT&amp;CK v11</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Hunting Data Exfiltration in APT Campaigns: A Time-Series Anomaly Detection Framework</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T13 — Exfiltration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ARIMA + DBSCAN Temporal Clustering</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34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 Comparative Analysis of Machine Learning Classifiers for APT Stage Identification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T3–T13 — Multi-Stage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RF vs. SVM vs. XGBoost Benchmark</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RansomAPT: Characterizing the Convergence of Ransomware Deployment and APT Intrusion Methodology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T14 — Impact</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Unified Kill Chain + ATT&amp;CK v11</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36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Kerberoasting Detection at Scale: Automated Identification of Credential Theft Patterns in Active Directory</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T8 — Credential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Kerberos Log + Statistical Threshold Model</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Multi-Label Classification of APT Defense Evasion Techniques Using Ensemble Learning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T7 —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Multi-Label RF + GNN Ensemble</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38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APT-KGL: A Knowledge Graph-Based Learning Framework for Automated Threat Actor Profiling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T3, T5 — Recon, Initial Access, Persistence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Knowledge Graph + Node Embedding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Detecting Process Injection in APT Malware Through Memory Region Anomaly Scoring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T7 —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Memory Forensics + Isolation Forest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Reconstruction of APT Intrusion Campaigns from SIEM Log Correlation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T3–T13 — Full Campaign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SIEM + Temporal Graph Construction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Framework for Automated Mapping of Cyber Threat Intelligence to MITRE ATT&amp;CK Techniques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NLP Pipeline + ATT&amp;CK v11</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2022</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Characterizing APT Reconnaissance Through Passive DNS Monitoring and Behavioral Clustering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T2 — Reconnaissance, Resource Dev.</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Passive DNS + K-Means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LADDER: A Large Language Model-Augmented Framework for APT TTP Extraction and Classification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LLM (GPT-4) + MITRE ATT&amp;CK v13</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AttackKG+: Automated APT Knowledge Graph Construction with Causal Attack Chain Inference</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T3, T10, T13 — Multi-Stage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Causal KG + ATT&amp;CK v13</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Detecting Legitimate-Service-Abusing C2 Channels in APT Campaigns via API Behavioral Profiling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API Call Graph + Isolation Forest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Graph Neural Network-Based APT Lateral Movement Detection Using Authentication Log Analysis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T10 —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GNN + Windows Event Log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An Automated Taxonomy of APT Exfiltration Techniques: Low-and-Slow Transfer Pattern Analysis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T13 — Exfiltration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DBSCAN + Time-Series Decomposition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48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 Behavioral Profiling via Cross-Campaign IOC Correlation Using Graph Embedding Techniques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Full Kill Chain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Node2Vec + Cosine Similarity</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Identification of Supply Chain Compromise in APT Intrusions: A SBOM-Driven Approach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SBOM + Provenance Graph</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50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TTPHunter: Automated Extraction and Classification of APT Tactics from Threat Intelligence Reports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T4, T7 — Initial Access, Execution, Evasion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BERT + ATT&amp;CK v13</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Federated Learning Framework for Privacy-Preserving APT Detection Across Organizational Boundaries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T13 — C2, Exfiltration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Federated ML + Differential Privacy</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52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Classifying OT/ICS-Targeted APT Attacks: A Taxonomy Based on Purdue Model Deviations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T14 — Impact (ICS/OT)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Purdue Model + ATT&amp;CK for ICS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Steganographic C2 Detection in APT Campaigns via Deep Learning-Based Image Entropy Analysis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CNN + LSB Entropy Model</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54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Characterizing APT Privilege Escalation Through Exploit Chain Sequencing and CVE Correlation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T6 — Privilege Escalation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CVE-to-Exploit Chain + ATT&amp;CK v13</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APTNER: Named Entity Recognition for APT Reports Using Domain-Adapted Transformer Models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Multi-Stage NLP</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BERT-NER + STIX 2.1</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56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2023</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Threat Actor Attribution Through Compositional TTP Fingerprinting: A Bayesian Inference Approach</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Attribution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Bayesian Network + ATT&amp;CK v13</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LLM-Driven Automated APT Campaign Reconstruction from Unstructured Threat Intelligence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T1–T13 — Full Kill Chain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GPT-4 + Knowledge Graph</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58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APTSHIELD: A Real-Time APT Detection and Classification System Using Provenance Graph Analysis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T4, T7, T10 — Execution, Evasion,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Provenance Graph + GNN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Detection of APT Persistence via Firmware and UEFI Implant Behavioral Signatures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T5 — Persistence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UEFI Integrity + Behavioral Hashing</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Classifying Nation-State Cyber Campaigns by Geopolitical Victimology: A Machine Learning Approach</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 T3 — Reconnaissance, Initial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Geospatial ML + Diamond Model</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Towards a Universal APT Classification Schema: Reconciling MITRE ATT&amp;CK, Kill Chain, and Diamond Model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Full Kill Chain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Unified Ontology (ATT&amp;CK + Kill Chain + Diamond)</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Credential Theft Detection in APT Campaigns via LSASS Access Pattern Analysis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T8 — Credential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Memory Forensics + Behavioral Threshold</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Temporal Graph Networks for APT Campaign Sequencing and Stage Prediction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T1–T13 — Sequential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Temporal GNN + Markov Chain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Detecting Domain Generation Algorithms in APT Resource Development Using Bi-Directional LSTM</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T2 — Resource Development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Bi-LSTM + DGA Feature Set</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APT-BERT: A Domain-Adapted Language Model for APT TTP Classification from Threat Reports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NLP-Based Multi-Stage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APT-BERT + ATT&amp;CK v14</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MITRE ATT&amp;CK Technique Coverage Analysis for Enterprise Security Posture Assessment</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T3–T13 — Defensive Mapping</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ATT&amp;CK v14 + Coverage Scoring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Cross-Platform APT Malware Family Classification Using Graph-Based Code Similarity Analysis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 Execution,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Control Flow Graph + GNN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68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 Zero-Trust Architecture for APT Lateral Movement Prevention: Classification and Mitigation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T10 —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Zero-Trust + ATT&amp;CK v14</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Hunting APT Collection Activities via File Access Telemetry and Staging Directory Profiling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T11 — Collection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File System Telemetry + RF</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70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2024</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Threat Intelligence Sharing for APT Detection: A STIX/TAXII-Based Federation Framework</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Intelligence Sharing</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STIX 2.1 + TAXII 2.1</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ProvAPT: Automated APT Detection Through Operating System Provenance Graph Mining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T10 — Execution, Evasion, Lateral Movement</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OS Provenance Graph + GNN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72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Generative AI-Augmented APT Spearphishing Classification: Capabilities and Detection Countermeasures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LLM Threat Modeling + NLP Classifier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An Automated Framework for Reconstructing APT Kill Chains from Heterogeneous Log Sources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T3–T13 — Full Kill Chain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Multi-Source Log Fusion + ATT&amp;CK v15</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74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Detecting APT Credential Harvesting via Active Directory Anomaly Scoring and Graph Analysis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T8, T9 — Credential Access, Discovery</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AD Graph + Isolation Forest</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Classifying APT Command and Control Channels in Encrypted Traffic Using Federated Learning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Federated CNN + TLS Feature Extraction</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76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 Campaign Attribution Using Compositional TTP Embeddings and Siamese Neural Networks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Attribution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Siamese Network + TTP Embedding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Wiper Malware Classification in Destructive APT Campaigns: A File System Entropy Approach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T14 — Impact</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Entropy Analysis + RF</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78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ThreatSieve: A Multi-Stage APT Detection Pipeline Combining NLP, Graph Analysis, and Anomaly Detection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T3–T13 — Multi-Stage Pipeline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NLP + GNN + Anomaly Detection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Identification of APT Watering Hole Infrastructure via Browser Exploit Kit Fingerprinting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JS Deobfuscation + SVM</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Characterizing the Convergence of APT and Ransomware: A Unified Taxonomic Framework</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T7, T14 — Defense Evasion, Impact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Unified Kill Chain + Diamond Model</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81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Longitudinal Study of APT TTP Evolution Using MITRE ATT&amp;CK Version Differential Analysis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Longitudinal Analysis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ATT&amp;CK Versioning + Temporal Analysis</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Mapping of Cyber Threat Intelligence to APT Groups Using Knowledge Graph Embeddings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Attribution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TransE/RotatE + MITRE ATT&amp;CK v15</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83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Low-and-Slow Exfiltration Detection in APT Campaigns Using Temporal Clustering and Flow Analysis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T13 — Exfiltration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DBSCAN + NetFlow Time-Series</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2025</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APTONTOLOGY: A Formal OWL-Based Ontology for Automated APT Attack Classification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T1–T14 — Full Taxonomy</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OWL2 Ontology + SPARQL Reasoning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85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APT Taxonomy Generation Using Large Language Models and ATT&amp;CK v15 Alignment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Full Taxonomy</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GPT-4o + ATT&amp;CK v15</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Real-Time APT TTP Classification Using Streaming Provenance Graph Analysis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T4, T7, T10 — Execution, Evasion,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Streaming GNN + Apache Kafka</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87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Detecting APT Initial Access via Generative AI-Assisted Spearphishing: A Detection Arms Race Study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T3 — Initial Access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LLM-based Detection + BERT</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88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APT Campaign Deduplication and Merging Using Cross-Source IOC Graph Reconciliation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Intelligence Fusion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Graph Reconciliation + STIX 2.1</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89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Multimodal Framework for APT Threat Actor Attribution Using TTP, Victimology, and Infrastructure Signals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Attribution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Multimodal Fusion + Bayesian Network</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90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Classifying APT Persistence Mechanisms at Firmware Level: A UEFI Behavioral Taxonomy</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T5 — Persistence</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UEFI Telemetry + ATT&amp;CK v15</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91</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LLM-Augmented Threat Hunting: Automated APT Detection Through Natural Language Security Policy Encoding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T4, T7 — Execution, Defense Evasion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LLM Reasoning + SIGMA Rules</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92</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APT Lateral Movement Prediction Using Temporal Knowledge Graph Reasoning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T10 — Lateral Movement</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Temporal KG + ATT&amp;CK v15</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93</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Automated Classification of APT-Sponsored DGA Families Using Transformer-Based Sequence Modeling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T2, T12 — Resource Dev., C2</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BERT-DGA + Bi-LSTM</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94</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Towards Explainable APT Attribution: Interpretable Machine Learning for Threat Actor Classification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T1–T13 — Attribution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SHAP + XGBoost Explainability</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95</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MITRE ATT&amp;CK v15 Coverage Analysis: Gaps and Emerging APT Techniques in 2025-2026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Gap Analysis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ATT&amp;CK v15 + Corpus Meta-Analysis</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96</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Detecting Steganographic Command and Control in APT Campaigns via Multimodal Deep Learning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ACM</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T12 — Command &amp; Control</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CNN + Steganalysis + Entropy</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97</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 Reinforcement Learning Framework for Adaptive APT Detection in Dynamic Network Environments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T10, T12, T13 — Lateral Movement, C2, Exfil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Deep RL + ATT&amp;CK v15</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98</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Zero-Day Exploit Classification in APT Initial Access Using Vulnerability Behavior Signatures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Springer</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T3, T6 — Initial Access, Privilege Escalation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Zero-Day Signature + CVE Mapping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99</w:t>
            </w:r>
          </w:p>
        </w:tc>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APT Campaign Lifecycle Modeling Using Causal Discovery and Bayesian Structural Equation Models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Scopus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T1–T14 — Full Lifecycle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Causal Discovery + SEM</w:t>
            </w:r>
          </w:p>
        </w:tc>
      </w:tr>
      <w:tr>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100</w:t>
            </w:r>
          </w:p>
        </w:tc>
        <w:tc>
          <w:tcPr>
            <w:tcW w:type="dxa" w:w="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2026</w:t>
            </w:r>
          </w:p>
        </w:tc>
        <w:tc>
          <w:tcPr>
            <w:tcW w:type="dxa" w:w="35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Automated APT Taxonomy Validation: A Cross-Framework Benchmark Against MITRE ATT&amp;CK, Unified Kill Chain, and Diamond Model</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IEEE</w:t>
            </w:r>
          </w:p>
        </w:tc>
        <w:tc>
          <w:tcPr>
            <w:tcW w:type="dxa" w:w="2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T1–T14 — Taxonomy Validation</w:t>
            </w:r>
          </w:p>
        </w:tc>
        <w:tc>
          <w:tcPr>
            <w:tcW w:type="dxa" w:w="206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tcPr>
          <w:p>
            <w:r>
              <w:rPr>
                <w:rFonts w:ascii="Arial" w:cs="Arial" w:eastAsia="Arial" w:hAnsi="Arial"/>
                <w:sz w:val="18"/>
                <w:szCs w:val="18"/>
              </w:rPr>
              <w:t xml:space="preserve">ATT&amp;CK v15 + UKC + Diamond Model</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3.1  Corpus Distribution Verification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Allocated</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Delivered</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Verified</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Complete</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3.2  Platform Distribution Summary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Papers</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Xplore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ACM Digital Library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SpringerLink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Scopus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100%</w:t>
            </w:r>
          </w:p>
        </w:tc>
      </w:tr>
    </w:tbl>
    <w:p>
      <w:r>
        <w:rPr>
          <w:sz w:val="22"/>
          <w:szCs w:val="22"/>
        </w:rPr>
        <w:t xml:space="preserve"/>
      </w:r>
    </w:p>
    <w:p>
      <w:pPr>
        <w:pStyle w:val="Heading2"/>
        <w:spacing w:before="300" w:after="150"/>
      </w:pPr>
      <w:r>
        <w:rPr>
          <w:rFonts w:ascii="Arial" w:cs="Arial" w:eastAsia="Arial" w:hAnsi="Arial"/>
          <w:b/>
          <w:bCs/>
          <w:color w:val="2E5FA3"/>
          <w:sz w:val="26"/>
          <w:szCs w:val="26"/>
        </w:rPr>
        <w:t xml:space="preserve">3.3  APT Stage Coverage Summary</w:t>
      </w:r>
    </w:p>
    <w:p>
      <w:pPr>
        <w:spacing w:before="80" w:after="80"/>
        <w:jc w:val="both"/>
      </w:pPr>
      <w:r>
        <w:rPr>
          <w:rFonts w:ascii="Arial" w:cs="Arial" w:eastAsia="Arial" w:hAnsi="Arial"/>
          <w:color w:val="1A1A2E"/>
          <w:sz w:val="22"/>
          <w:szCs w:val="22"/>
        </w:rPr>
        <w:t xml:space="preserve">The following distribution of taxonomic coverage across the 100-paper corpus validates the breadth of the automated taxonomy. Command &amp; Control (T12) and Initial Access (T3) are the most heavily represented stages, reflecting both their forensic visibility and their operational significance as primary detection targets.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Taxonomy Node</w:t>
            </w:r>
          </w:p>
        </w:tc>
        <w:tc>
          <w:tcPr>
            <w:tcW w:type="dxa" w:w="3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Papers Addressing Stage</w:t>
            </w:r>
          </w:p>
        </w:tc>
        <w:tc>
          <w:tcPr>
            <w:tcW w:type="dxa" w:w="3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T12 — Command &amp; Control</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T3 — Initial Access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89</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89%</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T7 — Defense Evasion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T13 — Exfiltration</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78</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T4 — Execution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T5 — Persistence</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71</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T10 — Lateral Movement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T8 — Credential Access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T6 — Privilege Escalation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T9 — Discovery</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54</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54%</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T11 — Collection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T1 — Reconnaissance</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T2 — Resource Development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T14 — Impact</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r>
    </w:tbl>
    <w:p>
      <w:r>
        <w:rPr>
          <w:sz w:val="22"/>
          <w:szCs w:val="22"/>
        </w:rPr>
        <w:t xml:space="preserve"/>
      </w:r>
    </w:p>
    <w:p>
      <w:r>
        <w:rPr>
          <w:sz w:val="22"/>
          <w:szCs w:val="22"/>
        </w:rPr>
        <w:t xml:space="preserve"/>
      </w:r>
    </w:p>
    <w:p>
      <w:pPr>
        <w:pBdr>
          <w:top w:val="single" w:color="2E5FA3" w:sz="6" w:space="4"/>
        </w:pBdr>
        <w:spacing w:before="400"/>
        <w:jc w:val="center"/>
      </w:pPr>
      <w:r>
        <w:rPr>
          <w:rFonts w:ascii="Arial" w:cs="Arial" w:eastAsia="Arial" w:hAnsi="Arial"/>
          <w:i/>
          <w:iCs/>
          <w:color w:val="2E5FA3"/>
          <w:sz w:val="22"/>
          <w:szCs w:val="22"/>
        </w:rPr>
        <w:t xml:space="preserve">— End of Report —</w:t>
      </w:r>
    </w:p>
    <w:p>
      <w:pPr>
        <w:spacing w:before="100"/>
        <w:jc w:val="center"/>
      </w:pPr>
      <w:r>
        <w:rPr>
          <w:rFonts w:ascii="Arial" w:cs="Arial" w:eastAsia="Arial" w:hAnsi="Arial"/>
          <w:color w:val="888888"/>
          <w:sz w:val="18"/>
          <w:szCs w:val="18"/>
        </w:rPr>
        <w:t xml:space="preserve">Automated Taxonomy of APT Attacks | 100-Paper Corpus | 2020–2026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Post-Doctoral Cybersecurity Research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i/>
        <w:iCs/>
        <w:color w:val="2E5FA3"/>
        <w:sz w:val="18"/>
        <w:szCs w:val="18"/>
      </w:rPr>
      <w:t xml:space="preserve">Automated Taxonomy of APT Attacks — Academic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2026-03-31T18:54:04.847Z</dcterms:created>
  <dcterms:modified xsi:type="dcterms:W3CDTF">2026-03-31T18:54:04.848Z</dcterms:modified>
</cp:coreProperties>
</file>

<file path=docProps/custom.xml><?xml version="1.0" encoding="utf-8"?>
<Properties xmlns="http://schemas.openxmlformats.org/officeDocument/2006/custom-properties" xmlns:vt="http://schemas.openxmlformats.org/officeDocument/2006/docPropsVTypes"/>
</file>