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44E" w:rsidRDefault="0086644E">
      <w:bookmarkStart w:id="0" w:name="_GoBack"/>
      <w:r>
        <w:rPr>
          <w:noProof/>
        </w:rPr>
        <w:drawing>
          <wp:inline distT="0" distB="0" distL="0" distR="0" wp14:anchorId="6D64E0C7" wp14:editId="5891D591">
            <wp:extent cx="42767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4E" w:rsidRDefault="0086644E"/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The </w:t>
      </w:r>
      <w:r>
        <w:rPr>
          <w:rFonts w:ascii="BerkeleyStd-Italic" w:hAnsi="BerkeleyStd-Italic" w:cs="BerkeleyStd-Italic"/>
          <w:i/>
          <w:iCs/>
          <w:sz w:val="21"/>
          <w:szCs w:val="21"/>
        </w:rPr>
        <w:t xml:space="preserve">fact table </w:t>
      </w:r>
      <w:r>
        <w:rPr>
          <w:rFonts w:ascii="BerkeleyStd-Medium" w:hAnsi="BerkeleyStd-Medium" w:cs="BerkeleyStd-Medium"/>
          <w:sz w:val="21"/>
          <w:szCs w:val="21"/>
        </w:rPr>
        <w:t>in a dimensional model stores the performance measurements resulting</w:t>
      </w:r>
    </w:p>
    <w:p w:rsidR="0086644E" w:rsidRDefault="0086644E" w:rsidP="0086644E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from an organization’s business process events.</w:t>
      </w:r>
    </w:p>
    <w:p w:rsidR="0086644E" w:rsidRDefault="0086644E" w:rsidP="0086644E"/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t>Fact Tables for Measurements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The </w:t>
      </w:r>
      <w:r>
        <w:rPr>
          <w:rFonts w:ascii="BerkeleyStd-Italic" w:hAnsi="BerkeleyStd-Italic" w:cs="BerkeleyStd-Italic"/>
          <w:i/>
          <w:iCs/>
          <w:sz w:val="21"/>
          <w:szCs w:val="21"/>
        </w:rPr>
        <w:t xml:space="preserve">fact table </w:t>
      </w:r>
      <w:r>
        <w:rPr>
          <w:rFonts w:ascii="BerkeleyStd-Medium" w:hAnsi="BerkeleyStd-Medium" w:cs="BerkeleyStd-Medium"/>
          <w:sz w:val="21"/>
          <w:szCs w:val="21"/>
        </w:rPr>
        <w:t>in a dimensional model stores the performance measurements resulting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from an organization’s business process events. You should strive to store the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low-level measurement data resulting from a business process in a single dimensional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model. Because measurement data is overwhelmingly the largest set of data,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it should not be replicated in multiple places for multiple organizational functions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around the enterprise. Allowing business users from multiple organizations to access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 single centralized repository for each set of measurement data ensures the use of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consistent data throughout the enterprise.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The term </w:t>
      </w:r>
      <w:r>
        <w:rPr>
          <w:rFonts w:ascii="BerkeleyStd-Italic" w:hAnsi="BerkeleyStd-Italic" w:cs="BerkeleyStd-Italic"/>
          <w:i/>
          <w:iCs/>
          <w:sz w:val="21"/>
          <w:szCs w:val="21"/>
        </w:rPr>
        <w:t xml:space="preserve">fact </w:t>
      </w:r>
      <w:r>
        <w:rPr>
          <w:rFonts w:ascii="BerkeleyStd-Medium" w:hAnsi="BerkeleyStd-Medium" w:cs="BerkeleyStd-Medium"/>
          <w:sz w:val="21"/>
          <w:szCs w:val="21"/>
        </w:rPr>
        <w:t>represents a business measure. Imagine standing in the marketplace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watching products being sold and writing down the unit quantity and dollar sales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amount for each product in each sales transaction. These measurements are captured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as products are scanned at the register, as illustrated in Figure 1-2.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Each row in a fact table corresponds to a measurement event. The data on each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row is at a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specifi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c level of detail, referred to as the </w:t>
      </w:r>
      <w:r>
        <w:rPr>
          <w:rFonts w:ascii="BerkeleyStd-Italic" w:hAnsi="BerkeleyStd-Italic" w:cs="BerkeleyStd-Italic"/>
          <w:i/>
          <w:iCs/>
          <w:sz w:val="21"/>
          <w:szCs w:val="21"/>
        </w:rPr>
        <w:t>grain</w:t>
      </w:r>
      <w:r>
        <w:rPr>
          <w:rFonts w:ascii="BerkeleyStd-Medium" w:hAnsi="BerkeleyStd-Medium" w:cs="BerkeleyStd-Medium"/>
          <w:sz w:val="21"/>
          <w:szCs w:val="21"/>
        </w:rPr>
        <w:t>, such as one row per product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4"/>
          <w:szCs w:val="24"/>
        </w:rPr>
      </w:pPr>
      <w:r>
        <w:rPr>
          <w:rFonts w:ascii="StoneSansStd-Medium" w:hAnsi="StoneSansStd-Medium" w:cs="StoneSansStd-Medium"/>
          <w:sz w:val="20"/>
          <w:szCs w:val="20"/>
        </w:rPr>
        <w:t xml:space="preserve">Data Warehousing, Business Intelligence, and Dimensional Modeling Primer </w:t>
      </w:r>
      <w:r>
        <w:rPr>
          <w:rFonts w:ascii="StoneSansStd-Bold" w:hAnsi="StoneSansStd-Bold" w:cs="StoneSansStd-Bold"/>
          <w:b/>
          <w:bCs/>
          <w:sz w:val="24"/>
          <w:szCs w:val="24"/>
        </w:rPr>
        <w:t>11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sold on a sales transaction. One of the core tenets of dimensional modeling is that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all the measurement rows in a fact table must be at the same grain. Having the discipline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to create fact tables with a single level of detail ensures that measurements</w:t>
      </w:r>
    </w:p>
    <w:p w:rsidR="0086644E" w:rsidRDefault="0086644E" w:rsidP="0086644E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aren’t inappropriately double-counted.</w:t>
      </w:r>
    </w:p>
    <w:p w:rsidR="0086644E" w:rsidRDefault="0086644E" w:rsidP="0086644E"/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The most useful facts are numeric and additive, such as dollar sales amount.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Throughout this book we will use dollars as the standard currency to make the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case study examples more tangible—you can substitute your own local currency</w:t>
      </w:r>
    </w:p>
    <w:p w:rsidR="0086644E" w:rsidRDefault="0086644E" w:rsidP="0086644E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lastRenderedPageBreak/>
        <w:t>if it isn’t dollars</w:t>
      </w:r>
    </w:p>
    <w:p w:rsidR="0086644E" w:rsidRDefault="0086644E" w:rsidP="0086644E"/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Facts are often described as continuously valued to help sort out what is a fact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versus a dimension attribute. The dollar sales amount fact is continuously valued in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this example because it can take on virtually any value within a broad range. As an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4"/>
          <w:szCs w:val="24"/>
        </w:rPr>
        <w:t xml:space="preserve">12 </w:t>
      </w:r>
      <w:r>
        <w:rPr>
          <w:rFonts w:ascii="StoneSansStd-Bold" w:hAnsi="StoneSansStd-Bold" w:cs="StoneSansStd-Bold"/>
          <w:b/>
          <w:bCs/>
          <w:sz w:val="20"/>
          <w:szCs w:val="20"/>
        </w:rPr>
        <w:t>Chapter 1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observer, you must stand out in the marketplace and wait for the measurement before</w:t>
      </w:r>
    </w:p>
    <w:p w:rsidR="0086644E" w:rsidRDefault="0086644E" w:rsidP="0086644E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you have any idea what the value will be.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As examples are developed throughout this book, you will see that all fact table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grains fall into one of three categories: transaction, periodic snapshot, and accumulating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snapshot. Transaction grain fact tables are the most common. We will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introduce transaction fact tables in Chapter 3: Retail Sales, and both periodic and</w:t>
      </w:r>
    </w:p>
    <w:p w:rsidR="0086644E" w:rsidRDefault="0086644E" w:rsidP="0086644E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accumulating snapshots in Chapter 4: Inventory.</w:t>
      </w:r>
    </w:p>
    <w:p w:rsidR="0086644E" w:rsidRDefault="0086644E">
      <w:r>
        <w:br w:type="page"/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lastRenderedPageBreak/>
        <w:t>All fact tables have two or more foreign keys (refer to the FK notation in Figure 1-2)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that connect to the dimension tables’ primary keys. For example, the product key in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the fact table always matches a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specifi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c product key in the product dimension table.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When all the keys in the fact table correctly match their respective primary keys in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the corresponding dimension tables, the tables satisfy </w:t>
      </w:r>
      <w:r>
        <w:rPr>
          <w:rFonts w:ascii="BerkeleyStd-Italic" w:hAnsi="BerkeleyStd-Italic" w:cs="BerkeleyStd-Italic"/>
          <w:i/>
          <w:iCs/>
          <w:sz w:val="21"/>
          <w:szCs w:val="21"/>
        </w:rPr>
        <w:t>referential integrity</w:t>
      </w:r>
      <w:r>
        <w:rPr>
          <w:rFonts w:ascii="BerkeleyStd-Medium" w:hAnsi="BerkeleyStd-Medium" w:cs="BerkeleyStd-Medium"/>
          <w:sz w:val="21"/>
          <w:szCs w:val="21"/>
        </w:rPr>
        <w:t>. You access</w:t>
      </w:r>
    </w:p>
    <w:p w:rsidR="0086644E" w:rsidRDefault="0086644E" w:rsidP="0086644E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the fact table via the dimension tables joined to it.</w:t>
      </w:r>
    </w:p>
    <w:p w:rsidR="0086644E" w:rsidRDefault="0086644E" w:rsidP="0086644E"/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t>Dimension Tables for Descriptive Context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Italic" w:hAnsi="BerkeleyStd-Italic" w:cs="BerkeleyStd-Italic"/>
          <w:i/>
          <w:iCs/>
          <w:sz w:val="21"/>
          <w:szCs w:val="21"/>
        </w:rPr>
        <w:t xml:space="preserve">Dimension tables </w:t>
      </w:r>
      <w:r>
        <w:rPr>
          <w:rFonts w:ascii="BerkeleyStd-Medium" w:hAnsi="BerkeleyStd-Medium" w:cs="BerkeleyStd-Medium"/>
          <w:sz w:val="21"/>
          <w:szCs w:val="21"/>
        </w:rPr>
        <w:t>are integral companions to a fact table. The dimension tables contain</w:t>
      </w:r>
    </w:p>
    <w:p w:rsidR="0086644E" w:rsidRDefault="0086644E" w:rsidP="0086644E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the textual context associated with a business process measurement event. They</w:t>
      </w:r>
    </w:p>
    <w:p w:rsidR="0086644E" w:rsidRDefault="0086644E" w:rsidP="0086644E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describe the “who, what, where, when, how, and why” associated with the event.</w:t>
      </w:r>
    </w:p>
    <w:p w:rsidR="0086644E" w:rsidRDefault="0086644E" w:rsidP="0086644E"/>
    <w:p w:rsidR="0086644E" w:rsidRDefault="00242BCB" w:rsidP="0086644E">
      <w:r>
        <w:rPr>
          <w:noProof/>
        </w:rPr>
        <w:lastRenderedPageBreak/>
        <w:drawing>
          <wp:inline distT="0" distB="0" distL="0" distR="0" wp14:anchorId="606EE291" wp14:editId="08B1D2D1">
            <wp:extent cx="5095875" cy="5890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750" cy="58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B" w:rsidRDefault="00242BCB" w:rsidP="0086644E">
      <w:r>
        <w:rPr>
          <w:noProof/>
        </w:rPr>
        <w:lastRenderedPageBreak/>
        <w:drawing>
          <wp:inline distT="0" distB="0" distL="0" distR="0" wp14:anchorId="5C1C968C" wp14:editId="649EC7CE">
            <wp:extent cx="5943600" cy="4832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B" w:rsidRDefault="00242BCB" w:rsidP="0086644E">
      <w:r>
        <w:rPr>
          <w:noProof/>
        </w:rPr>
        <w:lastRenderedPageBreak/>
        <w:drawing>
          <wp:inline distT="0" distB="0" distL="0" distR="0" wp14:anchorId="123FDA7B" wp14:editId="53CC73C1">
            <wp:extent cx="5943600" cy="3521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B" w:rsidRDefault="00242BCB" w:rsidP="0086644E"/>
    <w:p w:rsidR="00242BCB" w:rsidRDefault="00242BCB" w:rsidP="0086644E"/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t>Step 1: Select the Business Process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A </w:t>
      </w:r>
      <w:r>
        <w:rPr>
          <w:rFonts w:ascii="BerkeleyStd-Italic" w:hAnsi="BerkeleyStd-Italic" w:cs="BerkeleyStd-Italic"/>
          <w:i/>
          <w:iCs/>
          <w:sz w:val="21"/>
          <w:szCs w:val="21"/>
        </w:rPr>
        <w:t xml:space="preserve">business process </w:t>
      </w:r>
      <w:r>
        <w:rPr>
          <w:rFonts w:ascii="BerkeleyStd-Medium" w:hAnsi="BerkeleyStd-Medium" w:cs="BerkeleyStd-Medium"/>
          <w:sz w:val="21"/>
          <w:szCs w:val="21"/>
        </w:rPr>
        <w:t>is a low-level activity performed by an organization, such as taking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orders, invoicing, receiving payments, handling service calls, registering students,</w:t>
      </w:r>
    </w:p>
    <w:p w:rsidR="00242BCB" w:rsidRDefault="00242BCB" w:rsidP="00242BCB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performing a medical procedure, or processing claims.</w:t>
      </w:r>
    </w:p>
    <w:p w:rsidR="00242BCB" w:rsidRDefault="00242BCB" w:rsidP="00242BCB"/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t>Step 2: Declare the Grain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Declaring the </w:t>
      </w:r>
      <w:r>
        <w:rPr>
          <w:rFonts w:ascii="BerkeleyStd-Italic" w:hAnsi="BerkeleyStd-Italic" w:cs="BerkeleyStd-Italic"/>
          <w:i/>
          <w:iCs/>
          <w:sz w:val="21"/>
          <w:szCs w:val="21"/>
        </w:rPr>
        <w:t xml:space="preserve">grain </w:t>
      </w:r>
      <w:r>
        <w:rPr>
          <w:rFonts w:ascii="BerkeleyStd-Medium" w:hAnsi="BerkeleyStd-Medium" w:cs="BerkeleyStd-Medium"/>
          <w:sz w:val="21"/>
          <w:szCs w:val="21"/>
        </w:rPr>
        <w:t>means specifying exactly what an individual fact table row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represents. The grain conveys the level of detail associated with the fact table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measurements. It provides the answer to the question, “How do you describe a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single row in the fact table?” The grain is determined by the physical realities of</w:t>
      </w:r>
    </w:p>
    <w:p w:rsidR="00242BCB" w:rsidRDefault="00242BCB" w:rsidP="00242BCB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the operational system that captures the business process’s events.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eastAsia="ZapfDingbatsStd" w:hAnsi="BerkeleyStd-Medium" w:cs="BerkeleyStd-Medium"/>
          <w:sz w:val="21"/>
          <w:szCs w:val="21"/>
        </w:rPr>
      </w:pPr>
      <w:r>
        <w:rPr>
          <w:rFonts w:ascii="ZapfDingbatsStd" w:eastAsia="ZapfDingbatsStd" w:cs="ZapfDingbatsStd" w:hint="eastAsia"/>
          <w:sz w:val="17"/>
          <w:szCs w:val="17"/>
        </w:rPr>
        <w:t>■</w:t>
      </w:r>
      <w:r>
        <w:rPr>
          <w:rFonts w:ascii="ZapfDingbatsStd" w:eastAsia="ZapfDingbatsStd" w:cs="ZapfDingbatsStd"/>
          <w:sz w:val="17"/>
          <w:szCs w:val="17"/>
        </w:rPr>
        <w:t xml:space="preserve"> </w:t>
      </w:r>
      <w:r>
        <w:rPr>
          <w:rFonts w:ascii="BerkeleyStd-Medium" w:eastAsia="ZapfDingbatsStd" w:hAnsi="BerkeleyStd-Medium" w:cs="BerkeleyStd-Medium"/>
          <w:sz w:val="21"/>
          <w:szCs w:val="21"/>
        </w:rPr>
        <w:t>One row per scan of an individual product on a customer’s sales transaction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eastAsia="ZapfDingbatsStd" w:hAnsi="BerkeleyStd-Medium" w:cs="BerkeleyStd-Medium"/>
          <w:sz w:val="21"/>
          <w:szCs w:val="21"/>
        </w:rPr>
      </w:pPr>
      <w:r>
        <w:rPr>
          <w:rFonts w:ascii="ZapfDingbatsStd" w:eastAsia="ZapfDingbatsStd" w:cs="ZapfDingbatsStd" w:hint="eastAsia"/>
          <w:sz w:val="17"/>
          <w:szCs w:val="17"/>
        </w:rPr>
        <w:t>■</w:t>
      </w:r>
      <w:r>
        <w:rPr>
          <w:rFonts w:ascii="ZapfDingbatsStd" w:eastAsia="ZapfDingbatsStd" w:cs="ZapfDingbatsStd"/>
          <w:sz w:val="17"/>
          <w:szCs w:val="17"/>
        </w:rPr>
        <w:t xml:space="preserve"> </w:t>
      </w:r>
      <w:r>
        <w:rPr>
          <w:rFonts w:ascii="BerkeleyStd-Medium" w:eastAsia="ZapfDingbatsStd" w:hAnsi="BerkeleyStd-Medium" w:cs="BerkeleyStd-Medium"/>
          <w:sz w:val="21"/>
          <w:szCs w:val="21"/>
        </w:rPr>
        <w:t>One row per line item on a bill from a doctor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eastAsia="ZapfDingbatsStd" w:hAnsi="BerkeleyStd-Medium" w:cs="BerkeleyStd-Medium"/>
          <w:sz w:val="21"/>
          <w:szCs w:val="21"/>
        </w:rPr>
      </w:pPr>
      <w:r>
        <w:rPr>
          <w:rFonts w:ascii="ZapfDingbatsStd" w:eastAsia="ZapfDingbatsStd" w:cs="ZapfDingbatsStd" w:hint="eastAsia"/>
          <w:sz w:val="17"/>
          <w:szCs w:val="17"/>
        </w:rPr>
        <w:t>■</w:t>
      </w:r>
      <w:r>
        <w:rPr>
          <w:rFonts w:ascii="ZapfDingbatsStd" w:eastAsia="ZapfDingbatsStd" w:cs="ZapfDingbatsStd"/>
          <w:sz w:val="17"/>
          <w:szCs w:val="17"/>
        </w:rPr>
        <w:t xml:space="preserve"> </w:t>
      </w:r>
      <w:r>
        <w:rPr>
          <w:rFonts w:ascii="BerkeleyStd-Medium" w:eastAsia="ZapfDingbatsStd" w:hAnsi="BerkeleyStd-Medium" w:cs="BerkeleyStd-Medium"/>
          <w:sz w:val="21"/>
          <w:szCs w:val="21"/>
        </w:rPr>
        <w:t>One row per individual boarding pass scanned at an airport gate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eastAsia="ZapfDingbatsStd" w:hAnsi="BerkeleyStd-Medium" w:cs="BerkeleyStd-Medium"/>
          <w:sz w:val="21"/>
          <w:szCs w:val="21"/>
        </w:rPr>
      </w:pPr>
      <w:r>
        <w:rPr>
          <w:rFonts w:ascii="ZapfDingbatsStd" w:eastAsia="ZapfDingbatsStd" w:cs="ZapfDingbatsStd" w:hint="eastAsia"/>
          <w:sz w:val="17"/>
          <w:szCs w:val="17"/>
        </w:rPr>
        <w:t>■</w:t>
      </w:r>
      <w:r>
        <w:rPr>
          <w:rFonts w:ascii="ZapfDingbatsStd" w:eastAsia="ZapfDingbatsStd" w:cs="ZapfDingbatsStd"/>
          <w:sz w:val="17"/>
          <w:szCs w:val="17"/>
        </w:rPr>
        <w:t xml:space="preserve"> </w:t>
      </w:r>
      <w:r>
        <w:rPr>
          <w:rFonts w:ascii="BerkeleyStd-Medium" w:eastAsia="ZapfDingbatsStd" w:hAnsi="BerkeleyStd-Medium" w:cs="BerkeleyStd-Medium"/>
          <w:sz w:val="21"/>
          <w:szCs w:val="21"/>
        </w:rPr>
        <w:t>One row per daily snapshot of the inventory levels for each item in a warehouse</w:t>
      </w:r>
    </w:p>
    <w:p w:rsidR="00242BCB" w:rsidRDefault="00242BCB" w:rsidP="00242BCB">
      <w:pPr>
        <w:rPr>
          <w:rFonts w:ascii="BerkeleyStd-Medium" w:eastAsia="ZapfDingbatsStd" w:hAnsi="BerkeleyStd-Medium" w:cs="BerkeleyStd-Medium"/>
          <w:sz w:val="21"/>
          <w:szCs w:val="21"/>
        </w:rPr>
      </w:pPr>
      <w:r>
        <w:rPr>
          <w:rFonts w:ascii="ZapfDingbatsStd" w:eastAsia="ZapfDingbatsStd" w:cs="ZapfDingbatsStd" w:hint="eastAsia"/>
          <w:sz w:val="17"/>
          <w:szCs w:val="17"/>
        </w:rPr>
        <w:t>■</w:t>
      </w:r>
      <w:r>
        <w:rPr>
          <w:rFonts w:ascii="ZapfDingbatsStd" w:eastAsia="ZapfDingbatsStd" w:cs="ZapfDingbatsStd"/>
          <w:sz w:val="17"/>
          <w:szCs w:val="17"/>
        </w:rPr>
        <w:t xml:space="preserve"> </w:t>
      </w:r>
      <w:r>
        <w:rPr>
          <w:rFonts w:ascii="BerkeleyStd-Medium" w:eastAsia="ZapfDingbatsStd" w:hAnsi="BerkeleyStd-Medium" w:cs="BerkeleyStd-Medium"/>
          <w:sz w:val="21"/>
          <w:szCs w:val="21"/>
        </w:rPr>
        <w:t>One row per bank account each month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t>Step 3: Identify the Dimensions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Dimensions fall out of the question, “How do business people describe the data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resulting from the business process measurement events?” You need to decorate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lastRenderedPageBreak/>
        <w:t>fact tables with a robust set of dimensions representing all possible descriptions</w:t>
      </w:r>
    </w:p>
    <w:p w:rsidR="00242BCB" w:rsidRDefault="00242BCB" w:rsidP="00242BCB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that take on single values in the context of each measurement.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t>Step 4: Identify the Facts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Facts are determined by answering the question, “What is the process measuring?”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Business users are keenly interested in analyzing these performance metrics. All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candidate facts in a design must be true to the grain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defi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ned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in step 2. Facts that</w:t>
      </w:r>
    </w:p>
    <w:p w:rsidR="00242BCB" w:rsidRDefault="00242BCB" w:rsidP="00242BCB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clearly belong to a diff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erent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grain must be in a separate fact table. Typical facts are</w:t>
      </w:r>
    </w:p>
    <w:p w:rsidR="00242BCB" w:rsidRDefault="00242BCB" w:rsidP="00242BCB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numeric additive fi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gures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>, such as quantity ordered or dollar cost amount.</w:t>
      </w:r>
    </w:p>
    <w:p w:rsidR="000A2813" w:rsidRDefault="000A2813" w:rsidP="00242BCB">
      <w:r>
        <w:rPr>
          <w:noProof/>
        </w:rPr>
        <w:drawing>
          <wp:inline distT="0" distB="0" distL="0" distR="0" wp14:anchorId="198923AE" wp14:editId="7328B5BB">
            <wp:extent cx="5943600" cy="2145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13" w:rsidRDefault="000A2813" w:rsidP="00242BCB">
      <w:r>
        <w:rPr>
          <w:noProof/>
        </w:rPr>
        <w:drawing>
          <wp:inline distT="0" distB="0" distL="0" distR="0" wp14:anchorId="2BCAD5A5" wp14:editId="76A9ECD0">
            <wp:extent cx="5943600" cy="3862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4C" w:rsidRDefault="00ED394C" w:rsidP="00ED394C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The unique primary key of a dimension table should be a </w:t>
      </w:r>
      <w:r>
        <w:rPr>
          <w:rFonts w:ascii="BerkeleyStd-Italic" w:hAnsi="BerkeleyStd-Italic" w:cs="BerkeleyStd-Italic"/>
          <w:i/>
          <w:iCs/>
          <w:sz w:val="21"/>
          <w:szCs w:val="21"/>
        </w:rPr>
        <w:t xml:space="preserve">surrogate key </w:t>
      </w:r>
      <w:r>
        <w:rPr>
          <w:rFonts w:ascii="BerkeleyStd-Medium" w:hAnsi="BerkeleyStd-Medium" w:cs="BerkeleyStd-Medium"/>
          <w:sz w:val="21"/>
          <w:szCs w:val="21"/>
        </w:rPr>
        <w:t>rather than</w:t>
      </w:r>
    </w:p>
    <w:p w:rsidR="00ED394C" w:rsidRDefault="00ED394C" w:rsidP="00ED394C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relying on the operational system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identifi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er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, known as the </w:t>
      </w:r>
      <w:r>
        <w:rPr>
          <w:rFonts w:ascii="BerkeleyStd-Italic" w:hAnsi="BerkeleyStd-Italic" w:cs="BerkeleyStd-Italic"/>
          <w:i/>
          <w:iCs/>
          <w:sz w:val="21"/>
          <w:szCs w:val="21"/>
        </w:rPr>
        <w:t>natural key</w:t>
      </w:r>
      <w:r>
        <w:rPr>
          <w:rFonts w:ascii="BerkeleyStd-Medium" w:hAnsi="BerkeleyStd-Medium" w:cs="BerkeleyStd-Medium"/>
          <w:sz w:val="21"/>
          <w:szCs w:val="21"/>
        </w:rPr>
        <w:t>. Surrogate keys</w:t>
      </w:r>
    </w:p>
    <w:p w:rsidR="00ED394C" w:rsidRDefault="00ED394C" w:rsidP="00ED394C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lastRenderedPageBreak/>
        <w:t xml:space="preserve">go by many other aliases: meaningless keys, integer keys, non-natural keys,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artifi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-</w:t>
      </w:r>
    </w:p>
    <w:p w:rsidR="00ED394C" w:rsidRDefault="00ED394C" w:rsidP="00ED394C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proofErr w:type="spellStart"/>
      <w:r>
        <w:rPr>
          <w:rFonts w:ascii="BerkeleyStd-Medium" w:hAnsi="BerkeleyStd-Medium" w:cs="BerkeleyStd-Medium"/>
          <w:sz w:val="21"/>
          <w:szCs w:val="21"/>
        </w:rPr>
        <w:t>cial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keys, and synthetic keys. Surrogate keys are simply integers that are assigned</w:t>
      </w:r>
    </w:p>
    <w:p w:rsidR="00ED394C" w:rsidRDefault="00ED394C" w:rsidP="00ED394C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sequentially as needed to populate a dimension. The fi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rst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product row is assigned a</w:t>
      </w:r>
    </w:p>
    <w:p w:rsidR="00ED394C" w:rsidRDefault="00ED394C" w:rsidP="00ED394C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product surrogate key with the value of 1; the next product row is assigned product</w:t>
      </w:r>
    </w:p>
    <w:p w:rsidR="00ED394C" w:rsidRDefault="00ED394C" w:rsidP="00ED394C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key 2; and so forth. The actual surrogate key value has no business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signifi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cance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>. The</w:t>
      </w:r>
    </w:p>
    <w:p w:rsidR="00ED394C" w:rsidRDefault="00ED394C" w:rsidP="00ED394C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surrogate keys merely serve to join the dimension tables to the fact table. Throughout</w:t>
      </w:r>
    </w:p>
    <w:p w:rsidR="00ED394C" w:rsidRDefault="00ED394C" w:rsidP="00ED394C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this book, column names with a Key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suffi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x,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identifi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ed as a primary key (PK) or</w:t>
      </w:r>
    </w:p>
    <w:p w:rsidR="00ED394C" w:rsidRDefault="00ED394C" w:rsidP="00ED394C">
      <w:r>
        <w:rPr>
          <w:rFonts w:ascii="BerkeleyStd-Medium" w:hAnsi="BerkeleyStd-Medium" w:cs="BerkeleyStd-Medium"/>
          <w:sz w:val="21"/>
          <w:szCs w:val="21"/>
        </w:rPr>
        <w:t>foreign key (FK), imply a surrogate.</w:t>
      </w:r>
    </w:p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/>
    <w:p w:rsidR="000A2813" w:rsidRDefault="000A2813" w:rsidP="00242BCB">
      <w:pPr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t>Step 1: Select the Business Process</w:t>
      </w:r>
      <w:r>
        <w:rPr>
          <w:rFonts w:ascii="StoneSansStd-Medium" w:hAnsi="StoneSansStd-Medium" w:cs="StoneSansStd-Medium"/>
          <w:sz w:val="30"/>
          <w:szCs w:val="30"/>
        </w:rPr>
        <w:t xml:space="preserve"> 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In our retail case study, management wants to better understand customer purchases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as captured by the POS system. </w:t>
      </w:r>
      <w:proofErr w:type="gramStart"/>
      <w:r>
        <w:rPr>
          <w:rFonts w:ascii="BerkeleyStd-Medium" w:hAnsi="BerkeleyStd-Medium" w:cs="BerkeleyStd-Medium"/>
          <w:sz w:val="21"/>
          <w:szCs w:val="21"/>
        </w:rPr>
        <w:t>Thus</w:t>
      </w:r>
      <w:proofErr w:type="gramEnd"/>
      <w:r>
        <w:rPr>
          <w:rFonts w:ascii="BerkeleyStd-Medium" w:hAnsi="BerkeleyStd-Medium" w:cs="BerkeleyStd-Medium"/>
          <w:sz w:val="21"/>
          <w:szCs w:val="21"/>
        </w:rPr>
        <w:t xml:space="preserve"> the business process you’re modeling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lastRenderedPageBreak/>
        <w:t xml:space="preserve">is POS retail sales </w:t>
      </w:r>
      <w:proofErr w:type="gramStart"/>
      <w:r>
        <w:rPr>
          <w:rFonts w:ascii="BerkeleyStd-Medium" w:hAnsi="BerkeleyStd-Medium" w:cs="BerkeleyStd-Medium"/>
          <w:sz w:val="21"/>
          <w:szCs w:val="21"/>
        </w:rPr>
        <w:t>transactions.</w:t>
      </w:r>
      <w:proofErr w:type="gramEnd"/>
      <w:r>
        <w:rPr>
          <w:rFonts w:ascii="BerkeleyStd-Medium" w:hAnsi="BerkeleyStd-Medium" w:cs="BerkeleyStd-Medium"/>
          <w:sz w:val="21"/>
          <w:szCs w:val="21"/>
        </w:rPr>
        <w:t xml:space="preserve"> This data enables the business users to analyze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which products are selling in which stores on which days under what promotional</w:t>
      </w:r>
    </w:p>
    <w:p w:rsidR="000A2813" w:rsidRDefault="000A2813" w:rsidP="000A2813">
      <w:pPr>
        <w:rPr>
          <w:rFonts w:ascii="StoneSansStd-Medium" w:hAnsi="StoneSansStd-Medium" w:cs="StoneSansStd-Medium"/>
          <w:sz w:val="30"/>
          <w:szCs w:val="30"/>
        </w:rPr>
      </w:pPr>
      <w:r>
        <w:rPr>
          <w:rFonts w:ascii="BerkeleyStd-Medium" w:hAnsi="BerkeleyStd-Medium" w:cs="BerkeleyStd-Medium"/>
          <w:sz w:val="21"/>
          <w:szCs w:val="21"/>
        </w:rPr>
        <w:t>conditions in which transactions.</w:t>
      </w:r>
    </w:p>
    <w:p w:rsidR="000A2813" w:rsidRDefault="000A2813" w:rsidP="00242BCB">
      <w:pPr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t>Step 2: Declare the Grain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 DW/BI system almost always demands data expressed at the lowest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possible grain, not because queries want to see individual rows but because queries</w:t>
      </w:r>
    </w:p>
    <w:p w:rsidR="000A2813" w:rsidRDefault="000A2813" w:rsidP="000A2813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need to cut through the details in very precise ways.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You should develop dimensional models representing the most detailed,</w:t>
      </w:r>
    </w:p>
    <w:p w:rsidR="000A2813" w:rsidRDefault="000A2813" w:rsidP="000A2813">
      <w:pPr>
        <w:rPr>
          <w:rFonts w:ascii="StoneSansStd-Medium" w:hAnsi="StoneSansStd-Medium" w:cs="StoneSansStd-Medium"/>
          <w:sz w:val="30"/>
          <w:szCs w:val="30"/>
        </w:rPr>
      </w:pPr>
      <w:r>
        <w:rPr>
          <w:rFonts w:ascii="BerkeleyStd-Medium" w:hAnsi="BerkeleyStd-Medium" w:cs="BerkeleyStd-Medium"/>
          <w:sz w:val="21"/>
          <w:szCs w:val="21"/>
        </w:rPr>
        <w:t>atomic information captured by a business process.</w:t>
      </w:r>
    </w:p>
    <w:p w:rsidR="000A2813" w:rsidRDefault="000A2813" w:rsidP="00242BCB">
      <w:pPr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t>Step 3: Identify the Dimensions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After the grain of the fact table has been chosen, the choice of dimensions is straightforward.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The product and transaction fall out immediately. Within the framework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of the primary dimensions, you can ask whether other dimensions can be attributed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to the POS measurements, such as the date of the sale, the store where the sale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occurred, the promotion under which the product is sold, the cashier who handled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the sale, and potentially the method of payment. We express this as another design</w:t>
      </w:r>
    </w:p>
    <w:p w:rsidR="000A2813" w:rsidRDefault="000A2813" w:rsidP="000A2813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principle.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 careful grain statement determines the primary dimensionality of the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fact table. You then add more dimensions to the fact table if these additional dimensions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naturally take on only one value under each combination of the primary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dimensions. If the additional dimension violates the grain by causing additional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fact rows to be generated, the dimension needs to be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disqualifi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ed or the grain statement</w:t>
      </w:r>
    </w:p>
    <w:p w:rsidR="000A2813" w:rsidRDefault="000A2813" w:rsidP="000A2813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needs to be revisited</w:t>
      </w:r>
    </w:p>
    <w:p w:rsidR="000A2813" w:rsidRDefault="000A2813">
      <w:pPr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br w:type="page"/>
      </w:r>
    </w:p>
    <w:p w:rsidR="000A2813" w:rsidRDefault="000A2813" w:rsidP="000A2813">
      <w:pPr>
        <w:rPr>
          <w:rFonts w:ascii="StoneSansStd-Medium" w:hAnsi="StoneSansStd-Medium" w:cs="StoneSansStd-Medium"/>
          <w:sz w:val="30"/>
          <w:szCs w:val="30"/>
        </w:rPr>
      </w:pPr>
      <w:r>
        <w:rPr>
          <w:rFonts w:ascii="StoneSansStd-Medium" w:hAnsi="StoneSansStd-Medium" w:cs="StoneSansStd-Medium"/>
          <w:sz w:val="30"/>
          <w:szCs w:val="30"/>
        </w:rPr>
        <w:lastRenderedPageBreak/>
        <w:t>Step 4: Identify the Facts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The fourth and fi </w:t>
      </w:r>
      <w:proofErr w:type="spellStart"/>
      <w:r>
        <w:rPr>
          <w:rFonts w:ascii="BerkeleyStd-Medium" w:hAnsi="BerkeleyStd-Medium" w:cs="BerkeleyStd-Medium"/>
          <w:sz w:val="21"/>
          <w:szCs w:val="21"/>
        </w:rPr>
        <w:t>nal</w:t>
      </w:r>
      <w:proofErr w:type="spellEnd"/>
      <w:r>
        <w:rPr>
          <w:rFonts w:ascii="BerkeleyStd-Medium" w:hAnsi="BerkeleyStd-Medium" w:cs="BerkeleyStd-Medium"/>
          <w:sz w:val="21"/>
          <w:szCs w:val="21"/>
        </w:rPr>
        <w:t xml:space="preserve"> step in the design is to make a careful determination of which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facts will appear in the fact table. Again, the grain declaration helps anchor your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thinking. Simply put, the facts must be true to the grain: the individual product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line item on the POS transaction in this case. When considering potential facts,</w:t>
      </w:r>
    </w:p>
    <w:p w:rsidR="000A2813" w:rsidRDefault="000A2813" w:rsidP="000A2813">
      <w:pPr>
        <w:autoSpaceDE w:val="0"/>
        <w:autoSpaceDN w:val="0"/>
        <w:adjustRightInd w:val="0"/>
        <w:spacing w:after="0" w:line="240" w:lineRule="auto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you may again discover adjustments need to be made to either your earlier grain</w:t>
      </w:r>
    </w:p>
    <w:p w:rsidR="000A2813" w:rsidRDefault="000A2813" w:rsidP="000A2813">
      <w:r>
        <w:rPr>
          <w:rFonts w:ascii="BerkeleyStd-Medium" w:hAnsi="BerkeleyStd-Medium" w:cs="BerkeleyStd-Medium"/>
          <w:sz w:val="21"/>
          <w:szCs w:val="21"/>
        </w:rPr>
        <w:t>assumptions or choice of dimensions.</w:t>
      </w:r>
      <w:bookmarkEnd w:id="0"/>
    </w:p>
    <w:sectPr w:rsidR="000A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4E"/>
    <w:rsid w:val="000A2813"/>
    <w:rsid w:val="00242BCB"/>
    <w:rsid w:val="0086644E"/>
    <w:rsid w:val="00E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00C0"/>
  <w15:chartTrackingRefBased/>
  <w15:docId w15:val="{3981EBF7-337D-446A-B64A-50C49278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1</cp:revision>
  <dcterms:created xsi:type="dcterms:W3CDTF">2022-10-31T20:09:00Z</dcterms:created>
  <dcterms:modified xsi:type="dcterms:W3CDTF">2022-10-31T21:26:00Z</dcterms:modified>
</cp:coreProperties>
</file>