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/>
        <w:jc w:val="center"/>
      </w:pPr>
      <w:r>
        <w:rPr>
          <w:b/>
          <w:bCs/>
          <w:color w:val="2E9BD6"/>
          <w:sz w:val="32"/>
          <w:szCs w:val="32"/>
        </w:rPr>
        <w:t xml:space="preserve">Project Name: Campaign Management</w:t>
      </w:r>
    </w:p>
    <w:p>
      <w:pPr>
        <w:spacing w:after="1200"/>
        <w:jc w:val="center"/>
      </w:pPr>
      <w:r>
        <w:rPr>
          <w:b/>
          <w:bCs/>
          <w:color w:val="2E9BD6"/>
          <w:sz w:val="32"/>
          <w:szCs w:val="32"/>
        </w:rPr>
        <w:t xml:space="preserve">Test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Document Author</w:t>
            </w:r>
          </w:p>
        </w:tc>
        <w:tc>
          <w:tcPr>
            <w:tcW w:type="dxa" w:w="25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Document Version</w:t>
            </w:r>
          </w:p>
        </w:tc>
        <w:tc>
          <w:tcPr>
            <w:tcW w:type="dxa" w:w="25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Revised Date</w:t>
            </w:r>
          </w:p>
        </w:tc>
        <w:tc>
          <w:tcPr>
            <w:tcW w:type="dxa" w:w="25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Approved By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14 July, 2026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TBA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document describes the test approach for the Campaign Management application, a marketing operations tool that lets users create, schedule, launch, and monitor lifecycle communication campaigns across Email, SMS, and Push channels. The application exposes both a browser-based UI and a documented JSON API (see docs/api/openapi.yaml). This plan covers objectives, scope, test responsibilities, entry and exit criteria, test strategy, schedule, risks, and acronyms for the automation effort.</w:t>
      </w:r>
    </w:p>
    <w:p>
      <w:pPr>
        <w:pStyle w:val="Heading1"/>
        <w:spacing w:after="150" w:before="300"/>
      </w:pPr>
      <w:r>
        <w:t xml:space="preserve">2. Scope</w:t>
      </w:r>
    </w:p>
    <w:p>
      <w:pPr>
        <w:pStyle w:val="Heading2"/>
        <w:spacing w:after="150" w:before="30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Campaign Creation (Execution tab)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Well-organized Build Campaign form: name, channel, audience segment, send mode, schedule time, message.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Field-level validation surfaced from the API (name length, message length, channel enum, schedule rules).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Successful creation reflected immediately in the Active Campaigns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Audience Estimate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Estimate reach button returns a recipient count for the selected segment + channel.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Allowed channels differ per audience segment.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Campaign Launch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Launch action on Draft/Scheduled campaigns moves them toward Queued/Sent.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Already Sent/Queued/Failed campaigns cannot be relaunched.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Simulated provider failure (launchFailures) causes a launch to fail with a clear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Filter Active Campaigns by status.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Filter by channel.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Combined filters and clearing filters.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Contract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GET/POST /api/campaigns, GET /api/campaigns/{id}, POST /api/campaigns/{id}/launch.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POST /api/audiences/estimate.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POST /api/test-controls/reset, including bug-toggle and launchFailures options.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forceUnauthorized test hook (401 handling).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features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Analytics dashboard summary counts (Total/Draft/Scheduled/Sent).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Reset Data control for repeatable test runs.</w:t>
      </w:r>
    </w:p>
    <w:p>
      <w:pPr>
        <w:pStyle w:val="Heading2"/>
        <w:spacing w:after="150" w:before="300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feature added after this plan's approval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Authentication/login flows (none exist in the current build).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onboarding (Owner/Admin/Member) — covered separately as a forward-looking strategy, not yet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Load/stress performance testing beyond basic responsiveness observation.</w:t>
      </w:r>
    </w:p>
    <w:p>
      <w:pPr>
        <w:pStyle w:val="Heading1"/>
        <w:spacing w:after="150" w:before="300"/>
      </w:pPr>
      <w:r>
        <w:t xml:space="preserve">3. Quality Objectives</w:t>
      </w:r>
    </w:p>
    <w:p>
      <w:pPr>
        <w:spacing w:after="120"/>
      </w:pPr>
      <w:r>
        <w:t xml:space="preserve">The objective of this test plan is to ensure the Campaign Management application behaves reliably and consistently across its full campaign lifecycle — creation, estimation, launch, and filtering — and that the documented API contract (openapi.yaml) matches live application behavior. The plan emphasizes risk-based coverage, repeatable automated verification, and clear defect reporting so that regressions are caught early and consistently.</w:t>
      </w:r>
    </w:p>
    <w:p>
      <w:pPr>
        <w:pStyle w:val="Heading1"/>
        <w:spacing w:after="150" w:before="300"/>
      </w:pPr>
      <w:r>
        <w:t xml:space="preserve">4. Test Methodologies</w:t>
      </w:r>
    </w:p>
    <w:p>
      <w:pPr>
        <w:pStyle w:val="Heading2"/>
        <w:spacing w:after="150" w:before="300"/>
      </w:pPr>
      <w:r>
        <w:t xml:space="preserve">4.1 Overview</w:t>
      </w:r>
    </w:p>
    <w:p>
      <w:pPr>
        <w:spacing w:after="120"/>
      </w:pPr>
      <w:r>
        <w:t xml:space="preserve">This project follows an Agile-style, risk-based approach delivered as a single automation iteration against a live, shared application instance. Test scenarios were derived directly from the assignment brief and the OpenAPI contract. Each functional area (creation, launch, filtering, audience estimate, reset/test-controls) was automated and verified independently, then run together as a full suite to catch cross-scenario/state issues.</w:t>
      </w:r>
    </w:p>
    <w:p>
      <w:pPr>
        <w:pStyle w:val="Heading2"/>
        <w:spacing w:after="150" w:before="300"/>
      </w:pPr>
      <w:r>
        <w:t xml:space="preserve">4.2 Test Levels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Testing: black-box testing against documented business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Contract Testing: validating request/response shapes and status codes against openapi.yaml.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Testing: validating that user-facing flows produce correct, visible outcomes.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Testing: cross-checking UI actions against their resulting API/backend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Testing: full-suite run after every change to confirm no prior scenario broke.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 Verification: confirmed defects tracked and re-verified (e.g., via test.fail()).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 manual UAT sign-off (this is an automation-first take-home exercise).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Dedicated performance/load testing tooling.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penetration testing beyond the documented forceUnauthorized hook.</w:t>
      </w:r>
    </w:p>
    <w:p>
      <w:pPr>
        <w:pStyle w:val="Heading2"/>
        <w:spacing w:after="150" w:before="300"/>
      </w:pPr>
      <w:r>
        <w:t xml:space="preserve">4.3 Test Strategy</w:t>
      </w:r>
    </w:p>
    <w:p>
      <w:pPr>
        <w:spacing w:after="120"/>
      </w:pPr>
      <w:r>
        <w:rPr>
          <w:b/>
          <w:bCs/>
        </w:rPr>
        <w:t xml:space="preserve">Test case preparation and execution: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scenarios were derived from the assignment's business rules and the OpenAPI schema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scenario was translated into one or more Playwright automated test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assert both UI state (visibility, rendered values) and backend state (direct API calls), so a passing UI check can never mask an incorrect backend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 vs expected results are captured automatically by Playwright's HTML report and trace viewer for every run.</w:t>
      </w:r>
    </w:p>
    <w:p>
      <w:pPr>
        <w:spacing w:after="120"/>
      </w:pPr>
      <w:r>
        <w:rPr>
          <w:b/>
          <w:bCs/>
        </w:rPr>
        <w:t xml:space="preserve">Defect logging and reporting: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Defects are logged with clear expected-vs-actual behavior in the project README.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defects are additionally encoded directly into the test suite (e.g., via test.fail()) so they remain visible and trackable in every future run, not just in a document.</w:t>
      </w:r>
    </w:p>
    <w:p>
      <w:pPr>
        <w:spacing w:after="120"/>
      </w:pPr>
      <w:r>
        <w:rPr>
          <w:b/>
          <w:bCs/>
        </w:rPr>
        <w:t xml:space="preserve">Retesting: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 automated suite is re-run after every fix or change, giving fast, repeatable regression coverage rather than manual re-verification.</w:t>
      </w:r>
    </w:p>
    <w:p>
      <w:pPr>
        <w:spacing w:after="120"/>
      </w:pPr>
      <w:r>
        <w:rPr>
          <w:b/>
          <w:bCs/>
        </w:rPr>
        <w:t xml:space="preserve">Deployment / Delivery: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full suite is green, the suite and its documentation (README, Test Plan, Test Scenarios) are packaged for submission.</w:t>
      </w:r>
    </w:p>
    <w:p>
      <w:pPr>
        <w:pStyle w:val="Heading2"/>
        <w:spacing w:after="150" w:before="300"/>
      </w:pPr>
      <w:r>
        <w:t xml:space="preserve">4.4 Bug Triage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finding is classified as a Defect (violates a documented business rule) or an Observation (notable but not necessarily incorrect behavior).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Defects are prioritized by the business rule they violate — data-integrity and validation defects are treated as highest priority.</w:t>
      </w:r>
    </w:p>
    <w:p>
      <w:pPr>
        <w:pStyle w:val="Heading2"/>
        <w:spacing w:after="150" w:before="300"/>
      </w:pPr>
      <w:r>
        <w:t xml:space="preserve">4.5 Suspension Criteria and Resumption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 testing if the shared live application becomes unreachable (e.g., hosting cold-start/timeout) for more than a few retries.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once the application responds normally to a basic health check (GET /api/health) or a manual page load.</w:t>
      </w:r>
    </w:p>
    <w:p>
      <w:pPr>
        <w:pStyle w:val="Heading2"/>
        <w:spacing w:after="150" w:before="300"/>
      </w:pPr>
      <w:r>
        <w:t xml:space="preserve">4.6 Test Completeness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scenarios listed in the Test Scenarios sheet have at least one corresponding automated test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automated test cases execute successfully in a full, serial suite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identified defects are documented with expected vs actual behavior in the README.</w:t>
      </w:r>
    </w:p>
    <w:p>
      <w:pPr>
        <w:pStyle w:val="Heading1"/>
        <w:spacing w:after="150" w:before="300"/>
      </w:pPr>
      <w:r>
        <w:t xml:space="preserve">5. Roles and Responsibility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4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Contact</w:t>
            </w:r>
          </w:p>
        </w:tc>
        <w:tc>
          <w:tcPr>
            <w:tcW w:type="dxa" w:w="47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Candidate (SDET)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4750"/>
          </w:tcPr>
          <w:p>
            <w:r>
              <w:t xml:space="preserve">Understand requirements, design test scenarios, write and execute automated test cases, prepare README and defect reports, maintain the automation framework.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Reviewer / Interviewer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Hiring Team</w:t>
            </w:r>
          </w:p>
        </w:tc>
        <w:tc>
          <w:tcPr>
            <w:tcW w:type="dxa" w:w="4750"/>
          </w:tcPr>
          <w:p>
            <w:r>
              <w:t xml:space="preserve">Review scenario selection, coverage, code quality, defect reporting clarity, and discuss tradeoffs in the interview round.</w:t>
            </w:r>
          </w:p>
        </w:tc>
      </w:tr>
    </w:tbl>
    <w:p>
      <w:pPr>
        <w:pStyle w:val="Heading1"/>
        <w:spacing w:after="150" w:before="300"/>
      </w:pPr>
      <w:r>
        <w:t xml:space="preserve">6. Entry and Exit Criteria</w:t>
      </w:r>
    </w:p>
    <w:p>
      <w:pPr>
        <w:pStyle w:val="Heading2"/>
        <w:spacing w:after="150" w:before="300"/>
      </w:pPr>
      <w:r>
        <w:t xml:space="preserve">6.1 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brief (QA_AUTOMATION_ASSIGNMENT.md) and OpenAPI contract (openapi.yaml) are available and understood.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is reachable at its deployed URL and responds to a basic health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Scenarios document is drafted and reviewed.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framework (Playwright) is installed and a sample test passes.</w:t>
      </w:r>
    </w:p>
    <w:p>
      <w:pPr>
        <w:pStyle w:val="Heading2"/>
        <w:spacing w:after="150" w:before="300"/>
      </w:pPr>
      <w:r>
        <w:t xml:space="preserve">6.2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planned automated test cases are implemented and executing.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suite passes consistently across at least two consecutive clean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identified defects are documented with expected vs actual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README, Test Plan, and Test Scenarios documents are finalized.</w:t>
      </w:r>
    </w:p>
    <w:p>
      <w:pPr>
        <w:pStyle w:val="Heading1"/>
        <w:spacing w:after="150" w:before="300"/>
      </w:pPr>
      <w:r>
        <w:t xml:space="preserve">7. Test Deliverables</w:t>
      </w:r>
    </w:p>
    <w:p>
      <w:pPr>
        <w:spacing w:after="120"/>
      </w:pPr>
      <w:r>
        <w:rPr>
          <w:b/>
          <w:bCs/>
        </w:rPr>
        <w:t xml:space="preserve">Before Testing: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brief and OpenAPI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document (this document).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Scenarios sheet.</w:t>
      </w:r>
    </w:p>
    <w:p>
      <w:pPr>
        <w:spacing w:after="120"/>
      </w:pPr>
      <w:r>
        <w:rPr>
          <w:b/>
          <w:bCs/>
        </w:rPr>
        <w:t xml:space="preserve">During Testing: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Playwright test scripts (tests/ui, tests/api).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execution logs and HTML reports.</w:t>
      </w:r>
    </w:p>
    <w:p>
      <w:pPr>
        <w:spacing w:after="120"/>
      </w:pPr>
      <w:r>
        <w:rPr>
          <w:b/>
          <w:bCs/>
        </w:rPr>
        <w:t xml:space="preserve">After Testing: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test results (all-green suite run).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 report (README defects table with expected vs actual).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with setup/run instructions, assumptions, and forward-looking strategy.</w:t>
      </w:r>
    </w:p>
    <w:p>
      <w:pPr>
        <w:pStyle w:val="Heading1"/>
        <w:spacing w:after="150" w:before="300"/>
      </w:pPr>
      <w:r>
        <w:t xml:space="preserve">8. Resources &amp; Environment Needs</w:t>
      </w:r>
    </w:p>
    <w:p>
      <w:pPr>
        <w:pStyle w:val="Heading2"/>
        <w:spacing w:after="150" w:before="300"/>
      </w:pPr>
      <w:r>
        <w:t xml:space="preserve">8.1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development machine (Windows 10+, Node.js installed).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internet connection to reach the deployed application.</w:t>
      </w:r>
    </w:p>
    <w:p>
      <w:pPr>
        <w:pStyle w:val="Heading2"/>
        <w:spacing w:after="150" w:before="300"/>
      </w:pPr>
      <w:r>
        <w:t xml:space="preserve">8.2 Testing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Case creation &amp; tracking: Markdown /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framework: Playwright (JavaScript).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reporting: Playwright HTML Reporter &amp; Trace Viewer.</w:t>
      </w:r>
    </w:p>
    <w:p>
      <w:pPr>
        <w:pStyle w:val="Heading2"/>
        <w:spacing w:after="150" w:before="300"/>
      </w:pPr>
      <w:r>
        <w:t xml:space="preserve">8.3 Configuration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/ GitHub repository, or archive submission per assignment instructions.</w:t>
      </w:r>
    </w:p>
    <w:p>
      <w:pPr>
        <w:pStyle w:val="Heading2"/>
        <w:spacing w:after="150" w:before="300"/>
      </w:pPr>
      <w:r>
        <w:t xml:space="preserve">8.4 Test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support: Chromium (primary), with config supporting Firefox/WebKit if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URL: https://campaign-management-rose.vercel.app/</w:t>
      </w:r>
    </w:p>
    <w:p>
      <w:pPr>
        <w:pStyle w:val="Heading1"/>
        <w:spacing w:after="150" w:before="300"/>
      </w:pPr>
      <w:r>
        <w:t xml:space="preserve">9. Test Schedule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350"/>
        <w:gridCol w:w="2650"/>
      </w:tblGrid>
      <w:tr>
        <w:tc>
          <w:tcPr>
            <w:tcW w:type="dxa" w:w="33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3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Done By</w:t>
            </w:r>
          </w:p>
        </w:tc>
        <w:tc>
          <w:tcPr>
            <w:tcW w:type="dxa" w:w="26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Requirement review &amp; framework setup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Test Scenario design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UI automation: Create / Launch / Filter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API automation: Campaign &amp; Reset endpoints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Full suite regression run &amp; stabilization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Documentation: README, Test Plan, Test Scenarios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Kanika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</w:tr>
    </w:tbl>
    <w:p>
      <w:pPr>
        <w:pStyle w:val="Heading1"/>
        <w:spacing w:after="150" w:before="300"/>
      </w:pPr>
      <w:r>
        <w:t xml:space="preserve">10. Risk &amp; Assumptions</w:t>
      </w:r>
    </w:p>
    <w:p>
      <w:pPr>
        <w:spacing w:after="120"/>
      </w:pPr>
      <w:r>
        <w:rPr>
          <w:b/>
          <w:bCs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application is hosted on a free-tier deployment that cold-starts when idle, which can cause transient timeouts unrelated to real defects.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run against a single shared live backend rather than an isolated per-test environment, which can cause state races if not carefully controlled.</w:t>
      </w:r>
    </w:p>
    <w:p>
      <w:pPr>
        <w:spacing w:after="120"/>
      </w:pPr>
      <w:r>
        <w:rPr>
          <w:b/>
          <w:bCs/>
        </w:rPr>
        <w:t xml:space="preserve">Assumptions: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seeded dataset (3 campaigns) is the canonical baseline after every reset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authentication exists in the current build; the forceUnauthorized flag is a test-only hook, not real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transient network/timeout failure on first run does not indicate a real regression; re-running once is a reasonable first diagnostic step.</w:t>
      </w:r>
    </w:p>
    <w:p>
      <w:pPr>
        <w:pStyle w:val="Heading1"/>
        <w:spacing w:after="150" w:before="300"/>
      </w:pPr>
      <w:r>
        <w:t xml:space="preserve">11. Terms / Acronyms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00"/>
      </w:tblGrid>
      <w:tr>
        <w:tc>
          <w:tcPr>
            <w:tcW w:type="dxa" w:w="23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Application Programming Interface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SDET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Software Development Engineer in Test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User Interface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FRS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Functional Requirements Specification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RTM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Requirement Traceability Matrix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UAT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</w:rPr>
              <w:t xml:space="preserve">User Acceptance Testing</w:t>
            </w:r>
          </w:p>
        </w:tc>
      </w:tr>
    </w:tbl>
    <w:p>
      <w:pPr>
        <w:pStyle w:val="Heading1"/>
        <w:spacing w:after="150" w:before="300"/>
      </w:pPr>
      <w:r>
        <w:t xml:space="preserve">12. Approvals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00"/>
      </w:tblGrid>
      <w:tr>
        <w:tc>
          <w:tcPr>
            <w:tcW w:type="dxa" w:w="23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Approved By</w:t>
            </w:r>
          </w:p>
        </w:tc>
        <w:tc>
          <w:tcPr>
            <w:tcW w:type="dxa" w:w="23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Approval Title</w:t>
            </w:r>
          </w:p>
        </w:tc>
        <w:tc>
          <w:tcPr>
            <w:tcW w:type="dxa" w:w="235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300"/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Attachment</w:t>
            </w:r>
          </w:p>
        </w:tc>
      </w:tr>
      <w:tr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TBA</w:t>
            </w:r>
          </w:p>
        </w:tc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Reviewer</w:t>
            </w:r>
          </w:p>
        </w:tc>
        <w:tc>
          <w:tcPr>
            <w:tcW w:type="dxa" w:w="2350"/>
          </w:tcPr>
          <w:p>
            <w:r>
              <w:rPr>
                <w:b w:val="false"/>
                <w:bCs w:val="false"/>
              </w:rPr>
              <w:t xml:space="preserve">TBA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2026-07-14T08:31:18.277Z</dcterms:created>
  <dcterms:modified xsi:type="dcterms:W3CDTF">2026-07-14T08:31:18.286Z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