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B08A2E"/>
          <w:sz w:val="26"/>
          <w:szCs w:val="26"/>
        </w:rPr>
        <w:t xml:space="preserve">STARTUP VALIDATION REPORT</w:t>
      </w:r>
    </w:p>
    <w:p>
      <w:pPr>
        <w:spacing w:after="100"/>
        <w:jc w:val="center"/>
      </w:pPr>
      <w:r>
        <w:rPr>
          <w:rFonts w:ascii="Calibri" w:cs="Calibri" w:eastAsia="Calibri" w:hAnsi="Calibri"/>
          <w:b/>
          <w:bCs/>
          <w:color w:val="1F3864"/>
          <w:sz w:val="60"/>
          <w:szCs w:val="60"/>
        </w:rPr>
        <w:t xml:space="preserve">SkillBridge AI</w:t>
      </w:r>
    </w:p>
    <w:p>
      <w:pPr>
        <w:spacing w:after="500"/>
        <w:jc w:val="center"/>
      </w:pPr>
      <w:r>
        <w:rPr>
          <w:rFonts w:ascii="Calibri" w:cs="Calibri" w:eastAsia="Calibri" w:hAnsi="Calibri"/>
          <w:i/>
          <w:iCs/>
          <w:color w:val="5A6472"/>
          <w:sz w:val="24"/>
          <w:szCs w:val="24"/>
        </w:rPr>
        <w:t xml:space="preserve">AI-Powered Career Guidance &amp; Skill-Roadmap Platform for Indian College Students</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EF1F7"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Sector</w:t>
            </w:r>
          </w:p>
        </w:tc>
        <w:tc>
          <w:tcPr>
            <w:tcW w:type="pct" w:w="65%"/>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EdTech · AI · Career Development · SaaS</w:t>
            </w:r>
          </w:p>
        </w:tc>
      </w:tr>
      <w:tr>
        <w:tc>
          <w:tcPr>
            <w:tcW w:type="pct" w:w="35%"/>
            <w:shd w:fill="EEF1F7"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Primary Market</w:t>
            </w:r>
          </w:p>
        </w:tc>
        <w:tc>
          <w:tcPr>
            <w:tcW w:type="pct" w:w="65%"/>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India (Southeast Asia &amp; Middle East as expansion markets)</w:t>
            </w:r>
          </w:p>
        </w:tc>
      </w:tr>
      <w:tr>
        <w:tc>
          <w:tcPr>
            <w:tcW w:type="pct" w:w="35%"/>
            <w:shd w:fill="EEF1F7"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Stage</w:t>
            </w:r>
          </w:p>
        </w:tc>
        <w:tc>
          <w:tcPr>
            <w:tcW w:type="pct" w:w="65%"/>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Idea Validation — Side Project, long-term startup vision</w:t>
            </w:r>
          </w:p>
        </w:tc>
      </w:tr>
      <w:tr>
        <w:tc>
          <w:tcPr>
            <w:tcW w:type="pct" w:w="35%"/>
            <w:shd w:fill="EEF1F7"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Report Date</w:t>
            </w:r>
          </w:p>
        </w:tc>
        <w:tc>
          <w:tcPr>
            <w:tcW w:type="pct" w:w="65%"/>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14 July 2026</w:t>
            </w:r>
          </w:p>
        </w:tc>
      </w:tr>
      <w:tr>
        <w:tc>
          <w:tcPr>
            <w:tcW w:type="pct" w:w="35%"/>
            <w:shd w:fill="EEF1F7"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Prepared By</w:t>
            </w:r>
          </w:p>
        </w:tc>
        <w:tc>
          <w:tcPr>
            <w:tcW w:type="pct" w:w="65%"/>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Claude — Startup Advisory &amp; Market Research Analysis</w:t>
            </w:r>
          </w:p>
        </w:tc>
      </w:tr>
    </w:tbl>
    <w:p>
      <w:pPr>
        <w:spacing w:after="500"/>
      </w:pPr>
    </w:p>
    <w:p>
      <w:pPr>
        <w:spacing w:after="40"/>
        <w:jc w:val="center"/>
      </w:pPr>
      <w:r>
        <w:rPr>
          <w:rFonts w:ascii="Calibri" w:cs="Calibri" w:eastAsia="Calibri" w:hAnsi="Calibri"/>
          <w:b/>
          <w:bCs/>
          <w:color w:val="5A6472"/>
          <w:sz w:val="20"/>
          <w:szCs w:val="20"/>
        </w:rPr>
        <w:t xml:space="preserve">Overall Viability Score</w:t>
      </w:r>
    </w:p>
    <w:p>
      <w:pPr>
        <w:jc w:val="center"/>
      </w:pPr>
      <w:r>
        <w:rPr>
          <w:rFonts w:ascii="Calibri" w:cs="Calibri" w:eastAsia="Calibri" w:hAnsi="Calibri"/>
          <w:b/>
          <w:bCs/>
          <w:color w:val="B36B00"/>
          <w:sz w:val="30"/>
          <w:szCs w:val="30"/>
        </w:rPr>
        <w:t xml:space="preserve">6.3 / 10  —  CONDITIONAL GO</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 EXECUTIVE SUMMARY</w:t>
      </w:r>
    </w:p>
    <w:p>
      <w:pPr>
        <w:spacing w:after="160" w:line="276"/>
      </w:pPr>
      <w:r>
        <w:rPr>
          <w:rFonts w:ascii="Calibri" w:cs="Calibri" w:eastAsia="Calibri" w:hAnsi="Calibri"/>
          <w:b w:val="false"/>
          <w:bCs w:val="false"/>
          <w:i w:val="false"/>
          <w:iCs w:val="false"/>
          <w:color w:val="2B2B2B"/>
          <w:sz w:val="21"/>
          <w:szCs w:val="21"/>
        </w:rPr>
        <w:t xml:space="preserve">SkillBridge AI proposes an AI-powered career guidance platform for Indian college students and fresh graduates, combining career-path discovery, skill-gap analysis, personalized learning roadmaps, ATS-friendly resume building, and interview preparation into a single product. The idea targets a real and widely-documented pain point: Indian students have abundant learning content but very little personalized, one-to-one guidance on which skills and paths actually fit them.</w:t>
      </w:r>
    </w:p>
    <w:p>
      <w:pPr>
        <w:spacing w:after="160" w:line="276"/>
      </w:pPr>
      <w:r>
        <w:rPr>
          <w:rFonts w:ascii="Calibri" w:cs="Calibri" w:eastAsia="Calibri" w:hAnsi="Calibri"/>
          <w:b w:val="false"/>
          <w:bCs w:val="false"/>
          <w:i w:val="false"/>
          <w:iCs w:val="false"/>
          <w:color w:val="2B2B2B"/>
          <w:sz w:val="21"/>
          <w:szCs w:val="21"/>
        </w:rPr>
        <w:t xml:space="preserve">The business sits inside one of the fastest-growing EdTech markets in the world — India's EdTech sector was valued at roughly USD 3.6–7.5B in 2025 and is projected to grow at a ~28% CAGR through the early 2030s, with AI-personalization cited as the single largest 2026 trend. This is a strong tailwind.</w:t>
      </w:r>
    </w:p>
    <w:p>
      <w:pPr>
        <w:spacing w:after="160" w:line="276"/>
      </w:pPr>
      <w:r>
        <w:rPr>
          <w:rFonts w:ascii="Calibri" w:cs="Calibri" w:eastAsia="Calibri" w:hAnsi="Calibri"/>
          <w:b w:val="false"/>
          <w:bCs w:val="false"/>
          <w:i w:val="false"/>
          <w:iCs w:val="false"/>
          <w:color w:val="2B2B2B"/>
          <w:sz w:val="21"/>
          <w:szCs w:val="21"/>
        </w:rPr>
        <w:t xml:space="preserve">However, the idea is still pre-validation: research so far is secondary (desk research) plus informal feedback from classmates and mentors — a friendly, non-representative sample. There are no paying users, no waitlist, and no structured interviews with strangers in the target segment. The competitive landscape is also crowded with well-funded adjacent players (Unstop, Internshala, LeverageEdu, Mentoria, iDreamCareer) and an emerging wave of generic AI tools (ChatGPT, Gemini, LinkedIn AI features) that can partially substitute for a personalized-guidance product if SkillBridge AI does not clearly differentiate.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6B00" w:val="clear"/>
            <w:tcMar>
              <w:top w:type="dxa" w:w="200"/>
              <w:left w:type="dxa" w:w="260"/>
              <w:bottom w:type="dxa" w:w="200"/>
              <w:right w:type="dxa" w:w="260"/>
            </w:tcMar>
          </w:tcPr>
          <w:p>
            <w:pPr>
              <w:spacing w:after="100"/>
            </w:pPr>
            <w:r>
              <w:rPr>
                <w:rFonts w:ascii="Calibri" w:cs="Calibri" w:eastAsia="Calibri" w:hAnsi="Calibri"/>
                <w:b/>
                <w:bCs/>
                <w:color w:val="FFFFFF"/>
                <w:sz w:val="26"/>
                <w:szCs w:val="26"/>
              </w:rPr>
              <w:t xml:space="preserve">VERDICT: CONDITIONAL GO</w:t>
            </w:r>
          </w:p>
          <w:p>
            <w:r>
              <w:rPr>
                <w:rFonts w:ascii="Calibri" w:cs="Calibri" w:eastAsia="Calibri" w:hAnsi="Calibri"/>
                <w:color w:val="FFFFFF"/>
                <w:sz w:val="20"/>
                <w:szCs w:val="20"/>
              </w:rPr>
              <w:t xml:space="preserve">Proceed to a 30-day lean validation sprint (stranger interviews + a paid pre-sell test) before committing to MVP engineering. The problem is real; the willingness-to-pay and differentiation from free AI tools are the two things that must be proven next.</w:t>
            </w:r>
          </w:p>
        </w:tc>
      </w:tr>
    </w:tbl>
    <w:p>
      <w:pPr>
        <w:spacing w:after="200"/>
      </w:pPr>
    </w:p>
    <w:p>
      <w:pPr>
        <w:spacing w:after="120" w:before="240"/>
      </w:pPr>
      <w:r>
        <w:rPr>
          <w:rFonts w:ascii="Calibri" w:cs="Calibri" w:eastAsia="Calibri" w:hAnsi="Calibri"/>
          <w:b/>
          <w:bCs/>
          <w:color w:val="10233F"/>
          <w:sz w:val="22"/>
          <w:szCs w:val="22"/>
        </w:rPr>
        <w:t xml:space="preserve">Key Scores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40"/>
        <w:gridCol w:w="1260"/>
        <w:gridCol w:w="3600"/>
      </w:tblGrid>
      <w:tr>
        <w:trPr>
          <w:tblHeader/>
        </w:trPr>
        <w:tc>
          <w:tcPr>
            <w:tcW w:type="pct" w:w="4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Dimension</w:t>
            </w:r>
          </w:p>
        </w:tc>
        <w:tc>
          <w:tcPr>
            <w:tcW w:type="pct" w:w="1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Score</w:t>
            </w:r>
          </w:p>
        </w:tc>
        <w:tc>
          <w:tcPr>
            <w:tcW w:type="pct" w:w="4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Read</w:t>
            </w:r>
          </w:p>
        </w:tc>
      </w:tr>
      <w:tr>
        <w:tc>
          <w:tcPr>
            <w:tcW w:type="pct" w:w="4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Problem Validation</w:t>
            </w:r>
          </w:p>
        </w:tc>
        <w:tc>
          <w:tcPr>
            <w:tcW w:type="pct" w:w="1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6.0 / 10</w:t>
            </w:r>
          </w:p>
        </w:tc>
        <w:tc>
          <w:tcPr>
            <w:tcW w:type="pct" w:w="4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Real problem, weak primary evidence</w:t>
            </w:r>
          </w:p>
        </w:tc>
      </w:tr>
      <w:tr>
        <w:tc>
          <w:tcPr>
            <w:tcW w:type="pct" w:w="4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Founder-Market Fit</w:t>
            </w:r>
          </w:p>
        </w:tc>
        <w:tc>
          <w:tcPr>
            <w:tcW w:type="pct" w:w="1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6.5 / 10</w:t>
            </w:r>
          </w:p>
        </w:tc>
        <w:tc>
          <w:tcPr>
            <w:tcW w:type="pct" w:w="4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Strong lived insight, thin operating track record</w:t>
            </w:r>
          </w:p>
        </w:tc>
      </w:tr>
      <w:tr>
        <w:tc>
          <w:tcPr>
            <w:tcW w:type="pct" w:w="4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Market Opportunity (TAM/SAM/SOM)</w:t>
            </w:r>
          </w:p>
        </w:tc>
        <w:tc>
          <w:tcPr>
            <w:tcW w:type="pct" w:w="1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7.5 / 10</w:t>
            </w:r>
          </w:p>
        </w:tc>
        <w:tc>
          <w:tcPr>
            <w:tcW w:type="pct" w:w="4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Large, fast-growing, well-documented market</w:t>
            </w:r>
          </w:p>
        </w:tc>
      </w:tr>
      <w:tr>
        <w:tc>
          <w:tcPr>
            <w:tcW w:type="pct" w:w="4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Competitive Differentiation</w:t>
            </w:r>
          </w:p>
        </w:tc>
        <w:tc>
          <w:tcPr>
            <w:tcW w:type="pct" w:w="1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4.5 / 10</w:t>
            </w:r>
          </w:p>
        </w:tc>
        <w:tc>
          <w:tcPr>
            <w:tcW w:type="pct" w:w="4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Crowded space; AI-wrapper risk is high</w:t>
            </w:r>
          </w:p>
        </w:tc>
      </w:tr>
      <w:tr>
        <w:tc>
          <w:tcPr>
            <w:tcW w:type="pct" w:w="4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Monetization Feasibility</w:t>
            </w:r>
          </w:p>
        </w:tc>
        <w:tc>
          <w:tcPr>
            <w:tcW w:type="pct" w:w="1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5.5 / 10</w:t>
            </w:r>
          </w:p>
        </w:tc>
        <w:tc>
          <w:tcPr>
            <w:tcW w:type="pct" w:w="4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Indian students are highly price-sensitive</w:t>
            </w:r>
          </w:p>
        </w:tc>
      </w:tr>
      <w:tr>
        <w:tc>
          <w:tcPr>
            <w:tcW w:type="pct" w:w="4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Overall Viability</w:t>
            </w:r>
          </w:p>
        </w:tc>
        <w:tc>
          <w:tcPr>
            <w:tcW w:type="pct" w:w="1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6.3 / 10</w:t>
            </w:r>
          </w:p>
        </w:tc>
        <w:tc>
          <w:tcPr>
            <w:tcW w:type="pct" w:w="4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Conditional Go — validate before building</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2. PROBLEM VALIDATION</w:t>
      </w:r>
    </w:p>
    <w:p>
      <w:pPr>
        <w:spacing w:after="160" w:line="276"/>
      </w:pPr>
      <w:r>
        <w:rPr>
          <w:rFonts w:ascii="Calibri" w:cs="Calibri" w:eastAsia="Calibri" w:hAnsi="Calibri"/>
          <w:b w:val="false"/>
          <w:bCs w:val="false"/>
          <w:i w:val="false"/>
          <w:iCs w:val="false"/>
          <w:color w:val="2B2B2B"/>
          <w:sz w:val="21"/>
          <w:szCs w:val="21"/>
        </w:rPr>
        <w:t xml:space="preserve">The core claim — that students waste time learning the "wrong" skills because guidance is generic rather than personalized — is well supported by secondary evidence on India's career-counselling gap (low counselor-to-student ratios, MOOC completion rates under 15%, and persistent employability-skills-gap reporting from bodies such as NASSCOM and India Skills Reports). This makes the problem itself low-risk to validate. What is unvalidated is whether students will act (pay, switch behavior, complete a roadmap) rather than simply agree the problem exists.</w:t>
      </w:r>
    </w:p>
    <w:p>
      <w:pPr>
        <w:spacing w:after="120" w:before="240"/>
      </w:pPr>
      <w:r>
        <w:rPr>
          <w:rFonts w:ascii="Calibri" w:cs="Calibri" w:eastAsia="Calibri" w:hAnsi="Calibri"/>
          <w:b/>
          <w:bCs/>
          <w:color w:val="10233F"/>
          <w:sz w:val="22"/>
          <w:szCs w:val="22"/>
        </w:rPr>
        <w:t xml:space="preserve">Evidence Collected So Far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1440"/>
        <w:gridCol w:w="3420"/>
      </w:tblGrid>
      <w:tr>
        <w:trPr>
          <w:tblHeader/>
        </w:trPr>
        <w:tc>
          <w:tcPr>
            <w:tcW w:type="pct" w:w="3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Evidence Type</w:t>
            </w:r>
          </w:p>
        </w:tc>
        <w:tc>
          <w:tcPr>
            <w:tcW w:type="pct" w:w="1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c>
          <w:tcPr>
            <w:tcW w:type="pct" w:w="1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Strength</w:t>
            </w:r>
          </w:p>
        </w:tc>
        <w:tc>
          <w:tcPr>
            <w:tcW w:type="pct" w:w="3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Secondary/desk market research</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Done</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Moderate</w:t>
            </w:r>
          </w:p>
        </w:tc>
        <w:tc>
          <w:tcPr>
            <w:tcW w:type="pct" w:w="3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Confirms market-level pain, not this specific product</w:t>
            </w:r>
          </w:p>
        </w:tc>
      </w:tr>
      <w:tr>
        <w:tc>
          <w:tcPr>
            <w:tcW w:type="pct" w:w="3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Informal feedback from classmates/mentors</w:t>
            </w:r>
          </w:p>
        </w:tc>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Done</w:t>
            </w:r>
          </w:p>
        </w:tc>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Weak–Moderate</w:t>
            </w:r>
          </w:p>
        </w:tc>
        <w:tc>
          <w:tcPr>
            <w:tcW w:type="pct" w:w="3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Friendly-audience bias; low willingness to disagree</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Structured interviews with strangers in ICP</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 done</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None</w:t>
            </w:r>
          </w:p>
        </w:tc>
        <w:tc>
          <w:tcPr>
            <w:tcW w:type="pct" w:w="3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Highest-priority gap — do this first</w:t>
            </w:r>
          </w:p>
        </w:tc>
      </w:tr>
      <w:tr>
        <w:tc>
          <w:tcPr>
            <w:tcW w:type="pct" w:w="3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Landing page / waitlist signups</w:t>
            </w:r>
          </w:p>
        </w:tc>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 done</w:t>
            </w:r>
          </w:p>
        </w:tc>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None</w:t>
            </w:r>
          </w:p>
        </w:tc>
        <w:tc>
          <w:tcPr>
            <w:tcW w:type="pct" w:w="3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 signal on organic demand yet</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Paid pilot / pre-order</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 done</w:t>
            </w:r>
          </w:p>
        </w:tc>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None</w:t>
            </w:r>
          </w:p>
        </w:tc>
        <w:tc>
          <w:tcPr>
            <w:tcW w:type="pct" w:w="3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 signal on willingness to pay — the biggest open risk</w:t>
            </w:r>
          </w:p>
        </w:tc>
      </w:tr>
    </w:tbl>
    <w:p>
      <w:pPr>
        <w:spacing w:after="160"/>
      </w:pPr>
    </w:p>
    <w:p>
      <w:pPr>
        <w:spacing w:after="120" w:before="240"/>
      </w:pPr>
      <w:r>
        <w:rPr>
          <w:rFonts w:ascii="Calibri" w:cs="Calibri" w:eastAsia="Calibri" w:hAnsi="Calibri"/>
          <w:b/>
          <w:bCs/>
          <w:color w:val="10233F"/>
          <w:sz w:val="22"/>
          <w:szCs w:val="22"/>
        </w:rPr>
        <w:t xml:space="preserve">Read on the Evidence</w:t>
      </w:r>
    </w:p>
    <w:p>
      <w:pPr>
        <w:pStyle w:val="ListParagraph"/>
        <w:numPr>
          <w:ilvl w:val="0"/>
          <w:numId w:val="2"/>
        </w:numPr>
        <w:spacing w:after="90"/>
      </w:pPr>
      <w:r>
        <w:rPr>
          <w:rFonts w:ascii="Calibri" w:cs="Calibri" w:eastAsia="Calibri" w:hAnsi="Calibri"/>
          <w:b w:val="false"/>
          <w:bCs w:val="false"/>
          <w:color w:val="2B2B2B"/>
          <w:sz w:val="21"/>
          <w:szCs w:val="21"/>
        </w:rPr>
        <w:t xml:space="preserve">Problem-level validation: Strong. This is a well-documented, decade-old pain point in Indian higher education, not a novel or speculative one.</w:t>
      </w:r>
    </w:p>
    <w:p>
      <w:pPr>
        <w:pStyle w:val="ListParagraph"/>
        <w:numPr>
          <w:ilvl w:val="0"/>
          <w:numId w:val="2"/>
        </w:numPr>
        <w:spacing w:after="90"/>
      </w:pPr>
      <w:r>
        <w:rPr>
          <w:rFonts w:ascii="Calibri" w:cs="Calibri" w:eastAsia="Calibri" w:hAnsi="Calibri"/>
          <w:b w:val="false"/>
          <w:bCs w:val="false"/>
          <w:color w:val="2B2B2B"/>
          <w:sz w:val="21"/>
          <w:szCs w:val="21"/>
        </w:rPr>
        <w:t xml:space="preserve">Solution-level validation: Weak. No evidence yet that students prefer an AI-guided roadmap over free alternatives (YouTube, ChatGPT, seniors, campus placement cell).</w:t>
      </w:r>
    </w:p>
    <w:p>
      <w:pPr>
        <w:pStyle w:val="ListParagraph"/>
        <w:numPr>
          <w:ilvl w:val="0"/>
          <w:numId w:val="2"/>
        </w:numPr>
        <w:spacing w:after="90"/>
      </w:pPr>
      <w:r>
        <w:rPr>
          <w:rFonts w:ascii="Calibri" w:cs="Calibri" w:eastAsia="Calibri" w:hAnsi="Calibri"/>
          <w:b w:val="false"/>
          <w:bCs w:val="false"/>
          <w:color w:val="2B2B2B"/>
          <w:sz w:val="21"/>
          <w:szCs w:val="21"/>
        </w:rPr>
        <w:t xml:space="preserve">Sampling bias risk: Classmates and mentors are socially motivated to be encouraging. Treat this feedback as directional only, not as validation.</w:t>
      </w:r>
    </w:p>
    <w:p>
      <w:pPr>
        <w:spacing w:after="200"/>
      </w:pPr>
      <w:r>
        <w:rPr>
          <w:rFonts w:ascii="Calibri" w:cs="Calibri" w:eastAsia="Calibri" w:hAnsi="Calibri"/>
          <w:i/>
          <w:iCs/>
          <w:color w:val="5A6472"/>
          <w:sz w:val="18"/>
          <w:szCs w:val="18"/>
        </w:rPr>
        <w:t xml:space="preserve">This is a sensitive area only in the sense that career anxiety is emotionally loaded for students — worth keeping messaging supportive rather than fear-based (e.g., avoid "you're falling behind" framing) as the product is positioned.</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3. FOUNDER-MARKET FIT SCORE</w:t>
      </w:r>
    </w:p>
    <w:p>
      <w:pPr>
        <w:spacing w:after="160" w:line="276"/>
      </w:pPr>
      <w:r>
        <w:rPr>
          <w:rFonts w:ascii="Calibri" w:cs="Calibri" w:eastAsia="Calibri" w:hAnsi="Calibri"/>
          <w:b w:val="false"/>
          <w:bCs w:val="false"/>
          <w:i w:val="false"/>
          <w:iCs w:val="false"/>
          <w:color w:val="2B2B2B"/>
          <w:sz w:val="21"/>
          <w:szCs w:val="21"/>
        </w:rPr>
        <w:t xml:space="preserve">Founder-market fit is assessed on lived proximity to the problem, network access to the target customer, and ability to execute. Two inputs were not provided in the brief (technical/AI build capability and available runway/capital) — these are flagged as assumptions to confirm rather than scored with false confidence.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6"/>
        <w:gridCol w:w="126"/>
        <w:gridCol w:w="468"/>
      </w:tblGrid>
      <w:tr>
        <w:trPr>
          <w:tblHeader/>
        </w:trPr>
        <w:tc>
          <w:tcPr>
            <w:tcW w:type="pct" w:w="3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Dimension</w:t>
            </w:r>
          </w:p>
        </w:tc>
        <w:tc>
          <w:tcPr>
            <w:tcW w:type="pct" w:w="1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Score</w:t>
            </w:r>
          </w:p>
        </w:tc>
        <w:tc>
          <w:tcPr>
            <w:tcW w:type="pct" w:w="5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Rationale</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Personal proximity to problem</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2E7D32"/>
                <w:sz w:val="20"/>
                <w:szCs w:val="20"/>
              </w:rPr>
              <w:t xml:space="preserve">8/10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You are a member of the exact target segment — strong empathy and insight advantage.</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Network access to ICP</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2E7D32"/>
                <w:sz w:val="20"/>
                <w:szCs w:val="20"/>
              </w:rPr>
              <w:t xml:space="preserve">7/10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Direct access to classmates/college network for early testing and feedback loops.</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Domain/counseling expertise</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B36B00"/>
                <w:sz w:val="20"/>
                <w:szCs w:val="20"/>
              </w:rPr>
              <w:t xml:space="preserve">5/10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 indicated background in career counseling, psychometrics, or HR/recruiting — will need advisors or partnerships.</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Technical/AI build capability</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B36B00"/>
                <w:sz w:val="20"/>
                <w:szCs w:val="20"/>
              </w:rPr>
              <w:t xml:space="preserve">5/10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 specified in the brief — assumption; confirm whether you will build, no-code, or hire/co-found.</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Distribution access (colleges, TPOs)</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B36B00"/>
                <w:sz w:val="20"/>
                <w:szCs w:val="20"/>
              </w:rPr>
              <w:t xml:space="preserve">5/10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 institutional relationships mentioned yet; B2B2C channel into colleges is unproven.</w:t>
            </w:r>
          </w:p>
        </w:tc>
      </w:tr>
      <w:tr>
        <w:tc>
          <w:tcPr>
            <w:tcW w:type="pct" w:w="34%"/>
            <w:shd w:fill="FFFFFF" w:val="clear"/>
            <w:tcMar>
              <w:top w:type="dxa" w:w="70"/>
              <w:left w:type="dxa" w:w="120"/>
              <w:bottom w:type="dxa" w:w="70"/>
              <w:right w:type="dxa" w:w="120"/>
            </w:tcMar>
            <w:vAlign w:val="center"/>
          </w:tcPr>
          <w:p>
            <w:r>
              <w:rPr>
                <w:rFonts w:ascii="Calibri" w:cs="Calibri" w:eastAsia="Calibri" w:hAnsi="Calibri"/>
                <w:b/>
                <w:bCs/>
                <w:color w:val="2B2B2B"/>
                <w:sz w:val="19"/>
                <w:szCs w:val="19"/>
              </w:rPr>
              <w:t xml:space="preserve">Capital / runway</w:t>
            </w:r>
          </w:p>
        </w:tc>
        <w:tc>
          <w:tcPr>
            <w:tcW w:type="pct" w:w="14%"/>
            <w:shd w:fill="FFFFFF" w:val="clear"/>
            <w:tcMar>
              <w:top w:type="dxa" w:w="70"/>
              <w:left w:type="dxa" w:w="120"/>
              <w:bottom w:type="dxa" w:w="70"/>
              <w:right w:type="dxa" w:w="120"/>
            </w:tcMar>
            <w:vAlign w:val="center"/>
          </w:tcPr>
          <w:p>
            <w:pPr>
              <w:jc w:val="center"/>
            </w:pPr>
            <w:r>
              <w:rPr>
                <w:rFonts w:ascii="Calibri" w:cs="Calibri" w:eastAsia="Calibri" w:hAnsi="Calibri"/>
                <w:b/>
                <w:bCs/>
                <w:color w:val="B0281E"/>
                <w:sz w:val="20"/>
                <w:szCs w:val="20"/>
              </w:rPr>
              <w:t xml:space="preserve">4/10</w:t>
            </w:r>
          </w:p>
        </w:tc>
        <w:tc>
          <w:tcPr>
            <w:tcW w:type="pct" w:w="5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Side project with presumably limited budget; monetization needs to fund growth or bootstrap slowly.</w:t>
            </w:r>
          </w:p>
        </w:tc>
      </w:tr>
    </w:tbl>
    <w:p>
      <w:pPr>
        <w:spacing w:after="160"/>
      </w:pPr>
    </w:p>
    <w:p>
      <w:pPr>
        <w:spacing w:after="160" w:line="276"/>
      </w:pPr>
      <w:r>
        <w:rPr>
          <w:rFonts w:ascii="Calibri" w:cs="Calibri" w:eastAsia="Calibri" w:hAnsi="Calibri"/>
          <w:b/>
          <w:bCs/>
          <w:i w:val="false"/>
          <w:iCs w:val="false"/>
          <w:color w:val="2B2B2B"/>
          <w:sz w:val="21"/>
          <w:szCs w:val="21"/>
        </w:rPr>
        <w:t xml:space="preserve">Weighted Founder-Market Fit Score: 6.5 / 10 — above average on insight and empathy, below average on execution infrastructure (technical, capital, distribution). This is a common and fixable profile for a solo, early-stage side-project founder — the fix is either recruiting a technical co-founder/advisor or leaning on no-code AI tooling for the MVP.</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4. TAM · SAM · SOM ANALYSIS</w:t>
      </w:r>
    </w:p>
    <w:p>
      <w:pPr>
        <w:spacing w:after="160" w:line="276"/>
      </w:pPr>
      <w:r>
        <w:rPr>
          <w:rFonts w:ascii="Calibri" w:cs="Calibri" w:eastAsia="Calibri" w:hAnsi="Calibri"/>
          <w:b w:val="false"/>
          <w:bCs w:val="false"/>
          <w:i w:val="false"/>
          <w:iCs w:val="false"/>
          <w:color w:val="2B2B2B"/>
          <w:sz w:val="21"/>
          <w:szCs w:val="21"/>
        </w:rPr>
        <w:t xml:space="preserve">India's overall EdTech market was valued at approximately USD 3.6–7.5 billion in 2025 (estimates vary by research house), projected to reach USD 23–33 billion by 2034 at a ~23–28% CAGR, with AI-driven personalization repeatedly cited as the dominant 2026 growth driver. India's higher-education system enrolls roughly 46.5 million students (AISHE, 2025 estimate), making it the world's second-largest higher-education population.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1980"/>
        <w:gridCol w:w="2520"/>
      </w:tblGrid>
      <w:tr>
        <w:trPr>
          <w:tblHeader/>
        </w:trPr>
        <w:tc>
          <w:tcPr>
            <w:tcW w:type="pct" w:w="1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Layer</w:t>
            </w:r>
          </w:p>
        </w:tc>
        <w:tc>
          <w:tcPr>
            <w:tcW w:type="pct" w:w="3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Definition</w:t>
            </w:r>
          </w:p>
        </w:tc>
        <w:tc>
          <w:tcPr>
            <w:tcW w:type="pct" w:w="2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Estimate (India)</w:t>
            </w:r>
          </w:p>
        </w:tc>
        <w:tc>
          <w:tcPr>
            <w:tcW w:type="pct" w:w="2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Basis</w:t>
            </w:r>
          </w:p>
        </w:tc>
      </w:tr>
      <w:tr>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TAM</w:t>
            </w:r>
          </w:p>
        </w:tc>
        <w:tc>
          <w:tcPr>
            <w:tcW w:type="pct" w:w="3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Total India EdTech market — career development, skilling &amp; test-prep segment</w:t>
            </w:r>
          </w:p>
        </w:tc>
        <w:tc>
          <w:tcPr>
            <w:tcW w:type="pct" w:w="2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USD 3.6B (2025), growing ~28% CAGR</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IMARC / MarketsAndMarkets industry estimates</w:t>
            </w:r>
          </w:p>
        </w:tc>
      </w:tr>
      <w:tr>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SAM</w:t>
            </w:r>
          </w:p>
        </w:tc>
        <w:tc>
          <w:tcPr>
            <w:tcW w:type="pct" w:w="3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India college students (final-year + fresh grads, 0–1 yr) with smartphone access and some willingness to pay for career tools</w:t>
            </w:r>
          </w:p>
        </w:tc>
        <w:tc>
          <w:tcPr>
            <w:tcW w:type="pct" w:w="2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9–10M students / ≈ USD 90–150M annual spend pool</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~20% of 46.5M higher-ed enrolment (AISHE) × est. ARPU of ₹800–1,200/yr</w:t>
            </w:r>
          </w:p>
        </w:tc>
      </w:tr>
      <w:tr>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SOM</w:t>
            </w:r>
          </w:p>
        </w:tc>
        <w:tc>
          <w:tcPr>
            <w:tcW w:type="pct" w:w="3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Realistically reachable in Years 1–3 via direct-to-student + limited college partnerships</w:t>
            </w:r>
          </w:p>
        </w:tc>
        <w:tc>
          <w:tcPr>
            <w:tcW w:type="pct" w:w="2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15,000–40,000 paying users / USD 150K–500K ARR by Year 2–3</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0.15–0.4% of SAM — typical bootstrapped freemium capture rate</w:t>
            </w:r>
          </w:p>
        </w:tc>
      </w:tr>
    </w:tbl>
    <w:p>
      <w:pPr>
        <w:spacing w:after="160"/>
      </w:pPr>
    </w:p>
    <w:p>
      <w:pPr>
        <w:spacing w:after="200"/>
      </w:pPr>
      <w:r>
        <w:rPr>
          <w:rFonts w:ascii="Calibri" w:cs="Calibri" w:eastAsia="Calibri" w:hAnsi="Calibri"/>
          <w:i/>
          <w:iCs/>
          <w:color w:val="5A6472"/>
          <w:sz w:val="18"/>
          <w:szCs w:val="18"/>
        </w:rPr>
        <w:t xml:space="preserve">These are top-down/bottoms-up estimates for planning purposes, not audited figures. Treat SAM/SOM as hypotheses to be tightened once real conversion data exists from the 30-day validation sprint.</w:t>
      </w:r>
    </w:p>
    <w:p>
      <w:pPr>
        <w:spacing w:after="120" w:before="240"/>
      </w:pPr>
      <w:r>
        <w:rPr>
          <w:rFonts w:ascii="Calibri" w:cs="Calibri" w:eastAsia="Calibri" w:hAnsi="Calibri"/>
          <w:b/>
          <w:bCs/>
          <w:color w:val="10233F"/>
          <w:sz w:val="22"/>
          <w:szCs w:val="22"/>
        </w:rPr>
        <w:t xml:space="preserve">Interpretation</w:t>
      </w:r>
    </w:p>
    <w:p>
      <w:pPr>
        <w:pStyle w:val="ListParagraph"/>
        <w:numPr>
          <w:ilvl w:val="0"/>
          <w:numId w:val="2"/>
        </w:numPr>
        <w:spacing w:after="90"/>
      </w:pPr>
      <w:r>
        <w:rPr>
          <w:rFonts w:ascii="Calibri" w:cs="Calibri" w:eastAsia="Calibri" w:hAnsi="Calibri"/>
          <w:b w:val="false"/>
          <w:bCs w:val="false"/>
          <w:color w:val="2B2B2B"/>
          <w:sz w:val="21"/>
          <w:szCs w:val="21"/>
        </w:rPr>
        <w:t xml:space="preserve">TAM is large and growing fast — market timing is favorable, not a constraint.</w:t>
      </w:r>
    </w:p>
    <w:p>
      <w:pPr>
        <w:pStyle w:val="ListParagraph"/>
        <w:numPr>
          <w:ilvl w:val="0"/>
          <w:numId w:val="2"/>
        </w:numPr>
        <w:spacing w:after="90"/>
      </w:pPr>
      <w:r>
        <w:rPr>
          <w:rFonts w:ascii="Calibri" w:cs="Calibri" w:eastAsia="Calibri" w:hAnsi="Calibri"/>
          <w:b w:val="false"/>
          <w:bCs w:val="false"/>
          <w:color w:val="2B2B2B"/>
          <w:sz w:val="21"/>
          <w:szCs w:val="21"/>
        </w:rPr>
        <w:t xml:space="preserve">SAM is meaningfully smaller once you filter for willingness-to-pay — Indian students are price-sensitive, and most existing competitors monetize the institution or employer side, not the student directly.</w:t>
      </w:r>
    </w:p>
    <w:p>
      <w:pPr>
        <w:pStyle w:val="ListParagraph"/>
        <w:numPr>
          <w:ilvl w:val="0"/>
          <w:numId w:val="2"/>
        </w:numPr>
        <w:spacing w:after="90"/>
      </w:pPr>
      <w:r>
        <w:rPr>
          <w:rFonts w:ascii="Calibri" w:cs="Calibri" w:eastAsia="Calibri" w:hAnsi="Calibri"/>
          <w:b w:val="false"/>
          <w:bCs w:val="false"/>
          <w:color w:val="2B2B2B"/>
          <w:sz w:val="21"/>
          <w:szCs w:val="21"/>
        </w:rPr>
        <w:t xml:space="preserve">SOM is achievable for a side project scaling into a startup, but only with a working acquisition channel (colleges, campus ambassadors, or strong organic/social content) — this is currently unproven.</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5. COMPETITOR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20"/>
        <w:gridCol w:w="2160"/>
        <w:gridCol w:w="2610"/>
        <w:gridCol w:w="2610"/>
      </w:tblGrid>
      <w:tr>
        <w:trPr>
          <w:tblHeader/>
        </w:trPr>
        <w:tc>
          <w:tcPr>
            <w:tcW w:type="pct" w:w="1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Player</w:t>
            </w:r>
          </w:p>
        </w:tc>
        <w:tc>
          <w:tcPr>
            <w:tcW w:type="pct" w:w="2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Core Focus</w:t>
            </w:r>
          </w:p>
        </w:tc>
        <w:tc>
          <w:tcPr>
            <w:tcW w:type="pct" w:w="29%"/>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Strength</w:t>
            </w:r>
          </w:p>
        </w:tc>
        <w:tc>
          <w:tcPr>
            <w:tcW w:type="pct" w:w="29%"/>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Weakness (your opening)</w:t>
            </w:r>
          </w:p>
        </w:tc>
      </w:tr>
      <w:tr>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LeverageEdu</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Study-abroad admissions + AI academic coach</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Strong funding &amp; brand; AI profile-evaluation tooling</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Priced around counseling fees; optimized for abroad-study, not domestic skill roadmaps</w:t>
            </w:r>
          </w:p>
        </w:tc>
      </w:tr>
      <w:tr>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Unstop (ex-Dare2Compete)</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Hackathons, competitions, hiring challenges</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Massive engagement, gamification, employer brand access</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Discovery/competition-first, not personalized 1:1 career-path guidance</w:t>
            </w:r>
          </w:p>
        </w:tc>
      </w:tr>
      <w:tr>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Internshala</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Internships + generic skill courses</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Huge trusted user base, low-cost courses</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Content is generic and not adaptive to an individual's profile or goals</w:t>
            </w:r>
          </w:p>
        </w:tc>
      </w:tr>
      <w:tr>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Mentoria / iDreamCareer / Univariety</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Psychometric-based career counseling</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Established niche, often sold via schools/colleges (B2B2C)</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Higher price point, human-counselor heavy, less AI-native and less self-serve</w:t>
            </w:r>
          </w:p>
        </w:tc>
      </w:tr>
      <w:tr>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Suraasa / Pesto / Springboard-style bootcamps</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Cohort-based career transformation</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Strong outcomes marketing, structured programs</w:t>
            </w:r>
          </w:p>
        </w:tc>
        <w:tc>
          <w:tcPr>
            <w:tcW w:type="pct" w:w="29%"/>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Expensive, narrow (specific roles), not for early-stage exploration</w:t>
            </w:r>
          </w:p>
        </w:tc>
      </w:tr>
      <w:tr>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Generic AI (ChatGPT, Gemini, LinkedIn AI)</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General-purpose guidance via prompting</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Free or near-free, already habitual for students</w:t>
            </w:r>
          </w:p>
        </w:tc>
        <w:tc>
          <w:tcPr>
            <w:tcW w:type="pct" w:w="29%"/>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 personalized to Indian curricula/job market by default; no structured roadmap or tracking</w:t>
            </w:r>
          </w:p>
        </w:tc>
      </w:tr>
    </w:tbl>
    <w:p>
      <w:pPr>
        <w:spacing w:after="160"/>
      </w:pPr>
    </w:p>
    <w:p>
      <w:pPr>
        <w:spacing w:after="120" w:before="240"/>
      </w:pPr>
      <w:r>
        <w:rPr>
          <w:rFonts w:ascii="Calibri" w:cs="Calibri" w:eastAsia="Calibri" w:hAnsi="Calibri"/>
          <w:b/>
          <w:bCs/>
          <w:color w:val="10233F"/>
          <w:sz w:val="22"/>
          <w:szCs w:val="22"/>
        </w:rPr>
        <w:t xml:space="preserve">Market Gap Analysis</w:t>
      </w:r>
    </w:p>
    <w:p>
      <w:pPr>
        <w:spacing w:after="160" w:line="276"/>
      </w:pPr>
      <w:r>
        <w:rPr>
          <w:rFonts w:ascii="Calibri" w:cs="Calibri" w:eastAsia="Calibri" w:hAnsi="Calibri"/>
          <w:b w:val="false"/>
          <w:bCs w:val="false"/>
          <w:i w:val="false"/>
          <w:iCs w:val="false"/>
          <w:color w:val="2B2B2B"/>
          <w:sz w:val="21"/>
          <w:szCs w:val="21"/>
        </w:rPr>
        <w:t xml:space="preserve">No single player currently combines all four of: (1) AI-personalized career-path + skill-gap mapping, (2) an affordable freemium price point built for students rather than institutions, (3) an end-to-end flow from discovery through resume and interview prep in one product, and (4) explicit focus on Tier-2/Tier-3 India, which is underserved by premium counseling brands. That combination is SkillBridge AI's realistic white space — but it is also the exact space generic LLM tools are expanding into fastest, so the durable moat has to be structured data, tracked progress, and India-specific job-market grounding, not conversational AI alone.</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6. IDEAL CUSTOMER PROFILE (ICP)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pct" w:w="3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Attribute</w:t>
            </w:r>
          </w:p>
        </w:tc>
        <w:tc>
          <w:tcPr>
            <w:tcW w:type="pct" w:w="7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Profile</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Life stage</w:t>
            </w:r>
          </w:p>
        </w:tc>
        <w:tc>
          <w:tcPr>
            <w:tcW w:type="pct" w:w="7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Final-year undergraduate (engineering/tech-leaning first, expand to commerce/arts) or fresh graduate, 0–12 months post-graduation</w:t>
            </w:r>
          </w:p>
        </w:tc>
      </w:tr>
      <w:tr>
        <w:tc>
          <w:tcPr>
            <w:tcW w:type="pct" w:w="3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Age</w:t>
            </w:r>
          </w:p>
        </w:tc>
        <w:tc>
          <w:tcPr>
            <w:tcW w:type="pct" w:w="7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19–24</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Geography</w:t>
            </w:r>
          </w:p>
        </w:tc>
        <w:tc>
          <w:tcPr>
            <w:tcW w:type="pct" w:w="7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Tier-2/Tier-3 India first (lower competitive intensity, high anxiety around placements, price-sensitive but volume-heavy); Tier-1 as secondary wedge</w:t>
            </w:r>
          </w:p>
        </w:tc>
      </w:tr>
      <w:tr>
        <w:tc>
          <w:tcPr>
            <w:tcW w:type="pct" w:w="3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Device/behavior</w:t>
            </w:r>
          </w:p>
        </w:tc>
        <w:tc>
          <w:tcPr>
            <w:tcW w:type="pct" w:w="7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Mobile-first, active on Instagram/YouTube/LinkedIn/WhatsApp groups, comfortable with freemium apps</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Economic profile</w:t>
            </w:r>
          </w:p>
        </w:tc>
        <w:tc>
          <w:tcPr>
            <w:tcW w:type="pct" w:w="7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Middle-income household; willing to spend ₹99–499 on a one-time report before committing to a subscription</w:t>
            </w:r>
          </w:p>
        </w:tc>
      </w:tr>
      <w:tr>
        <w:tc>
          <w:tcPr>
            <w:tcW w:type="pct" w:w="3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Psychographic state</w:t>
            </w:r>
          </w:p>
        </w:tc>
        <w:tc>
          <w:tcPr>
            <w:tcW w:type="pct" w:w="7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Anxious about employability, comparing self to peers, overwhelmed by too much unstructured content online</w:t>
            </w:r>
          </w:p>
        </w:tc>
      </w:tr>
      <w:tr>
        <w:tc>
          <w:tcPr>
            <w:tcW w:type="pct" w:w="3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Secondary buyers</w:t>
            </w:r>
          </w:p>
        </w:tc>
        <w:tc>
          <w:tcPr>
            <w:tcW w:type="pct" w:w="7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Career counselors, training institutes, and universities — potential B2B2C channel and alternate revenue line</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7. BUYER PERSONA</w:t>
      </w:r>
    </w:p>
    <w:p>
      <w:pPr>
        <w:spacing w:after="120" w:before="240"/>
      </w:pPr>
      <w:r>
        <w:rPr>
          <w:rFonts w:ascii="Calibri" w:cs="Calibri" w:eastAsia="Calibri" w:hAnsi="Calibri"/>
          <w:b/>
          <w:bCs/>
          <w:color w:val="10233F"/>
          <w:sz w:val="22"/>
          <w:szCs w:val="22"/>
        </w:rPr>
        <w:t xml:space="preserve">“Confused Career Chetan” — Primary Persona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pct" w:w="2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Field</w:t>
            </w:r>
          </w:p>
        </w:tc>
        <w:tc>
          <w:tcPr>
            <w:tcW w:type="pct" w:w="7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Detail</w:t>
            </w:r>
          </w:p>
        </w:tc>
      </w:tr>
      <w:tr>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Name / Age</w:t>
            </w:r>
          </w:p>
        </w:tc>
        <w:tc>
          <w:tcPr>
            <w:tcW w:type="pct" w:w="7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Chetan, 21</w:t>
            </w:r>
          </w:p>
        </w:tc>
      </w:tr>
      <w:tr>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Background</w:t>
            </w:r>
          </w:p>
        </w:tc>
        <w:tc>
          <w:tcPr>
            <w:tcW w:type="pct" w:w="7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3rd/4th-year B.Tech student at a Tier-2 city engineering college; average academic performance, no strong mentor at home</w:t>
            </w:r>
          </w:p>
        </w:tc>
      </w:tr>
      <w:tr>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Goal</w:t>
            </w:r>
          </w:p>
        </w:tc>
        <w:tc>
          <w:tcPr>
            <w:tcW w:type="pct" w:w="7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Land a stable, well-paying job within 6 months of graduating — but unsure whether to pursue core engineering, IT services, product roles, or a certification-led pivot</w:t>
            </w:r>
          </w:p>
        </w:tc>
      </w:tr>
      <w:tr>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Frustrations</w:t>
            </w:r>
          </w:p>
        </w:tc>
        <w:tc>
          <w:tcPr>
            <w:tcW w:type="pct" w:w="7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Too many YouTube videos and course ads, all contradicting each other; seniors give inconsistent advice; college placement cell is generic and overloaded</w:t>
            </w:r>
          </w:p>
        </w:tc>
      </w:tr>
      <w:tr>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Trigger to search for help</w:t>
            </w:r>
          </w:p>
        </w:tc>
        <w:tc>
          <w:tcPr>
            <w:tcW w:type="pct" w:w="7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Placement season starting, or a rejected application, or a viral LinkedIn/Instagram post about AI "replacing jobs"</w:t>
            </w:r>
          </w:p>
        </w:tc>
      </w:tr>
      <w:tr>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Willingness to pay</w:t>
            </w:r>
          </w:p>
        </w:tc>
        <w:tc>
          <w:tcPr>
            <w:tcW w:type="pct" w:w="7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Hesitant on subscriptions; open to a one-time low-cost report (₹99–₹299) if it feels credible and personalized</w:t>
            </w:r>
          </w:p>
        </w:tc>
      </w:tr>
      <w:tr>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Deciding factor</w:t>
            </w:r>
          </w:p>
        </w:tc>
        <w:tc>
          <w:tcPr>
            <w:tcW w:type="pct" w:w="7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Social proof — reviews or referrals from students at his own or a similar college matter more than brand advertising</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8. CUSTOMER PAIN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6"/>
        <w:gridCol w:w="216"/>
        <w:gridCol w:w="216"/>
        <w:gridCol w:w="396"/>
      </w:tblGrid>
      <w:tr>
        <w:trPr>
          <w:tblHeader/>
        </w:trPr>
        <w:tc>
          <w:tcPr>
            <w:tcW w:type="pct" w:w="33%"/>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Pain Point</w:t>
            </w:r>
          </w:p>
        </w:tc>
        <w:tc>
          <w:tcPr>
            <w:tcW w:type="pct" w:w="1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Frequency</w:t>
            </w:r>
          </w:p>
        </w:tc>
        <w:tc>
          <w:tcPr>
            <w:tcW w:type="pct" w:w="1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Severity</w:t>
            </w:r>
          </w:p>
        </w:tc>
        <w:tc>
          <w:tcPr>
            <w:tcW w:type="pct" w:w="31%"/>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Currently Solved By</w:t>
            </w:r>
          </w:p>
        </w:tc>
      </w:tr>
      <w:tr>
        <w:tc>
          <w:tcPr>
            <w:tcW w:type="pct" w:w="33%"/>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Don't know which skills/path fit their interests and aptitude</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Very High</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w:t>
            </w:r>
          </w:p>
        </w:tc>
        <w:tc>
          <w:tcPr>
            <w:tcW w:type="pct" w:w="31%"/>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Nothing structured — guesswork, peer copying</w:t>
            </w:r>
          </w:p>
        </w:tc>
      </w:tr>
      <w:tr>
        <w:tc>
          <w:tcPr>
            <w:tcW w:type="pct" w:w="33%"/>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Resume gets rejected by ATS filters without explanation</w:t>
            </w:r>
          </w:p>
        </w:tc>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w:t>
            </w:r>
          </w:p>
        </w:tc>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w:t>
            </w:r>
          </w:p>
        </w:tc>
        <w:tc>
          <w:tcPr>
            <w:tcW w:type="pct" w:w="31%"/>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Generic templates, paid freelancers</w:t>
            </w:r>
          </w:p>
        </w:tc>
      </w:tr>
      <w:tr>
        <w:tc>
          <w:tcPr>
            <w:tcW w:type="pct" w:w="33%"/>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Overwhelmed by too many free resources, no clear sequence</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Very High</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Medium</w:t>
            </w:r>
          </w:p>
        </w:tc>
        <w:tc>
          <w:tcPr>
            <w:tcW w:type="pct" w:w="31%"/>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Random YouTube playlists, ChatGPT prompting</w:t>
            </w:r>
          </w:p>
        </w:tc>
      </w:tr>
      <w:tr>
        <w:tc>
          <w:tcPr>
            <w:tcW w:type="pct" w:w="33%"/>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Interview anxiety / no realistic mock practice</w:t>
            </w:r>
          </w:p>
        </w:tc>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Medium</w:t>
            </w:r>
          </w:p>
        </w:tc>
        <w:tc>
          <w:tcPr>
            <w:tcW w:type="pct" w:w="1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w:t>
            </w:r>
          </w:p>
        </w:tc>
        <w:tc>
          <w:tcPr>
            <w:tcW w:type="pct" w:w="31%"/>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Friends, occasionally paid mock-interview services</w:t>
            </w:r>
          </w:p>
        </w:tc>
      </w:tr>
      <w:tr>
        <w:tc>
          <w:tcPr>
            <w:tcW w:type="pct" w:w="33%"/>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Career counseling is expensive or unavailable in Tier-2/3 cities</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Medium</w:t>
            </w:r>
          </w:p>
        </w:tc>
        <w:tc>
          <w:tcPr>
            <w:tcW w:type="pct" w:w="1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Medium</w:t>
            </w:r>
          </w:p>
        </w:tc>
        <w:tc>
          <w:tcPr>
            <w:tcW w:type="pct" w:w="31%"/>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Nothing accessible locally</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9. BUYING TRIGGERS &amp; OBJECTIONS</w:t>
      </w:r>
    </w:p>
    <w:p>
      <w:pPr>
        <w:spacing w:after="120" w:before="240"/>
      </w:pPr>
      <w:r>
        <w:rPr>
          <w:rFonts w:ascii="Calibri" w:cs="Calibri" w:eastAsia="Calibri" w:hAnsi="Calibri"/>
          <w:b/>
          <w:bCs/>
          <w:color w:val="10233F"/>
          <w:sz w:val="22"/>
          <w:szCs w:val="22"/>
        </w:rPr>
        <w:t xml:space="preserve">Buying Triggers</w:t>
      </w:r>
    </w:p>
    <w:p>
      <w:pPr>
        <w:pStyle w:val="ListParagraph"/>
        <w:numPr>
          <w:ilvl w:val="0"/>
          <w:numId w:val="2"/>
        </w:numPr>
        <w:spacing w:after="90"/>
      </w:pPr>
      <w:r>
        <w:rPr>
          <w:rFonts w:ascii="Calibri" w:cs="Calibri" w:eastAsia="Calibri" w:hAnsi="Calibri"/>
          <w:b w:val="false"/>
          <w:bCs w:val="false"/>
          <w:color w:val="2B2B2B"/>
          <w:sz w:val="21"/>
          <w:szCs w:val="21"/>
        </w:rPr>
        <w:t xml:space="preserve">Placement season approaching (typically Aug–Dec on Indian campuses).</w:t>
      </w:r>
    </w:p>
    <w:p>
      <w:pPr>
        <w:pStyle w:val="ListParagraph"/>
        <w:numPr>
          <w:ilvl w:val="0"/>
          <w:numId w:val="2"/>
        </w:numPr>
        <w:spacing w:after="90"/>
      </w:pPr>
      <w:r>
        <w:rPr>
          <w:rFonts w:ascii="Calibri" w:cs="Calibri" w:eastAsia="Calibri" w:hAnsi="Calibri"/>
          <w:b w:val="false"/>
          <w:bCs w:val="false"/>
          <w:color w:val="2B2B2B"/>
          <w:sz w:val="21"/>
          <w:szCs w:val="21"/>
        </w:rPr>
        <w:t xml:space="preserve">A resume rejection or a failed interview — an acute, emotionally motivating moment.</w:t>
      </w:r>
    </w:p>
    <w:p>
      <w:pPr>
        <w:pStyle w:val="ListParagraph"/>
        <w:numPr>
          <w:ilvl w:val="0"/>
          <w:numId w:val="2"/>
        </w:numPr>
        <w:spacing w:after="90"/>
      </w:pPr>
      <w:r>
        <w:rPr>
          <w:rFonts w:ascii="Calibri" w:cs="Calibri" w:eastAsia="Calibri" w:hAnsi="Calibri"/>
          <w:b w:val="false"/>
          <w:bCs w:val="false"/>
          <w:color w:val="2B2B2B"/>
          <w:sz w:val="21"/>
          <w:szCs w:val="21"/>
        </w:rPr>
        <w:t xml:space="preserve">Peer comparison — seeing a friend land an offer or internship.</w:t>
      </w:r>
    </w:p>
    <w:p>
      <w:pPr>
        <w:pStyle w:val="ListParagraph"/>
        <w:numPr>
          <w:ilvl w:val="0"/>
          <w:numId w:val="2"/>
        </w:numPr>
        <w:spacing w:after="90"/>
      </w:pPr>
      <w:r>
        <w:rPr>
          <w:rFonts w:ascii="Calibri" w:cs="Calibri" w:eastAsia="Calibri" w:hAnsi="Calibri"/>
          <w:b w:val="false"/>
          <w:bCs w:val="false"/>
          <w:color w:val="2B2B2B"/>
          <w:sz w:val="21"/>
          <w:szCs w:val="21"/>
        </w:rPr>
        <w:t xml:space="preserve">Viral social content about AI disrupting jobs, creating urgency to "skill up."</w:t>
      </w:r>
    </w:p>
    <w:p>
      <w:pPr>
        <w:pStyle w:val="ListParagraph"/>
        <w:numPr>
          <w:ilvl w:val="0"/>
          <w:numId w:val="2"/>
        </w:numPr>
        <w:spacing w:after="90"/>
      </w:pPr>
      <w:r>
        <w:rPr>
          <w:rFonts w:ascii="Calibri" w:cs="Calibri" w:eastAsia="Calibri" w:hAnsi="Calibri"/>
          <w:b w:val="false"/>
          <w:bCs w:val="false"/>
          <w:color w:val="2B2B2B"/>
          <w:sz w:val="21"/>
          <w:szCs w:val="21"/>
        </w:rPr>
        <w:t xml:space="preserve">Semester break — more free time to invest in a structured roadmap.</w:t>
      </w:r>
    </w:p>
    <w:p>
      <w:pPr>
        <w:spacing w:after="120" w:before="240"/>
      </w:pPr>
      <w:r>
        <w:rPr>
          <w:rFonts w:ascii="Calibri" w:cs="Calibri" w:eastAsia="Calibri" w:hAnsi="Calibri"/>
          <w:b/>
          <w:bCs/>
          <w:color w:val="10233F"/>
          <w:sz w:val="22"/>
          <w:szCs w:val="22"/>
        </w:rPr>
        <w:t xml:space="preserve">Likely Objections</w:t>
      </w:r>
    </w:p>
    <w:p>
      <w:pPr>
        <w:pStyle w:val="ListParagraph"/>
        <w:numPr>
          <w:ilvl w:val="0"/>
          <w:numId w:val="2"/>
        </w:numPr>
        <w:spacing w:after="90"/>
      </w:pPr>
      <w:r>
        <w:rPr>
          <w:rFonts w:ascii="Calibri" w:cs="Calibri" w:eastAsia="Calibri" w:hAnsi="Calibri"/>
          <w:b w:val="false"/>
          <w:bCs w:val="false"/>
          <w:color w:val="2B2B2B"/>
          <w:sz w:val="21"/>
          <w:szCs w:val="21"/>
        </w:rPr>
        <w:t xml:space="preserve">“Can't I just ask ChatGPT for free?” — the single biggest objection to prepare for.</w:t>
      </w:r>
    </w:p>
    <w:p>
      <w:pPr>
        <w:pStyle w:val="ListParagraph"/>
        <w:numPr>
          <w:ilvl w:val="0"/>
          <w:numId w:val="2"/>
        </w:numPr>
        <w:spacing w:after="90"/>
      </w:pPr>
      <w:r>
        <w:rPr>
          <w:rFonts w:ascii="Calibri" w:cs="Calibri" w:eastAsia="Calibri" w:hAnsi="Calibri"/>
          <w:b w:val="false"/>
          <w:bCs w:val="false"/>
          <w:color w:val="2B2B2B"/>
          <w:sz w:val="21"/>
          <w:szCs w:val="21"/>
        </w:rPr>
        <w:t xml:space="preserve">“Is this just another career counselor with an app wrapper?” — differentiation must be visible in the first session.</w:t>
      </w:r>
    </w:p>
    <w:p>
      <w:pPr>
        <w:pStyle w:val="ListParagraph"/>
        <w:numPr>
          <w:ilvl w:val="0"/>
          <w:numId w:val="2"/>
        </w:numPr>
        <w:spacing w:after="90"/>
      </w:pPr>
      <w:r>
        <w:rPr>
          <w:rFonts w:ascii="Calibri" w:cs="Calibri" w:eastAsia="Calibri" w:hAnsi="Calibri"/>
          <w:b w:val="false"/>
          <w:bCs w:val="false"/>
          <w:color w:val="2B2B2B"/>
          <w:sz w:val="21"/>
          <w:szCs w:val="21"/>
        </w:rPr>
        <w:t xml:space="preserve">“How do I know the AI's career advice is accurate for the Indian job market?” — trust/credibility gap for a new, unbranded product.</w:t>
      </w:r>
    </w:p>
    <w:p>
      <w:pPr>
        <w:pStyle w:val="ListParagraph"/>
        <w:numPr>
          <w:ilvl w:val="0"/>
          <w:numId w:val="2"/>
        </w:numPr>
        <w:spacing w:after="90"/>
      </w:pPr>
      <w:r>
        <w:rPr>
          <w:rFonts w:ascii="Calibri" w:cs="Calibri" w:eastAsia="Calibri" w:hAnsi="Calibri"/>
          <w:b w:val="false"/>
          <w:bCs w:val="false"/>
          <w:color w:val="2B2B2B"/>
          <w:sz w:val="21"/>
          <w:szCs w:val="21"/>
        </w:rPr>
        <w:t xml:space="preserve">Price sensitivity — any subscription ask before demonstrated value will suppress conversion.</w:t>
      </w:r>
    </w:p>
    <w:p>
      <w:pPr>
        <w:pStyle w:val="ListParagraph"/>
        <w:numPr>
          <w:ilvl w:val="0"/>
          <w:numId w:val="2"/>
        </w:numPr>
        <w:spacing w:after="90"/>
      </w:pPr>
      <w:r>
        <w:rPr>
          <w:rFonts w:ascii="Calibri" w:cs="Calibri" w:eastAsia="Calibri" w:hAnsi="Calibri"/>
          <w:b w:val="false"/>
          <w:bCs w:val="false"/>
          <w:color w:val="2B2B2B"/>
          <w:sz w:val="21"/>
          <w:szCs w:val="21"/>
        </w:rPr>
        <w:t xml:space="preserve">“Will my data (resume, goals) be shared or sold?” — privacy concern for a first-time user.</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10. CUSTOMER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160"/>
        <w:gridCol w:w="2880"/>
      </w:tblGrid>
      <w:tr>
        <w:trPr>
          <w:tblHeader/>
        </w:trPr>
        <w:tc>
          <w:tcPr>
            <w:tcW w:type="pct" w:w="1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Stage</w:t>
            </w:r>
          </w:p>
        </w:tc>
        <w:tc>
          <w:tcPr>
            <w:tcW w:type="pct" w:w="2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Student State of Mind</w:t>
            </w:r>
          </w:p>
        </w:tc>
        <w:tc>
          <w:tcPr>
            <w:tcW w:type="pct" w:w="2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Channel</w:t>
            </w:r>
          </w:p>
        </w:tc>
        <w:tc>
          <w:tcPr>
            <w:tcW w:type="pct" w:w="3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SkillBridge AI's Role</w:t>
            </w:r>
          </w:p>
        </w:tc>
      </w:tr>
      <w:tr>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Awareness</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“I'm anxious about placements and don't know where to start”</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Instagram/YouTube content, campus word-of-mouth, college groups</w:t>
            </w:r>
          </w:p>
        </w:tc>
        <w:tc>
          <w:tcPr>
            <w:tcW w:type="pct" w:w="3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Bite-sized, non-alarming educational content that names the problem</w:t>
            </w:r>
          </w:p>
        </w:tc>
      </w:tr>
      <w:tr>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Consideration</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“Is this worth my time vs. free tools?”</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Landing page, testimonials, free mini-assessment</w:t>
            </w:r>
          </w:p>
        </w:tc>
        <w:tc>
          <w:tcPr>
            <w:tcW w:type="pct" w:w="3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A fast, low-friction free assessment that gives one genuinely useful insight</w:t>
            </w:r>
          </w:p>
        </w:tc>
      </w:tr>
      <w:tr>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Trial / Activation</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“Let me see if this actually understands my profile”</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In-app onboarding, first roadmap generated</w:t>
            </w:r>
          </w:p>
        </w:tc>
        <w:tc>
          <w:tcPr>
            <w:tcW w:type="pct" w:w="3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Deliver a specific, personalized roadmap in the first session — the make-or-break moment</w:t>
            </w:r>
          </w:p>
        </w:tc>
      </w:tr>
      <w:tr>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Conversion</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“Is the paid version worth ₹X?”</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In-app upsell, low-cost one-time report</w:t>
            </w:r>
          </w:p>
        </w:tc>
        <w:tc>
          <w:tcPr>
            <w:tcW w:type="pct" w:w="3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Low-friction one-time purchase before asking for a recurring subscription</w:t>
            </w:r>
          </w:p>
        </w:tc>
      </w:tr>
      <w:tr>
        <w:tc>
          <w:tcPr>
            <w:tcW w:type="pct" w:w="1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Retention</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“Is this still helping me month to month?”</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Progress tracking, reminders, milestone nudges</w:t>
            </w:r>
          </w:p>
        </w:tc>
        <w:tc>
          <w:tcPr>
            <w:tcW w:type="pct" w:w="3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Visible progress against the roadmap; keeps the product relevant beyond one-time use</w:t>
            </w:r>
          </w:p>
        </w:tc>
      </w:tr>
      <w:tr>
        <w:tc>
          <w:tcPr>
            <w:tcW w:type="pct" w:w="1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Referral</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“This actually helped, my friend should try it”</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Peer sharing, campus ambassadors</w:t>
            </w:r>
          </w:p>
        </w:tc>
        <w:tc>
          <w:tcPr>
            <w:tcW w:type="pct" w:w="3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Referral incentives; campus-level word-of-mouth loops</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11.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
        <w:gridCol w:w="130"/>
        <w:gridCol w:w="130"/>
        <w:gridCol w:w="634"/>
      </w:tblGrid>
      <w:tr>
        <w:trPr>
          <w:tblHeader/>
        </w:trPr>
        <w:tc>
          <w:tcPr>
            <w:tcW w:type="pct" w:w="2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c>
          <w:tcPr>
            <w:tcW w:type="pct" w:w="1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Likelihood</w:t>
            </w:r>
          </w:p>
        </w:tc>
        <w:tc>
          <w:tcPr>
            <w:tcW w:type="pct" w:w="1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Impact</w:t>
            </w:r>
          </w:p>
        </w:tc>
        <w:tc>
          <w:tcPr>
            <w:tcW w:type="pct" w:w="5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Mitigation</w:t>
            </w:r>
          </w:p>
        </w:tc>
      </w:tr>
      <w:tr>
        <w:tc>
          <w:tcPr>
            <w:tcW w:type="pct" w:w="2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Commoditization by free general-purpose AI (ChatGPT, Gemini, LinkedIn AI features)</w:t>
            </w:r>
          </w:p>
        </w:tc>
        <w:tc>
          <w:tcPr>
            <w:tcW w:type="pct" w:w="15%"/>
            <w:shd w:fill="B0281E"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HIGH</w:t>
            </w:r>
          </w:p>
        </w:tc>
        <w:tc>
          <w:tcPr>
            <w:tcW w:type="pct" w:w="15%"/>
            <w:shd w:fill="B0281E"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HIGH</w:t>
            </w:r>
          </w:p>
        </w:tc>
        <w:tc>
          <w:tcPr>
            <w:tcW w:type="pct" w:w="5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Build a structured, India-specific data layer (curricula, job-market signals, tracked progress) that a raw chatbot doesn't replicate; don't compete on “conversational AI” alone.</w:t>
            </w:r>
          </w:p>
        </w:tc>
      </w:tr>
      <w:tr>
        <w:tc>
          <w:tcPr>
            <w:tcW w:type="pct" w:w="2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Low willingness to pay among students</w:t>
            </w:r>
          </w:p>
        </w:tc>
        <w:tc>
          <w:tcPr>
            <w:tcW w:type="pct" w:w="15%"/>
            <w:shd w:fill="B0281E"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HIGH</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5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Test a low-cost one-time report before a subscription; explore B2B2C (colleges/training institutes) as a less price-sensitive revenue line.</w:t>
            </w:r>
          </w:p>
        </w:tc>
      </w:tr>
      <w:tr>
        <w:tc>
          <w:tcPr>
            <w:tcW w:type="pct" w:w="2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Crowded competitive landscape with funded incumbents</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15%"/>
            <w:shd w:fill="B0281E"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HIGH</w:t>
            </w:r>
          </w:p>
        </w:tc>
        <w:tc>
          <w:tcPr>
            <w:tcW w:type="pct" w:w="5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Win a narrow wedge first (e.g., Tier-2/3 engineering-to-tech transition) rather than competing broadly on day one.</w:t>
            </w:r>
          </w:p>
        </w:tc>
      </w:tr>
      <w:tr>
        <w:tc>
          <w:tcPr>
            <w:tcW w:type="pct" w:w="2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High customer acquisition cost via colleges/campuses</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15%"/>
            <w:shd w:fill="B0281E"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HIGH</w:t>
            </w:r>
          </w:p>
        </w:tc>
        <w:tc>
          <w:tcPr>
            <w:tcW w:type="pct" w:w="5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Lean on organic content and referral loops before paid acquisition; pilot with 1–2 colleges rather than a broad rollout.</w:t>
            </w:r>
          </w:p>
        </w:tc>
      </w:tr>
      <w:tr>
        <w:tc>
          <w:tcPr>
            <w:tcW w:type="pct" w:w="2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AI advice quality/liability — a wrong recommendation has real consequences</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5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Ground outputs in structured data (not free-form generation alone); always frame as guidance, not guarantees; add human-review option for premium tier.</w:t>
            </w:r>
          </w:p>
        </w:tc>
      </w:tr>
      <w:tr>
        <w:tc>
          <w:tcPr>
            <w:tcW w:type="pct" w:w="2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Solo/side-project bandwidth constraint</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15%"/>
            <w:shd w:fill="B36B00"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MEDIUM</w:t>
            </w:r>
          </w:p>
        </w:tc>
        <w:tc>
          <w:tcPr>
            <w:tcW w:type="pct" w:w="5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Scope the MVP to one wedge feature (e.g., resume + roadmap) instead of the full six-feature vision; expand after validation.</w:t>
            </w:r>
          </w:p>
        </w:tc>
      </w:tr>
    </w:tbl>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12. PIVOT OPPORTUNITIES</w:t>
      </w:r>
    </w:p>
    <w:p>
      <w:pPr>
        <w:pStyle w:val="ListParagraph"/>
        <w:numPr>
          <w:ilvl w:val="0"/>
          <w:numId w:val="2"/>
        </w:numPr>
        <w:spacing w:after="90"/>
      </w:pPr>
      <w:r>
        <w:rPr>
          <w:rFonts w:ascii="Calibri" w:cs="Calibri" w:eastAsia="Calibri" w:hAnsi="Calibri"/>
          <w:b w:val="false"/>
          <w:bCs w:val="false"/>
          <w:color w:val="2B2B2B"/>
          <w:sz w:val="21"/>
          <w:szCs w:val="21"/>
        </w:rPr>
        <w:t xml:space="preserve">B2B2C to colleges &amp; training institutes: sell a career-guidance dashboard to placement cells/institutes as a recurring institutional subscription — less price-sensitive than direct-to-student, and matches your listed “secondary customers.”</w:t>
      </w:r>
    </w:p>
    <w:p>
      <w:pPr>
        <w:pStyle w:val="ListParagraph"/>
        <w:numPr>
          <w:ilvl w:val="0"/>
          <w:numId w:val="2"/>
        </w:numPr>
        <w:spacing w:after="90"/>
      </w:pPr>
      <w:r>
        <w:rPr>
          <w:rFonts w:ascii="Calibri" w:cs="Calibri" w:eastAsia="Calibri" w:hAnsi="Calibri"/>
          <w:b w:val="false"/>
          <w:bCs w:val="false"/>
          <w:color w:val="2B2B2B"/>
          <w:sz w:val="21"/>
          <w:szCs w:val="21"/>
        </w:rPr>
        <w:t xml:space="preserve">Narrow the wedge: focus exclusively on one high-anxiety moment — e.g., AI-powered resume + ATS scoring — as a standalone paid product, then expand into the full roadmap suite once that wedge has traction.</w:t>
      </w:r>
    </w:p>
    <w:p>
      <w:pPr>
        <w:pStyle w:val="ListParagraph"/>
        <w:numPr>
          <w:ilvl w:val="0"/>
          <w:numId w:val="2"/>
        </w:numPr>
        <w:spacing w:after="90"/>
      </w:pPr>
      <w:r>
        <w:rPr>
          <w:rFonts w:ascii="Calibri" w:cs="Calibri" w:eastAsia="Calibri" w:hAnsi="Calibri"/>
          <w:b w:val="false"/>
          <w:bCs w:val="false"/>
          <w:color w:val="2B2B2B"/>
          <w:sz w:val="21"/>
          <w:szCs w:val="21"/>
        </w:rPr>
        <w:t xml:space="preserve">White-label AI co-pilot for existing career counselors and training institutes, positioning SkillBridge AI as infrastructure rather than a direct-to-student competitor to Mentoria/iDreamCareer.</w:t>
      </w:r>
    </w:p>
    <w:p>
      <w:pPr>
        <w:pStyle w:val="ListParagraph"/>
        <w:numPr>
          <w:ilvl w:val="0"/>
          <w:numId w:val="2"/>
        </w:numPr>
        <w:spacing w:after="90"/>
      </w:pPr>
      <w:r>
        <w:rPr>
          <w:rFonts w:ascii="Calibri" w:cs="Calibri" w:eastAsia="Calibri" w:hAnsi="Calibri"/>
          <w:b w:val="false"/>
          <w:bCs w:val="false"/>
          <w:color w:val="2B2B2B"/>
          <w:sz w:val="21"/>
          <w:szCs w:val="21"/>
        </w:rPr>
        <w:t xml:space="preserve">Vertical specialization: instead of “all careers for all students,” own one transition deeply — e.g., “engineering student → tech/product career” — where personalization and India-specific job data are hardest for generic AI tools to replicate.</w:t>
      </w:r>
    </w:p>
    <w:p>
      <w:pPr>
        <w:pStyle w:val="ListParagraph"/>
        <w:numPr>
          <w:ilvl w:val="0"/>
          <w:numId w:val="2"/>
        </w:numPr>
        <w:spacing w:after="90"/>
      </w:pPr>
      <w:r>
        <w:rPr>
          <w:rFonts w:ascii="Calibri" w:cs="Calibri" w:eastAsia="Calibri" w:hAnsi="Calibri"/>
          <w:b w:val="false"/>
          <w:bCs w:val="false"/>
          <w:color w:val="2B2B2B"/>
          <w:sz w:val="21"/>
          <w:szCs w:val="21"/>
        </w:rPr>
        <w:t xml:space="preserve">Geography-first wedge: dominate Tier-2/3 city colleges specifically, where premium counseling brands (LeverageEdu, Mentoria) have weaker penetration and price sensitivity is better matched by a freemium model.</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13. GO / NO-GO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6B00" w:val="clear"/>
            <w:tcMar>
              <w:top w:type="dxa" w:w="200"/>
              <w:left w:type="dxa" w:w="260"/>
              <w:bottom w:type="dxa" w:w="200"/>
              <w:right w:type="dxa" w:w="260"/>
            </w:tcMar>
          </w:tcPr>
          <w:p>
            <w:pPr>
              <w:spacing w:after="100"/>
            </w:pPr>
            <w:r>
              <w:rPr>
                <w:rFonts w:ascii="Calibri" w:cs="Calibri" w:eastAsia="Calibri" w:hAnsi="Calibri"/>
                <w:b/>
                <w:bCs/>
                <w:color w:val="FFFFFF"/>
                <w:sz w:val="26"/>
                <w:szCs w:val="26"/>
              </w:rPr>
              <w:t xml:space="preserve">CONDITIONAL GO</w:t>
            </w:r>
          </w:p>
          <w:p>
            <w:r>
              <w:rPr>
                <w:rFonts w:ascii="Calibri" w:cs="Calibri" w:eastAsia="Calibri" w:hAnsi="Calibri"/>
                <w:color w:val="FFFFFF"/>
                <w:sz w:val="20"/>
                <w:szCs w:val="20"/>
              </w:rPr>
              <w:t xml:space="preserve">The problem is real and the market is large and growing. But the two highest-risk unknowns — differentiation from free AI tools, and willingness to pay — are both untested. Do not start full MVP engineering yet. Run the 30-day validation sprint below and convert to a full GO only if the exit criteria are met.</w:t>
            </w:r>
          </w:p>
        </w:tc>
      </w:tr>
    </w:tbl>
    <w:p>
      <w:pPr>
        <w:spacing w:after="200"/>
      </w:pPr>
    </w:p>
    <w:p>
      <w:pPr>
        <w:spacing w:after="120" w:before="240"/>
      </w:pPr>
      <w:r>
        <w:rPr>
          <w:rFonts w:ascii="Calibri" w:cs="Calibri" w:eastAsia="Calibri" w:hAnsi="Calibri"/>
          <w:b/>
          <w:bCs/>
          <w:color w:val="10233F"/>
          <w:sz w:val="22"/>
          <w:szCs w:val="22"/>
        </w:rPr>
        <w:t xml:space="preserve">Exit Criteria to Convert to Full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240"/>
      </w:tblGrid>
      <w:tr>
        <w:trPr>
          <w:tblHeader/>
        </w:trPr>
        <w:tc>
          <w:tcPr>
            <w:tcW w:type="pct" w:w="4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Criterion</w:t>
            </w:r>
          </w:p>
        </w:tc>
        <w:tc>
          <w:tcPr>
            <w:tcW w:type="pct" w:w="24%"/>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Target</w:t>
            </w:r>
          </w:p>
        </w:tc>
        <w:tc>
          <w:tcPr>
            <w:tcW w:type="pct" w:w="36%"/>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Why It Matters</w:t>
            </w:r>
          </w:p>
        </w:tc>
      </w:tr>
      <w:tr>
        <w:tc>
          <w:tcPr>
            <w:tcW w:type="pct" w:w="4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Stranger interviews completed (not classmates)</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20</w:t>
            </w:r>
          </w:p>
        </w:tc>
        <w:tc>
          <w:tcPr>
            <w:tcW w:type="pct" w:w="3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Removes friendly-audience bias from problem validation</w:t>
            </w:r>
          </w:p>
        </w:tc>
      </w:tr>
      <w:tr>
        <w:tc>
          <w:tcPr>
            <w:tcW w:type="pct" w:w="4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Interviewees who say they'd pay for a solution</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50%</w:t>
            </w:r>
          </w:p>
        </w:tc>
        <w:tc>
          <w:tcPr>
            <w:tcW w:type="pct" w:w="3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Tests real willingness-to-pay, not polite agreement</w:t>
            </w:r>
          </w:p>
        </w:tc>
      </w:tr>
      <w:tr>
        <w:tc>
          <w:tcPr>
            <w:tcW w:type="pct" w:w="4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Landing page waitlist signups (organic, 2 weeks)</w:t>
            </w:r>
          </w:p>
        </w:tc>
        <w:tc>
          <w:tcPr>
            <w:tcW w:type="pct" w:w="24%"/>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300</w:t>
            </w:r>
          </w:p>
        </w:tc>
        <w:tc>
          <w:tcPr>
            <w:tcW w:type="pct" w:w="36%"/>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Signals real top-of-funnel demand</w:t>
            </w:r>
          </w:p>
        </w:tc>
      </w:tr>
      <w:tr>
        <w:tc>
          <w:tcPr>
            <w:tcW w:type="pct" w:w="4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Paid pre-orders/pilot purchases (₹99–299 report)</w:t>
            </w:r>
          </w:p>
        </w:tc>
        <w:tc>
          <w:tcPr>
            <w:tcW w:type="pct" w:w="24%"/>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20</w:t>
            </w:r>
          </w:p>
        </w:tc>
        <w:tc>
          <w:tcPr>
            <w:tcW w:type="pct" w:w="36%"/>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Strongest possible signal — cash beats opinions</w:t>
            </w:r>
          </w:p>
        </w:tc>
      </w:tr>
    </w:tbl>
    <w:p>
      <w:pPr>
        <w:spacing w:after="160"/>
      </w:pPr>
    </w:p>
    <w:p>
      <w:pPr>
        <w:spacing w:after="160" w:line="276"/>
      </w:pPr>
      <w:r>
        <w:rPr>
          <w:rFonts w:ascii="Calibri" w:cs="Calibri" w:eastAsia="Calibri" w:hAnsi="Calibri"/>
          <w:b w:val="false"/>
          <w:bCs w:val="false"/>
          <w:i w:val="false"/>
          <w:iCs w:val="false"/>
          <w:color w:val="2B2B2B"/>
          <w:sz w:val="21"/>
          <w:szCs w:val="21"/>
        </w:rPr>
        <w:t xml:space="preserve">If these thresholds are not met, treat this as a signal to pivot the wedge (see Section 12) rather than abandon the idea — the underlying problem is validated even if this specific packaging isn't yet.</w:t>
      </w:r>
    </w:p>
    <w:p>
      <w:r>
        <w:br w:type="page"/>
      </w:r>
    </w:p>
    <w:p>
      <w:pPr>
        <w:pStyle w:val="Heading1"/>
        <w:pBdr>
          <w:bottom w:val="single" w:color="B08A2E" w:sz="8" w:space="4"/>
        </w:pBdr>
        <w:spacing w:after="200" w:before="420"/>
      </w:pPr>
      <w:r>
        <w:rPr>
          <w:rFonts w:ascii="Calibri" w:cs="Calibri" w:eastAsia="Calibri" w:hAnsi="Calibri"/>
          <w:b/>
          <w:bCs/>
          <w:color w:val="1F3864"/>
          <w:sz w:val="27"/>
          <w:szCs w:val="27"/>
        </w:rPr>
        <w:t xml:space="preserve">14. 30-DAY ACTION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780"/>
        <w:gridCol w:w="2520"/>
      </w:tblGrid>
      <w:tr>
        <w:trPr>
          <w:tblHeader/>
        </w:trPr>
        <w:tc>
          <w:tcPr>
            <w:tcW w:type="pct" w:w="1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Week</w:t>
            </w:r>
          </w:p>
        </w:tc>
        <w:tc>
          <w:tcPr>
            <w:tcW w:type="pct" w:w="20%"/>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Focus</w:t>
            </w:r>
          </w:p>
        </w:tc>
        <w:tc>
          <w:tcPr>
            <w:tcW w:type="pct" w:w="42%"/>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Key Actions</w:t>
            </w:r>
          </w:p>
        </w:tc>
        <w:tc>
          <w:tcPr>
            <w:tcW w:type="pct" w:w="28%"/>
            <w:shd w:fill="1F3864"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Output</w:t>
            </w:r>
          </w:p>
        </w:tc>
      </w:tr>
      <w:tr>
        <w:tc>
          <w:tcPr>
            <w:tcW w:type="pct" w:w="1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1</w:t>
            </w:r>
          </w:p>
        </w:tc>
        <w:tc>
          <w:tcPr>
            <w:tcW w:type="pct" w:w="2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Stranger Validation</w:t>
            </w:r>
          </w:p>
        </w:tc>
        <w:tc>
          <w:tcPr>
            <w:tcW w:type="pct" w:w="4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Conduct 15–20 structured interviews with students outside your immediate friend circle (other colleges, online communities, LinkedIn/Reddit/college WhatsApp groups). Ask about current behavior, not hypothetical interest. Publish a simple landing page describing the product and collect waitlist emails.</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20 interview notes + live landing page with waitlist</w:t>
            </w:r>
          </w:p>
        </w:tc>
      </w:tr>
      <w:tr>
        <w:tc>
          <w:tcPr>
            <w:tcW w:type="pct" w:w="1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2</w:t>
            </w:r>
          </w:p>
        </w:tc>
        <w:tc>
          <w:tcPr>
            <w:tcW w:type="pct" w:w="2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Willingness-to-Pay Test</w:t>
            </w:r>
          </w:p>
        </w:tc>
        <w:tc>
          <w:tcPr>
            <w:tcW w:type="pct" w:w="4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Design one very narrow paid offer — e.g., a ₹99–299 personalized “career + resume report” delivered manually or semi-manually (no full product needed yet). Promote it to the waitlist and interview pool.</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 20 paid pre-orders/pilot purchases (or clear evidence why not)</w:t>
            </w:r>
          </w:p>
        </w:tc>
      </w:tr>
      <w:tr>
        <w:tc>
          <w:tcPr>
            <w:tcW w:type="pct" w:w="1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3</w:t>
            </w:r>
          </w:p>
        </w:tc>
        <w:tc>
          <w:tcPr>
            <w:tcW w:type="pct" w:w="20%"/>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Lean AI Prototype</w:t>
            </w:r>
          </w:p>
        </w:tc>
        <w:tc>
          <w:tcPr>
            <w:tcW w:type="pct" w:w="42%"/>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Build a single-feature MVP (resume ATS scoring + one skill-gap roadmap) using no-code/AI-API tooling rather than a full six-feature build. Keep scope deliberately narrow.</w:t>
            </w:r>
          </w:p>
        </w:tc>
        <w:tc>
          <w:tcPr>
            <w:tcW w:type="pct" w:w="28%"/>
            <w:shd w:fill="FFFFFF"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Working single-feature prototype</w:t>
            </w:r>
          </w:p>
        </w:tc>
      </w:tr>
      <w:tr>
        <w:tc>
          <w:tcPr>
            <w:tcW w:type="pct" w:w="1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4</w:t>
            </w:r>
          </w:p>
        </w:tc>
        <w:tc>
          <w:tcPr>
            <w:tcW w:type="pct" w:w="20%"/>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Pilot &amp; Decision</w:t>
            </w:r>
          </w:p>
        </w:tc>
        <w:tc>
          <w:tcPr>
            <w:tcW w:type="pct" w:w="42%"/>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Run the prototype with 30–50 real users from 1–2 colleges. Track activation (did they complete the roadmap?), NPS, and conversion intent. Compare results against the Section 13 exit criteria and make the Go/No-Go/Pivot call.</w:t>
            </w:r>
          </w:p>
        </w:tc>
        <w:tc>
          <w:tcPr>
            <w:tcW w:type="pct" w:w="28%"/>
            <w:shd w:fill="EEF1F7" w:val="clear"/>
            <w:tcMar>
              <w:top w:type="dxa" w:w="70"/>
              <w:left w:type="dxa" w:w="120"/>
              <w:bottom w:type="dxa" w:w="70"/>
              <w:right w:type="dxa" w:w="120"/>
            </w:tcMar>
            <w:vAlign w:val="center"/>
          </w:tcPr>
          <w:p>
            <w:r>
              <w:rPr>
                <w:rFonts w:ascii="Calibri" w:cs="Calibri" w:eastAsia="Calibri" w:hAnsi="Calibri"/>
                <w:b w:val="false"/>
                <w:bCs w:val="false"/>
                <w:color w:val="2B2B2B"/>
                <w:sz w:val="19"/>
                <w:szCs w:val="19"/>
              </w:rPr>
              <w:t xml:space="preserve">Pilot data + documented Go/No-Go/Pivot decision</w:t>
            </w:r>
          </w:p>
        </w:tc>
      </w:tr>
    </w:tbl>
    <w:p>
      <w:pPr>
        <w:spacing w:after="240"/>
      </w:pPr>
    </w:p>
    <w:p>
      <w:pPr>
        <w:spacing w:after="200"/>
      </w:pPr>
      <w:r>
        <w:rPr>
          <w:rFonts w:ascii="Calibri" w:cs="Calibri" w:eastAsia="Calibri" w:hAnsi="Calibri"/>
          <w:i/>
          <w:iCs/>
          <w:color w:val="5A6472"/>
          <w:sz w:val="18"/>
          <w:szCs w:val="18"/>
        </w:rPr>
        <w:t xml:space="preserve">This report was produced using publicly available secondary research (India EdTech market sizing, AISHE higher-education enrollment data, and competitor positioning as of mid-2026) combined with the inputs you provided. Figures for SAM/SOM and scores are structured estimates intended to guide decision-making, not audited or investor-grade numbers — validate them with your own primary research before using them externally (e.g., in a pitch deck).</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Confidential — Prepared for Founder Use  |  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6472"/>
        <w:sz w:val="15"/>
        <w:szCs w:val="15"/>
      </w:rPr>
      <w:t xml:space="preserve">SkillBridge AI  |  Startup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2026-07-14T05:20:04.867Z</dcterms:created>
  <dcterms:modified xsi:type="dcterms:W3CDTF">2026-07-14T05:20:04.880Z</dcterms:modified>
</cp:coreProperties>
</file>

<file path=docProps/custom.xml><?xml version="1.0" encoding="utf-8"?>
<Properties xmlns="http://schemas.openxmlformats.org/officeDocument/2006/custom-properties" xmlns:vt="http://schemas.openxmlformats.org/officeDocument/2006/docPropsVTypes"/>
</file>