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SHIPPING BILL NO:      </w:t>
            </w:r>
            <w:r>
              <w:rPr>
                <w:sz w:val="18"/>
              </w:rPr>
              <w:tab/>
              <w:t xml:space="preserve">DATED:      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&amp;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</w:t>
            </w:r>
            <w:proofErr w:type="gramStart"/>
            <w:r>
              <w:rPr>
                <w:sz w:val="16"/>
              </w:rPr>
              <w:t>FEET  REEFER CONTAINER</w:t>
            </w:r>
            <w:proofErr w:type="gramEnd"/>
            <w:r>
              <w:rPr>
                <w:sz w:val="16"/>
              </w:rPr>
              <w:t xml:space="preserve"> </w:t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273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271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headerReference w:type="default" r:id="rId8"/>
      <w:footerReference w:type="default" r:id="rId9"/>
      <w:pgSz w:w="12240" w:h="15840"/>
      <w:pgMar w:top="3888" w:right="432" w:bottom="432" w:left="504" w:header="288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/>
    <w:r>
      <w:drawing>
        <wp:inline xmlns:a="http://schemas.openxmlformats.org/drawingml/2006/main" xmlns:pic="http://schemas.openxmlformats.org/drawingml/2006/picture">
          <wp:extent cx="6858000" cy="20941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rame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2094168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