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62d7kuo4gu4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Meeting: Discovery — Non-Functional, Compliance &amp; Data Governance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2025-11-18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Duration:</w:t>
      </w:r>
      <w:r w:rsidDel="00000000" w:rsidR="00000000" w:rsidRPr="00000000">
        <w:rPr>
          <w:rtl w:val="0"/>
        </w:rPr>
        <w:t xml:space="preserve"> 1 hr 50 min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Location:</w:t>
      </w:r>
      <w:r w:rsidDel="00000000" w:rsidR="00000000" w:rsidRPr="00000000">
        <w:rPr>
          <w:rtl w:val="0"/>
        </w:rPr>
        <w:t xml:space="preserve"> Horizon Travel Group HQ — Conference Room D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Attendees: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Martin Keller</w:t>
      </w:r>
      <w:r w:rsidDel="00000000" w:rsidR="00000000" w:rsidRPr="00000000">
        <w:rPr>
          <w:rtl w:val="0"/>
        </w:rPr>
        <w:t xml:space="preserve"> – COO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Priya Menon</w:t>
      </w:r>
      <w:r w:rsidDel="00000000" w:rsidR="00000000" w:rsidRPr="00000000">
        <w:rPr>
          <w:rtl w:val="0"/>
        </w:rPr>
        <w:t xml:space="preserve"> – GM, Corporate Housing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Angela Brooks</w:t>
      </w:r>
      <w:r w:rsidDel="00000000" w:rsidR="00000000" w:rsidRPr="00000000">
        <w:rPr>
          <w:rtl w:val="0"/>
        </w:rPr>
        <w:t xml:space="preserve"> – Head of Transportation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David Lee</w:t>
      </w:r>
      <w:r w:rsidDel="00000000" w:rsidR="00000000" w:rsidRPr="00000000">
        <w:rPr>
          <w:rtl w:val="0"/>
        </w:rPr>
        <w:t xml:space="preserve"> – CRM Champion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Karan Gadani</w:t>
      </w:r>
      <w:r w:rsidDel="00000000" w:rsidR="00000000" w:rsidRPr="00000000">
        <w:rPr>
          <w:rtl w:val="0"/>
        </w:rPr>
        <w:t xml:space="preserve"> – Project Manager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Dhruv Mehta</w:t>
      </w:r>
      <w:r w:rsidDel="00000000" w:rsidR="00000000" w:rsidRPr="00000000">
        <w:rPr>
          <w:rtl w:val="0"/>
        </w:rPr>
        <w:t xml:space="preserve"> – Salesforce Consultant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Ananya Rao</w:t>
      </w:r>
      <w:r w:rsidDel="00000000" w:rsidR="00000000" w:rsidRPr="00000000">
        <w:rPr>
          <w:rtl w:val="0"/>
        </w:rPr>
        <w:t xml:space="preserve"> – Technical Architect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Vikram Joshi</w:t>
      </w:r>
      <w:r w:rsidDel="00000000" w:rsidR="00000000" w:rsidRPr="00000000">
        <w:rPr>
          <w:rtl w:val="0"/>
        </w:rPr>
        <w:t xml:space="preserve"> – IT &amp; Compliance Officer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w9zoe1caopo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Opening Context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Karan:</w:t>
      </w:r>
      <w:r w:rsidDel="00000000" w:rsidR="00000000" w:rsidRPr="00000000">
        <w:rPr>
          <w:rtl w:val="0"/>
        </w:rPr>
        <w:t xml:space="preserve"> This session is focused on the “behind-the-scenes” aspects — performance, privacy, integrations, and data. We’ll also define how we manage access and compliance post-go-live.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Martin:</w:t>
      </w:r>
      <w:r w:rsidDel="00000000" w:rsidR="00000000" w:rsidRPr="00000000">
        <w:rPr>
          <w:rtl w:val="0"/>
        </w:rPr>
        <w:t xml:space="preserve"> Right. We’ve covered functionality. Now let’s ensure we meet audit, security, and performance standards.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e66esd8uqq5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Performance &amp; Scalability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Dhruv:</w:t>
      </w:r>
      <w:r w:rsidDel="00000000" w:rsidR="00000000" w:rsidRPr="00000000">
        <w:rPr>
          <w:rtl w:val="0"/>
        </w:rPr>
        <w:t xml:space="preserve"> Salesforce is inherently scalable, but we’ll still need to define data limits. For example, based on your current volume — around 3,000 client records and growing — we can comfortably store five years of transactions.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Vikram (IT):</w:t>
      </w:r>
      <w:r w:rsidDel="00000000" w:rsidR="00000000" w:rsidRPr="00000000">
        <w:rPr>
          <w:rtl w:val="0"/>
        </w:rPr>
        <w:t xml:space="preserve"> Any risk of hitting API limits once we integrate with QuickBooks?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Ananya:</w:t>
      </w:r>
      <w:r w:rsidDel="00000000" w:rsidR="00000000" w:rsidRPr="00000000">
        <w:rPr>
          <w:rtl w:val="0"/>
        </w:rPr>
        <w:t xml:space="preserve"> We’ll configure scheduled syncs at off-peak hours to stay within API thresholds.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Martin:</w:t>
      </w:r>
      <w:r w:rsidDel="00000000" w:rsidR="00000000" w:rsidRPr="00000000">
        <w:rPr>
          <w:rtl w:val="0"/>
        </w:rPr>
        <w:t xml:space="preserve"> And what about file attachments like agreements?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Dhruv:</w:t>
      </w:r>
      <w:r w:rsidDel="00000000" w:rsidR="00000000" w:rsidRPr="00000000">
        <w:rPr>
          <w:rtl w:val="0"/>
        </w:rPr>
        <w:t xml:space="preserve"> We’ll use Salesforce Files — they’re version-controlled. Older documents can be archived to Azure Blob via integration if needed.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9lpgxej676q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Security &amp; Access Controls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Vikram:</w:t>
      </w:r>
      <w:r w:rsidDel="00000000" w:rsidR="00000000" w:rsidRPr="00000000">
        <w:rPr>
          <w:rtl w:val="0"/>
        </w:rPr>
        <w:t xml:space="preserve"> Data privacy is key. We handle international clients, so we need to comply with GDPR and U.S. data residency rules.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Dhruv:</w:t>
      </w:r>
      <w:r w:rsidDel="00000000" w:rsidR="00000000" w:rsidRPr="00000000">
        <w:rPr>
          <w:rtl w:val="0"/>
        </w:rPr>
        <w:t xml:space="preserve"> We’ll enforce field-level security for sensitive data — passport numbers, addresses, payment info — and mask them for non-admin roles.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Ananya:</w:t>
      </w:r>
      <w:r w:rsidDel="00000000" w:rsidR="00000000" w:rsidRPr="00000000">
        <w:rPr>
          <w:rtl w:val="0"/>
        </w:rPr>
        <w:t xml:space="preserve"> We’ll also enable audit logs for user activity and use role-based sharing rules.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Martin:</w:t>
      </w:r>
      <w:r w:rsidDel="00000000" w:rsidR="00000000" w:rsidRPr="00000000">
        <w:rPr>
          <w:rtl w:val="0"/>
        </w:rPr>
        <w:t xml:space="preserve"> Good. What about user authentication for the portal?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Dhruv:</w:t>
      </w:r>
      <w:r w:rsidDel="00000000" w:rsidR="00000000" w:rsidRPr="00000000">
        <w:rPr>
          <w:rtl w:val="0"/>
        </w:rPr>
        <w:t xml:space="preserve"> Multi-factor authentication will be mandatory for all external users.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Vikram:</w:t>
      </w:r>
      <w:r w:rsidDel="00000000" w:rsidR="00000000" w:rsidRPr="00000000">
        <w:rPr>
          <w:rtl w:val="0"/>
        </w:rPr>
        <w:t xml:space="preserve"> Perfect — that satisfies audit requirements.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34isgswljwk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Backup &amp; Recovery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Karan:</w:t>
      </w:r>
      <w:r w:rsidDel="00000000" w:rsidR="00000000" w:rsidRPr="00000000">
        <w:rPr>
          <w:rtl w:val="0"/>
        </w:rPr>
        <w:t xml:space="preserve"> How are we handling data backup?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Dhruv:</w:t>
      </w:r>
      <w:r w:rsidDel="00000000" w:rsidR="00000000" w:rsidRPr="00000000">
        <w:rPr>
          <w:rtl w:val="0"/>
        </w:rPr>
        <w:t xml:space="preserve"> Salesforce provides daily backups, but we’ll configure an additional weekly export to Azure via API — so you have your own copy.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Vikram:</w:t>
      </w:r>
      <w:r w:rsidDel="00000000" w:rsidR="00000000" w:rsidRPr="00000000">
        <w:rPr>
          <w:rtl w:val="0"/>
        </w:rPr>
        <w:t xml:space="preserve"> That’s fine. Just ensure it’s encrypted in transit and at rest.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Ananya:</w:t>
      </w:r>
      <w:r w:rsidDel="00000000" w:rsidR="00000000" w:rsidRPr="00000000">
        <w:rPr>
          <w:rtl w:val="0"/>
        </w:rPr>
        <w:t xml:space="preserve"> Yes, we’ll use AES-256 encryption for exports.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ypyg6wfwiqb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Logging, Monitoring &amp; Maintenance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Dhruv:</w:t>
      </w:r>
      <w:r w:rsidDel="00000000" w:rsidR="00000000" w:rsidRPr="00000000">
        <w:rPr>
          <w:rtl w:val="0"/>
        </w:rPr>
        <w:t xml:space="preserve"> We’ll also integrate Salesforce logs with your Azure Log Analytics instance. That way, IT can monitor errors or failed API calls directly.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Karan:</w:t>
      </w:r>
      <w:r w:rsidDel="00000000" w:rsidR="00000000" w:rsidRPr="00000000">
        <w:rPr>
          <w:rtl w:val="0"/>
        </w:rPr>
        <w:t xml:space="preserve"> Great — that gives visibility to our internal DevOps.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Vikram:</w:t>
      </w:r>
      <w:r w:rsidDel="00000000" w:rsidR="00000000" w:rsidRPr="00000000">
        <w:rPr>
          <w:rtl w:val="0"/>
        </w:rPr>
        <w:t xml:space="preserve"> Can we get monthly system health reports?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Ananya:</w:t>
      </w:r>
      <w:r w:rsidDel="00000000" w:rsidR="00000000" w:rsidRPr="00000000">
        <w:rPr>
          <w:rtl w:val="0"/>
        </w:rPr>
        <w:t xml:space="preserve"> Yes — Salesforce’s Trust Dashboard can be configured for uptime, errors, and latency.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wf3tnq4fh4d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Compliance &amp; Data Handling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Martin:</w:t>
      </w:r>
      <w:r w:rsidDel="00000000" w:rsidR="00000000" w:rsidRPr="00000000">
        <w:rPr>
          <w:rtl w:val="0"/>
        </w:rPr>
        <w:t xml:space="preserve"> We occasionally handle government clients. Will Salesforce meet their compliance requirements?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Dhruv:</w:t>
      </w:r>
      <w:r w:rsidDel="00000000" w:rsidR="00000000" w:rsidRPr="00000000">
        <w:rPr>
          <w:rtl w:val="0"/>
        </w:rPr>
        <w:t xml:space="preserve"> Yes — Salesforce is compliant with ISO 27001, SOC 2, and GDPR. We’ll also restrict data residency to the U.S. data center for your org.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Vikram:</w:t>
      </w:r>
      <w:r w:rsidDel="00000000" w:rsidR="00000000" w:rsidRPr="00000000">
        <w:rPr>
          <w:rtl w:val="0"/>
        </w:rPr>
        <w:t xml:space="preserve"> Excellent. We’ll document this for our compliance audit.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an0jicoj872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Integration Reliability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Dhruv:</w:t>
      </w:r>
      <w:r w:rsidDel="00000000" w:rsidR="00000000" w:rsidRPr="00000000">
        <w:rPr>
          <w:rtl w:val="0"/>
        </w:rPr>
        <w:t xml:space="preserve"> The key integrations — QuickBooks, DocuSign, and Outlook — will use stable connectors. We’ll build retry mechanisms for API calls.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Priya:</w:t>
      </w:r>
      <w:r w:rsidDel="00000000" w:rsidR="00000000" w:rsidRPr="00000000">
        <w:rPr>
          <w:rtl w:val="0"/>
        </w:rPr>
        <w:t xml:space="preserve"> Will users get notified if integration fails?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Ananya:</w:t>
      </w:r>
      <w:r w:rsidDel="00000000" w:rsidR="00000000" w:rsidRPr="00000000">
        <w:rPr>
          <w:rtl w:val="0"/>
        </w:rPr>
        <w:t xml:space="preserve"> Yes, Salesforce will send an alert to admins automatically.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z007w5w6dan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Non-Functional Requirements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Karan:</w:t>
      </w:r>
      <w:r w:rsidDel="00000000" w:rsidR="00000000" w:rsidRPr="00000000">
        <w:rPr>
          <w:rtl w:val="0"/>
        </w:rPr>
        <w:t xml:space="preserve"> Let’s list a few key NFRs explicitly.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Dhruv:</w:t>
      </w:r>
      <w:r w:rsidDel="00000000" w:rsidR="00000000" w:rsidRPr="00000000">
        <w:rPr>
          <w:rtl w:val="0"/>
        </w:rPr>
        <w:t xml:space="preserve"> Sure: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Availability:</w:t>
      </w:r>
      <w:r w:rsidDel="00000000" w:rsidR="00000000" w:rsidRPr="00000000">
        <w:rPr>
          <w:rtl w:val="0"/>
        </w:rPr>
        <w:t xml:space="preserve"> 99.9% uptime through Salesforce SLA.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Performance:</w:t>
      </w:r>
      <w:r w:rsidDel="00000000" w:rsidR="00000000" w:rsidRPr="00000000">
        <w:rPr>
          <w:rtl w:val="0"/>
        </w:rPr>
        <w:t xml:space="preserve"> Page load under 3 seconds for standard screens.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retention:</w:t>
      </w:r>
      <w:r w:rsidDel="00000000" w:rsidR="00000000" w:rsidRPr="00000000">
        <w:rPr>
          <w:rtl w:val="0"/>
        </w:rPr>
        <w:t xml:space="preserve"> Five years active, then archived.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Auditability:</w:t>
      </w:r>
      <w:r w:rsidDel="00000000" w:rsidR="00000000" w:rsidRPr="00000000">
        <w:rPr>
          <w:rtl w:val="0"/>
        </w:rPr>
        <w:t xml:space="preserve"> Full change tracking on key records.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Security:</w:t>
      </w:r>
      <w:r w:rsidDel="00000000" w:rsidR="00000000" w:rsidRPr="00000000">
        <w:rPr>
          <w:rtl w:val="0"/>
        </w:rPr>
        <w:t xml:space="preserve"> Field-level encryption, role-based visibility, MFA.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 Reliability:</w:t>
      </w:r>
      <w:r w:rsidDel="00000000" w:rsidR="00000000" w:rsidRPr="00000000">
        <w:rPr>
          <w:rtl w:val="0"/>
        </w:rPr>
        <w:t xml:space="preserve"> Retry logic with logging and notifications.</w:t>
        <w:br w:type="textWrapping"/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Martin:</w:t>
      </w:r>
      <w:r w:rsidDel="00000000" w:rsidR="00000000" w:rsidRPr="00000000">
        <w:rPr>
          <w:rtl w:val="0"/>
        </w:rPr>
        <w:t xml:space="preserve"> Excellent summary.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4iv4pr7gw5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Adoption &amp; Support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David:</w:t>
      </w:r>
      <w:r w:rsidDel="00000000" w:rsidR="00000000" w:rsidRPr="00000000">
        <w:rPr>
          <w:rtl w:val="0"/>
        </w:rPr>
        <w:t xml:space="preserve"> Once live, how will we handle support tickets?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Dhruv:</w:t>
      </w:r>
      <w:r w:rsidDel="00000000" w:rsidR="00000000" w:rsidRPr="00000000">
        <w:rPr>
          <w:rtl w:val="0"/>
        </w:rPr>
        <w:t xml:space="preserve"> We can configure a “Support Request” object in Salesforce to log issues. It’ll route to your IT or to us, depending on category.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Karan:</w:t>
      </w:r>
      <w:r w:rsidDel="00000000" w:rsidR="00000000" w:rsidRPr="00000000">
        <w:rPr>
          <w:rtl w:val="0"/>
        </w:rPr>
        <w:t xml:space="preserve"> Let’s include that as part of the post-go-live support model.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Martin:</w:t>
      </w:r>
      <w:r w:rsidDel="00000000" w:rsidR="00000000" w:rsidRPr="00000000">
        <w:rPr>
          <w:rtl w:val="0"/>
        </w:rPr>
        <w:t xml:space="preserve"> Good. We’ll keep the first three months under CloudEdge support, then transition to internal.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osd81v44p54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Closing Summary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Dhruv:</w:t>
      </w:r>
      <w:r w:rsidDel="00000000" w:rsidR="00000000" w:rsidRPr="00000000">
        <w:rPr>
          <w:rtl w:val="0"/>
        </w:rPr>
        <w:t xml:space="preserve"> We’ve now covered everything — functional, non-functional, compliance, and security. I’ll update the consolidated Discovery Document and share the traceability matrix linking all requirements to SoW items.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Martin:</w:t>
      </w:r>
      <w:r w:rsidDel="00000000" w:rsidR="00000000" w:rsidRPr="00000000">
        <w:rPr>
          <w:rtl w:val="0"/>
        </w:rPr>
        <w:t xml:space="preserve"> Great work, everyone. This completes the discovery stage. The next milestone is design approval and configuration readiness.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Priya:</w:t>
      </w:r>
      <w:r w:rsidDel="00000000" w:rsidR="00000000" w:rsidRPr="00000000">
        <w:rPr>
          <w:rtl w:val="0"/>
        </w:rPr>
        <w:t xml:space="preserve"> Exciting times ahead!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Angela:</w:t>
      </w:r>
      <w:r w:rsidDel="00000000" w:rsidR="00000000" w:rsidRPr="00000000">
        <w:rPr>
          <w:rtl w:val="0"/>
        </w:rPr>
        <w:t xml:space="preserve"> Finally feels like all our chaos will have a system.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Karan:</w:t>
      </w:r>
      <w:r w:rsidDel="00000000" w:rsidR="00000000" w:rsidRPr="00000000">
        <w:rPr>
          <w:rtl w:val="0"/>
        </w:rPr>
        <w:t xml:space="preserve"> (smiling) That’s the plan. Thanks everyone.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