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300"/>
        <w:jc w:val="center"/>
      </w:pPr>
      <w:r>
        <w:rPr>
          <w:b/>
          <w:bCs/>
          <w:color w:val="1F3864"/>
          <w:sz w:val="52"/>
          <w:szCs w:val="52"/>
        </w:rPr>
        <w:t xml:space="preserve">AI-Powered Meeting Documentation Platform</w:t>
      </w:r>
    </w:p>
    <w:p>
      <w:pPr>
        <w:spacing w:after="200"/>
        <w:jc w:val="center"/>
      </w:pPr>
      <w:r>
        <w:rPr>
          <w:i/>
          <w:iCs/>
          <w:color w:val="2E74B5"/>
          <w:sz w:val="28"/>
          <w:szCs w:val="28"/>
        </w:rPr>
        <w:t xml:space="preserve">Evidence-Backed, Multi-Document Generation from Meetings</w:t>
      </w:r>
    </w:p>
    <w:p>
      <w:pPr>
        <w:spacing w:after="1200"/>
        <w:jc w:val="center"/>
      </w:pPr>
      <w:r>
        <w:rPr>
          <w:color w:val="595959"/>
          <w:sz w:val="24"/>
          <w:szCs w:val="24"/>
        </w:rPr>
        <w:t xml:space="preserve">Project Concept, Architecture &amp; Stage-Wise Delivery Plan</w:t>
      </w:r>
    </w:p>
    <w:p>
      <w:pPr>
        <w:pBdr>
          <w:top w:val="single" w:color="2E74B5" w:sz="6" w:space="8"/>
        </w:pBdr>
        <w:spacing w:before="300"/>
        <w:jc w:val="center"/>
      </w:pPr>
      <w:r>
        <w:rPr>
          <w:color w:val="595959"/>
          <w:sz w:val="20"/>
          <w:szCs w:val="20"/>
        </w:rPr>
        <w:t xml:space="preserve">Open-Source Technology Stack  |  Ollama + LangChain based</w:t>
      </w:r>
    </w:p>
    <w:p>
      <w:pPr>
        <w:spacing w:before="3000"/>
        <w:jc w:val="center"/>
      </w:pPr>
      <w:r>
        <w:rPr>
          <w:color w:val="595959"/>
          <w:sz w:val="18"/>
          <w:szCs w:val="18"/>
        </w:rPr>
        <w:t xml:space="preserve">Prepared: August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b/>
          <w:bCs/>
          <w:color w:val="1F3864"/>
          <w:sz w:val="30"/>
          <w:szCs w:val="30"/>
        </w:rPr>
        <w:t xml:space="preserve">1. Project Overview</w:t>
      </w:r>
    </w:p>
    <w:p>
      <w:pPr>
        <w:spacing w:after="160" w:line="276"/>
      </w:pPr>
      <w:r>
        <w:rPr>
          <w:sz w:val="22"/>
          <w:szCs w:val="22"/>
        </w:rPr>
        <w:t xml:space="preserve">Organizations run a constant stream of meetings — requirements workshops, status calls, client discussions, audits, and reviews — and almost all of the resulting documentation is still written by hand afterward. A business analyst listens back to a recording, or works from memory and scattered notes, and manually drafts a Minutes of Meeting (MOM), an SRS update, or a BRD section. This is slow, inconsistent, and prone to dropped or misremembered details.</w:t>
      </w:r>
    </w:p>
    <w:p>
      <w:pPr>
        <w:spacing w:after="160" w:line="276"/>
      </w:pPr>
      <w:r>
        <w:rPr>
          <w:sz w:val="22"/>
          <w:szCs w:val="22"/>
        </w:rPr>
        <w:t xml:space="preserve">This project builds an AI-powered Meeting Documentation Platform that listens to (or reads a transcript of) a meeting, extracts the meaningful content — decisions, requirements, action items, risks, open questions — and automatically generates structured, professional documents from it. Every generated statement is traceable back to the exact moment in the meeting it came from, so the output can be trusted and audited rather than treated as a black box.</w:t>
      </w:r>
    </w:p>
    <w:p>
      <w:pPr>
        <w:spacing w:after="160" w:line="276"/>
      </w:pPr>
      <w:r>
        <w:rPr>
          <w:sz w:val="22"/>
          <w:szCs w:val="22"/>
        </w:rPr>
        <w:t xml:space="preserve">The platform is designed to be document-agnostic: the same underlying pipeline that produces a MOM can also produce an SRS, a BRD, an FSD, an audit report, or any other structured document, simply by changing the target template.</w:t>
      </w:r>
    </w:p>
    <w:p>
      <w:pPr>
        <w:pStyle w:val="Heading2"/>
        <w:spacing w:after="150" w:before="300"/>
      </w:pPr>
      <w:r>
        <w:rPr>
          <w:b/>
          <w:bCs/>
          <w:color w:val="2E74B5"/>
          <w:sz w:val="24"/>
          <w:szCs w:val="24"/>
        </w:rPr>
        <w:t xml:space="preserve">1.1 Problem Statement</w:t>
      </w:r>
    </w:p>
    <w:p>
      <w:pPr>
        <w:pStyle w:val="ListParagraph"/>
        <w:numPr>
          <w:ilvl w:val="0"/>
          <w:numId w:val="2"/>
        </w:numPr>
        <w:spacing w:after="80" w:line="276"/>
      </w:pPr>
      <w:r>
        <w:rPr>
          <w:sz w:val="22"/>
          <w:szCs w:val="22"/>
        </w:rPr>
        <w:t xml:space="preserve">Manual meeting documentation is time-consuming and takes analysts away from higher-value work.</w:t>
      </w:r>
    </w:p>
    <w:p>
      <w:pPr>
        <w:pStyle w:val="ListParagraph"/>
        <w:numPr>
          <w:ilvl w:val="0"/>
          <w:numId w:val="2"/>
        </w:numPr>
        <w:spacing w:after="80" w:line="276"/>
      </w:pPr>
      <w:r>
        <w:rPr>
          <w:sz w:val="22"/>
          <w:szCs w:val="22"/>
        </w:rPr>
        <w:t xml:space="preserve">Notes taken live are incomplete; details are lost between the meeting and the final document.</w:t>
      </w:r>
    </w:p>
    <w:p>
      <w:pPr>
        <w:pStyle w:val="ListParagraph"/>
        <w:numPr>
          <w:ilvl w:val="0"/>
          <w:numId w:val="2"/>
        </w:numPr>
        <w:spacing w:after="80" w:line="276"/>
      </w:pPr>
      <w:r>
        <w:rPr>
          <w:sz w:val="22"/>
          <w:szCs w:val="22"/>
        </w:rPr>
        <w:t xml:space="preserve">There is no traceability — reviewers cannot verify where a requirement or decision in a document actually came from.</w:t>
      </w:r>
    </w:p>
    <w:p>
      <w:pPr>
        <w:pStyle w:val="ListParagraph"/>
        <w:numPr>
          <w:ilvl w:val="0"/>
          <w:numId w:val="2"/>
        </w:numPr>
        <w:spacing w:after="80" w:line="276"/>
      </w:pPr>
      <w:r>
        <w:rPr>
          <w:sz w:val="22"/>
          <w:szCs w:val="22"/>
        </w:rPr>
        <w:t xml:space="preserve">Knowledge from multiple meetings, existing SRS/BRD documents, and prior notes is never reconciled — the same requirement can be repeated, contradicted, or lost across sessions.</w:t>
      </w:r>
    </w:p>
    <w:p>
      <w:pPr>
        <w:pStyle w:val="ListParagraph"/>
        <w:numPr>
          <w:ilvl w:val="0"/>
          <w:numId w:val="2"/>
        </w:numPr>
        <w:spacing w:after="80" w:line="276"/>
      </w:pPr>
      <w:r>
        <w:rPr>
          <w:sz w:val="22"/>
          <w:szCs w:val="22"/>
        </w:rPr>
        <w:t xml:space="preserve">Every project/client tends to use a different document template, so a one-size-fits-all generator does not work.</w:t>
      </w:r>
    </w:p>
    <w:p>
      <w:pPr>
        <w:pStyle w:val="Heading2"/>
        <w:spacing w:after="150" w:before="300"/>
      </w:pPr>
      <w:r>
        <w:rPr>
          <w:b/>
          <w:bCs/>
          <w:color w:val="2E74B5"/>
          <w:sz w:val="24"/>
          <w:szCs w:val="24"/>
        </w:rPr>
        <w:t xml:space="preserve">1.2 Proposed Solution</w:t>
      </w:r>
    </w:p>
    <w:p>
      <w:pPr>
        <w:spacing w:after="160" w:line="276"/>
      </w:pPr>
      <w:r>
        <w:rPr>
          <w:sz w:val="22"/>
          <w:szCs w:val="22"/>
        </w:rPr>
        <w:t xml:space="preserve">An end-to-end pipeline that ingests meeting audio, screen-share/system audio, and/or an official transcript; normalizes and fuses this with existing project knowledge (prior SRS, BRDs, previous meeting notes); extracts structured facts using AI agents; scores and reconciles that information for confidence and conflicts; and finally generates a fully structured, evidence-linked document in the client's own template — with a human review step before anything is finalized.</w:t>
      </w:r>
    </w:p>
    <w:p>
      <w:pPr>
        <w:pStyle w:val="Heading2"/>
        <w:spacing w:after="150" w:before="300"/>
      </w:pPr>
      <w:r>
        <w:rPr>
          <w:b/>
          <w:bCs/>
          <w:color w:val="2E74B5"/>
          <w:sz w:val="24"/>
          <w:szCs w:val="24"/>
        </w:rPr>
        <w:t xml:space="preserve">1.3 Unique Selling Point (USP): Evidence-Backed Generation</w:t>
      </w:r>
    </w:p>
    <w:p>
      <w:pPr>
        <w:spacing w:after="160" w:line="276"/>
      </w:pPr>
      <w:r>
        <w:rPr>
          <w:sz w:val="22"/>
          <w:szCs w:val="22"/>
        </w:rPr>
        <w:t xml:space="preserve">Every single line generated in a document is not just text — it is a claim linked to its source. If a generated requirement reads:</w:t>
      </w:r>
    </w:p>
    <w:p>
      <w:pPr>
        <w:pBdr>
          <w:left w:val="single" w:color="2E74B5" w:sz="18" w:space="8"/>
        </w:pBdr>
        <w:spacing w:after="120"/>
        <w:ind w:left="500"/>
      </w:pPr>
      <w:r>
        <w:rPr>
          <w:i/>
          <w:iCs/>
          <w:sz w:val="22"/>
          <w:szCs w:val="22"/>
        </w:rPr>
        <w:t xml:space="preserve">"The system shall support OTP login."</w:t>
      </w:r>
    </w:p>
    <w:p>
      <w:pPr>
        <w:spacing w:after="160" w:line="276"/>
      </w:pPr>
      <w:r>
        <w:rPr>
          <w:sz w:val="22"/>
          <w:szCs w:val="22"/>
        </w:rPr>
        <w:t xml:space="preserve">...the platform can show, on demand, exactly where that came from:</w:t>
      </w:r>
    </w:p>
    <w:p>
      <w:pPr>
        <w:pStyle w:val="ListParagraph"/>
        <w:numPr>
          <w:ilvl w:val="0"/>
          <w:numId w:val="2"/>
        </w:numPr>
        <w:spacing w:after="80" w:line="276"/>
      </w:pPr>
      <w:r>
        <w:rPr>
          <w:b/>
          <w:bCs/>
          <w:sz w:val="22"/>
          <w:szCs w:val="22"/>
        </w:rPr>
        <w:t xml:space="preserve">Derived from: </w:t>
      </w:r>
      <w:r>
        <w:rPr>
          <w:sz w:val="22"/>
          <w:szCs w:val="22"/>
        </w:rPr>
        <w:t xml:space="preserve">Official transcript / meeting audio</w:t>
      </w:r>
    </w:p>
    <w:p>
      <w:pPr>
        <w:pStyle w:val="ListParagraph"/>
        <w:numPr>
          <w:ilvl w:val="0"/>
          <w:numId w:val="2"/>
        </w:numPr>
        <w:spacing w:after="80" w:line="276"/>
      </w:pPr>
      <w:r>
        <w:rPr>
          <w:b/>
          <w:bCs/>
          <w:sz w:val="22"/>
          <w:szCs w:val="22"/>
        </w:rPr>
        <w:t xml:space="preserve">Speaker: </w:t>
      </w:r>
      <w:r>
        <w:rPr>
          <w:sz w:val="22"/>
          <w:szCs w:val="22"/>
        </w:rPr>
        <w:t xml:space="preserve">Client stakeholder</w:t>
      </w:r>
    </w:p>
    <w:p>
      <w:pPr>
        <w:pStyle w:val="ListParagraph"/>
        <w:numPr>
          <w:ilvl w:val="0"/>
          <w:numId w:val="2"/>
        </w:numPr>
        <w:spacing w:after="80" w:line="276"/>
      </w:pPr>
      <w:r>
        <w:rPr>
          <w:b/>
          <w:bCs/>
          <w:sz w:val="22"/>
          <w:szCs w:val="22"/>
        </w:rPr>
        <w:t xml:space="preserve">Confidence: </w:t>
      </w:r>
      <w:r>
        <w:rPr>
          <w:sz w:val="22"/>
          <w:szCs w:val="22"/>
        </w:rPr>
        <w:t xml:space="preserve">99%</w:t>
      </w:r>
    </w:p>
    <w:p>
      <w:pPr>
        <w:pStyle w:val="ListParagraph"/>
        <w:numPr>
          <w:ilvl w:val="0"/>
          <w:numId w:val="2"/>
        </w:numPr>
        <w:spacing w:after="80" w:line="276"/>
      </w:pPr>
      <w:r>
        <w:rPr>
          <w:b/>
          <w:bCs/>
          <w:sz w:val="22"/>
          <w:szCs w:val="22"/>
        </w:rPr>
        <w:t xml:space="preserve">Timestamp: </w:t>
      </w:r>
      <w:r>
        <w:rPr>
          <w:sz w:val="22"/>
          <w:szCs w:val="22"/>
        </w:rPr>
        <w:t xml:space="preserve">00:23:41</w:t>
      </w:r>
    </w:p>
    <w:p>
      <w:pPr>
        <w:pStyle w:val="ListParagraph"/>
        <w:numPr>
          <w:ilvl w:val="0"/>
          <w:numId w:val="2"/>
        </w:numPr>
        <w:spacing w:after="80" w:line="276"/>
      </w:pPr>
      <w:r>
        <w:rPr>
          <w:b/>
          <w:bCs/>
          <w:sz w:val="22"/>
          <w:szCs w:val="22"/>
        </w:rPr>
        <w:t xml:space="preserve">Source meeting: </w:t>
      </w:r>
      <w:r>
        <w:rPr>
          <w:sz w:val="22"/>
          <w:szCs w:val="22"/>
        </w:rPr>
        <w:t xml:space="preserve">"Requirements Workshop" (named session)</w:t>
      </w:r>
    </w:p>
    <w:p>
      <w:pPr>
        <w:spacing w:after="160" w:line="276"/>
      </w:pPr>
      <w:r>
        <w:rPr>
          <w:sz w:val="22"/>
          <w:szCs w:val="22"/>
        </w:rPr>
        <w:t xml:space="preserve">This turns the output from "an AI wrote this" into "here is the exact moment this was agreed, and how confident we are in the transcription of it" — which is what makes the documents defensible in client reviews and audits.</w:t>
      </w:r>
    </w:p>
    <w:p>
      <w:pPr>
        <w:pStyle w:val="Heading1"/>
        <w:pBdr>
          <w:bottom w:val="single" w:color="2E74B5" w:sz="6" w:space="4"/>
        </w:pBdr>
        <w:spacing w:after="200" w:before="400"/>
      </w:pPr>
      <w:r>
        <w:rPr>
          <w:b/>
          <w:bCs/>
          <w:color w:val="1F3864"/>
          <w:sz w:val="30"/>
          <w:szCs w:val="30"/>
        </w:rPr>
        <w:t xml:space="preserve">2. System Architecture</w:t>
      </w:r>
    </w:p>
    <w:p>
      <w:pPr>
        <w:spacing w:after="160" w:line="276"/>
      </w:pPr>
      <w:r>
        <w:rPr>
          <w:sz w:val="22"/>
          <w:szCs w:val="22"/>
        </w:rPr>
        <w:t xml:space="preserve">The platform is organized into four architectural layers, each with a clear responsibility. Data flows from raw meeting capture at the bottom up through reasoning to a finished, reviewable document.</w:t>
      </w:r>
    </w:p>
    <w:p>
      <w:pPr>
        <w:pStyle w:val="Heading2"/>
        <w:spacing w:after="150" w:before="300"/>
      </w:pPr>
      <w:r>
        <w:rPr>
          <w:b/>
          <w:bCs/>
          <w:color w:val="2E74B5"/>
          <w:sz w:val="24"/>
          <w:szCs w:val="24"/>
        </w:rPr>
        <w:t xml:space="preserve">2.1 The Four Layers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864" w:val="clear"/>
            <w:tcMar>
              <w:top w:type="dxa" w:w="100"/>
              <w:left w:type="dxa" w:w="120"/>
              <w:bottom w:type="dxa" w:w="100"/>
              <w:right w:type="dxa" w:w="120"/>
            </w:tcMar>
          </w:tcPr>
          <w:p>
            <w:pPr>
              <w:jc w:val="left"/>
            </w:pPr>
            <w:r>
              <w:rPr>
                <w:b/>
                <w:bCs/>
                <w:color w:val="FFFFFF"/>
                <w:sz w:val="20"/>
                <w:szCs w:val="20"/>
              </w:rPr>
              <w:t xml:space="preserve">Layer</w:t>
            </w:r>
          </w:p>
        </w:tc>
        <w:tc>
          <w:tcPr>
            <w:tcW w:type="dxa" w:w="6600"/>
            <w:shd w:fill="1F3864" w:val="clear"/>
            <w:tcMar>
              <w:top w:type="dxa" w:w="100"/>
              <w:left w:type="dxa" w:w="120"/>
              <w:bottom w:type="dxa" w:w="100"/>
              <w:right w:type="dxa" w:w="120"/>
            </w:tcMar>
          </w:tcPr>
          <w:p>
            <w:pPr>
              <w:jc w:val="left"/>
            </w:pPr>
            <w:r>
              <w:rPr>
                <w:b/>
                <w:bCs/>
                <w:color w:val="FFFFFF"/>
                <w:sz w:val="20"/>
                <w:szCs w:val="20"/>
              </w:rPr>
              <w:t xml:space="preserve">Responsibility</w:t>
            </w:r>
          </w:p>
        </w:tc>
      </w:tr>
      <w:tr>
        <w:tc>
          <w:tcPr>
            <w:tcW w:type="dxa" w:w="3200"/>
            <w:shd w:fill="F2F6FA" w:val="clear"/>
            <w:tcMar>
              <w:top w:type="dxa" w:w="100"/>
              <w:left w:type="dxa" w:w="120"/>
              <w:bottom w:type="dxa" w:w="100"/>
              <w:right w:type="dxa" w:w="120"/>
            </w:tcMar>
          </w:tcPr>
          <w:p>
            <w:pPr>
              <w:jc w:val="left"/>
            </w:pPr>
            <w:r>
              <w:rPr>
                <w:b w:val="false"/>
                <w:bCs w:val="false"/>
                <w:color w:val="000000"/>
                <w:sz w:val="20"/>
                <w:szCs w:val="20"/>
              </w:rPr>
              <w:t xml:space="preserve">1. Capture Layer</w:t>
            </w:r>
          </w:p>
        </w:tc>
        <w:tc>
          <w:tcPr>
            <w:tcW w:type="dxa" w:w="6600"/>
            <w:shd w:fill="F2F6FA" w:val="clear"/>
            <w:tcMar>
              <w:top w:type="dxa" w:w="100"/>
              <w:left w:type="dxa" w:w="120"/>
              <w:bottom w:type="dxa" w:w="100"/>
              <w:right w:type="dxa" w:w="120"/>
            </w:tcMar>
          </w:tcPr>
          <w:p>
            <w:pPr>
              <w:jc w:val="left"/>
            </w:pPr>
            <w:r>
              <w:rPr>
                <w:b w:val="false"/>
                <w:bCs w:val="false"/>
                <w:color w:val="000000"/>
                <w:sz w:val="20"/>
                <w:szCs w:val="20"/>
              </w:rPr>
              <w:t xml:space="preserve">Gets meeting content into the system — via bot recording, screen/system audio capture, or an uploaded/API transcript.</w:t>
            </w:r>
          </w:p>
        </w:tc>
      </w:tr>
      <w:tr>
        <w:tc>
          <w:tcPr>
            <w:tcW w:type="dxa" w:w="3200"/>
            <w:shd w:fill="FFFFFF" w:val="clear"/>
            <w:tcMar>
              <w:top w:type="dxa" w:w="100"/>
              <w:left w:type="dxa" w:w="120"/>
              <w:bottom w:type="dxa" w:w="100"/>
              <w:right w:type="dxa" w:w="120"/>
            </w:tcMar>
          </w:tcPr>
          <w:p>
            <w:pPr>
              <w:jc w:val="left"/>
            </w:pPr>
            <w:r>
              <w:rPr>
                <w:b w:val="false"/>
                <w:bCs w:val="false"/>
                <w:color w:val="000000"/>
                <w:sz w:val="20"/>
                <w:szCs w:val="20"/>
              </w:rPr>
              <w:t xml:space="preserve">2. Knowledge Fusion Layer</w:t>
            </w:r>
          </w:p>
        </w:tc>
        <w:tc>
          <w:tcPr>
            <w:tcW w:type="dxa" w:w="6600"/>
            <w:shd w:fill="FFFFFF" w:val="clear"/>
            <w:tcMar>
              <w:top w:type="dxa" w:w="100"/>
              <w:left w:type="dxa" w:w="120"/>
              <w:bottom w:type="dxa" w:w="100"/>
              <w:right w:type="dxa" w:w="120"/>
            </w:tcMar>
          </w:tcPr>
          <w:p>
            <w:pPr>
              <w:jc w:val="left"/>
            </w:pPr>
            <w:r>
              <w:rPr>
                <w:b w:val="false"/>
                <w:bCs w:val="false"/>
                <w:color w:val="000000"/>
                <w:sz w:val="20"/>
                <w:szCs w:val="20"/>
              </w:rPr>
              <w:t xml:space="preserve">Combines the new meeting content with everything already known about the project (past meetings, SRS, BRD) into one unified, de-duplicated knowledge base.</w:t>
            </w:r>
          </w:p>
        </w:tc>
      </w:tr>
      <w:tr>
        <w:tc>
          <w:tcPr>
            <w:tcW w:type="dxa" w:w="3200"/>
            <w:shd w:fill="F2F6FA" w:val="clear"/>
            <w:tcMar>
              <w:top w:type="dxa" w:w="100"/>
              <w:left w:type="dxa" w:w="120"/>
              <w:bottom w:type="dxa" w:w="100"/>
              <w:right w:type="dxa" w:w="120"/>
            </w:tcMar>
          </w:tcPr>
          <w:p>
            <w:pPr>
              <w:jc w:val="left"/>
            </w:pPr>
            <w:r>
              <w:rPr>
                <w:b w:val="false"/>
                <w:bCs w:val="false"/>
                <w:color w:val="000000"/>
                <w:sz w:val="20"/>
                <w:szCs w:val="20"/>
              </w:rPr>
              <w:t xml:space="preserve">3. Reasoning Layer</w:t>
            </w:r>
          </w:p>
        </w:tc>
        <w:tc>
          <w:tcPr>
            <w:tcW w:type="dxa" w:w="6600"/>
            <w:shd w:fill="F2F6FA" w:val="clear"/>
            <w:tcMar>
              <w:top w:type="dxa" w:w="100"/>
              <w:left w:type="dxa" w:w="120"/>
              <w:bottom w:type="dxa" w:w="100"/>
              <w:right w:type="dxa" w:w="120"/>
            </w:tcMar>
          </w:tcPr>
          <w:p>
            <w:pPr>
              <w:jc w:val="left"/>
            </w:pPr>
            <w:r>
              <w:rPr>
                <w:b w:val="false"/>
                <w:bCs w:val="false"/>
                <w:color w:val="000000"/>
                <w:sz w:val="20"/>
                <w:szCs w:val="20"/>
              </w:rPr>
              <w:t xml:space="preserve">AI agents extract entities, requirements, decisions, and action items, and reason about confidence, conflicts, and gaps.</w:t>
            </w:r>
          </w:p>
        </w:tc>
      </w:tr>
      <w:tr>
        <w:tc>
          <w:tcPr>
            <w:tcW w:type="dxa" w:w="3200"/>
            <w:shd w:fill="FFFFFF" w:val="clear"/>
            <w:tcMar>
              <w:top w:type="dxa" w:w="100"/>
              <w:left w:type="dxa" w:w="120"/>
              <w:bottom w:type="dxa" w:w="100"/>
              <w:right w:type="dxa" w:w="120"/>
            </w:tcMar>
          </w:tcPr>
          <w:p>
            <w:pPr>
              <w:jc w:val="left"/>
            </w:pPr>
            <w:r>
              <w:rPr>
                <w:b w:val="false"/>
                <w:bCs w:val="false"/>
                <w:color w:val="000000"/>
                <w:sz w:val="20"/>
                <w:szCs w:val="20"/>
              </w:rPr>
              <w:t xml:space="preserve">4. Doc Intelligence Layer</w:t>
            </w:r>
          </w:p>
        </w:tc>
        <w:tc>
          <w:tcPr>
            <w:tcW w:type="dxa" w:w="6600"/>
            <w:shd w:fill="FFFFFF" w:val="clear"/>
            <w:tcMar>
              <w:top w:type="dxa" w:w="100"/>
              <w:left w:type="dxa" w:w="120"/>
              <w:bottom w:type="dxa" w:w="100"/>
              <w:right w:type="dxa" w:w="120"/>
            </w:tcMar>
          </w:tcPr>
          <w:p>
            <w:pPr>
              <w:jc w:val="left"/>
            </w:pPr>
            <w:r>
              <w:rPr>
                <w:b w:val="false"/>
                <w:bCs w:val="false"/>
                <w:color w:val="000000"/>
                <w:sz w:val="20"/>
                <w:szCs w:val="20"/>
              </w:rPr>
              <w:t xml:space="preserve">Learns the structure of the client's own document template and generates a new/updated document that matches it exactly.</w:t>
            </w:r>
          </w:p>
        </w:tc>
      </w:tr>
    </w:tbl>
    <w:p>
      <w:pPr>
        <w:spacing w:after="200"/>
      </w:pPr>
    </w:p>
    <w:p>
      <w:pPr>
        <w:pStyle w:val="Heading2"/>
        <w:spacing w:after="150" w:before="300"/>
      </w:pPr>
      <w:r>
        <w:rPr>
          <w:b/>
          <w:bCs/>
          <w:color w:val="2E74B5"/>
          <w:sz w:val="24"/>
          <w:szCs w:val="24"/>
        </w:rPr>
        <w:t xml:space="preserve">2.2 End-to-End Pipeline</w:t>
      </w:r>
    </w:p>
    <w:p>
      <w:pPr>
        <w:spacing w:after="160" w:line="276"/>
      </w:pPr>
      <w:r>
        <w:rPr>
          <w:sz w:val="22"/>
          <w:szCs w:val="22"/>
        </w:rPr>
        <w:t xml:space="preserve">The full flow, from raw meeting to an approved document, is as follows:</w:t>
      </w:r>
    </w:p>
    <w:p>
      <w:pPr>
        <w:pStyle w:val="ListParagraph"/>
        <w:numPr>
          <w:ilvl w:val="0"/>
          <w:numId w:val="3"/>
        </w:numPr>
        <w:spacing w:after="80" w:line="276"/>
      </w:pPr>
      <w:r>
        <w:rPr>
          <w:sz w:val="22"/>
          <w:szCs w:val="22"/>
        </w:rPr>
        <w:t xml:space="preserve">Meeting Sources — audio/transcript is captured (see Section 2.3).</w:t>
      </w:r>
    </w:p>
    <w:p>
      <w:pPr>
        <w:pStyle w:val="ListParagraph"/>
        <w:numPr>
          <w:ilvl w:val="0"/>
          <w:numId w:val="3"/>
        </w:numPr>
        <w:spacing w:after="80" w:line="276"/>
      </w:pPr>
      <w:r>
        <w:rPr>
          <w:sz w:val="22"/>
          <w:szCs w:val="22"/>
        </w:rPr>
        <w:t xml:space="preserve">Unified Evidence Engine — all sources for a session are merged into one evidence stream.</w:t>
      </w:r>
    </w:p>
    <w:p>
      <w:pPr>
        <w:pStyle w:val="ListParagraph"/>
        <w:numPr>
          <w:ilvl w:val="0"/>
          <w:numId w:val="3"/>
        </w:numPr>
        <w:spacing w:after="80" w:line="276"/>
      </w:pPr>
      <w:r>
        <w:rPr>
          <w:sz w:val="22"/>
          <w:szCs w:val="22"/>
        </w:rPr>
        <w:t xml:space="preserve">Speech &amp; Text Normalization — cleans transcripts, fixes speaker labels, removes filler/noise.</w:t>
      </w:r>
    </w:p>
    <w:p>
      <w:pPr>
        <w:pStyle w:val="ListParagraph"/>
        <w:numPr>
          <w:ilvl w:val="0"/>
          <w:numId w:val="3"/>
        </w:numPr>
        <w:spacing w:after="80" w:line="276"/>
      </w:pPr>
      <w:r>
        <w:rPr>
          <w:sz w:val="22"/>
          <w:szCs w:val="22"/>
        </w:rPr>
        <w:t xml:space="preserve">AI Information Extraction — a set of specialized AI agents pull out requirements, decisions, risks, and action items.</w:t>
      </w:r>
    </w:p>
    <w:p>
      <w:pPr>
        <w:pStyle w:val="ListParagraph"/>
        <w:numPr>
          <w:ilvl w:val="0"/>
          <w:numId w:val="3"/>
        </w:numPr>
        <w:spacing w:after="80" w:line="276"/>
      </w:pPr>
      <w:r>
        <w:rPr>
          <w:sz w:val="22"/>
          <w:szCs w:val="22"/>
        </w:rPr>
        <w:t xml:space="preserve">Confidence &amp; Conflict Analysis — each extracted fact is scored, and contradictions across sources/meetings are flagged.</w:t>
      </w:r>
    </w:p>
    <w:p>
      <w:pPr>
        <w:pStyle w:val="ListParagraph"/>
        <w:numPr>
          <w:ilvl w:val="0"/>
          <w:numId w:val="3"/>
        </w:numPr>
        <w:spacing w:after="80" w:line="276"/>
      </w:pPr>
      <w:r>
        <w:rPr>
          <w:sz w:val="22"/>
          <w:szCs w:val="22"/>
        </w:rPr>
        <w:t xml:space="preserve">Document Generation Engine — the reconciled knowledge is mapped into the target document template.</w:t>
      </w:r>
    </w:p>
    <w:p>
      <w:pPr>
        <w:pStyle w:val="ListParagraph"/>
        <w:numPr>
          <w:ilvl w:val="0"/>
          <w:numId w:val="3"/>
        </w:numPr>
        <w:spacing w:after="80" w:line="276"/>
      </w:pPr>
      <w:r>
        <w:rPr>
          <w:sz w:val="22"/>
          <w:szCs w:val="22"/>
        </w:rPr>
        <w:t xml:space="preserve">Human Review &amp; Approval — a reviewer edits, accepts, or rejects content before it is finalized and downloaded.</w:t>
      </w:r>
    </w:p>
    <w:p>
      <w:pPr>
        <w:spacing w:after="100"/>
      </w:pPr>
    </w:p>
    <w:p>
      <w:pPr>
        <w:pStyle w:val="Heading2"/>
        <w:spacing w:after="150" w:before="300"/>
      </w:pPr>
      <w:r>
        <w:rPr>
          <w:b/>
          <w:bCs/>
          <w:color w:val="2E74B5"/>
          <w:sz w:val="24"/>
          <w:szCs w:val="24"/>
        </w:rPr>
        <w:t xml:space="preserve">2.3 Meeting Sources &amp; Priority Order</w:t>
      </w:r>
    </w:p>
    <w:p>
      <w:pPr>
        <w:spacing w:after="160" w:line="276"/>
      </w:pPr>
      <w:r>
        <w:rPr>
          <w:sz w:val="22"/>
          <w:szCs w:val="22"/>
        </w:rPr>
        <w:t xml:space="preserve">Multiple capture methods are supported, since not every client/meeting allows every option. Where more than one source is available for the same meeting, sources are prioritized in order of reliability: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5000"/>
      </w:tblGrid>
      <w:tr>
        <w:trPr>
          <w:tblHeader/>
        </w:trPr>
        <w:tc>
          <w:tcPr>
            <w:tcW w:type="dxa" w:w="1300"/>
            <w:shd w:fill="1F3864" w:val="clear"/>
            <w:tcMar>
              <w:top w:type="dxa" w:w="100"/>
              <w:left w:type="dxa" w:w="120"/>
              <w:bottom w:type="dxa" w:w="100"/>
              <w:right w:type="dxa" w:w="120"/>
            </w:tcMar>
          </w:tcPr>
          <w:p>
            <w:pPr>
              <w:jc w:val="left"/>
            </w:pPr>
            <w:r>
              <w:rPr>
                <w:b/>
                <w:bCs/>
                <w:color w:val="FFFFFF"/>
                <w:sz w:val="20"/>
                <w:szCs w:val="20"/>
              </w:rPr>
              <w:t xml:space="preserve">Priority</w:t>
            </w:r>
          </w:p>
        </w:tc>
        <w:tc>
          <w:tcPr>
            <w:tcW w:type="dxa" w:w="3500"/>
            <w:shd w:fill="1F3864" w:val="clear"/>
            <w:tcMar>
              <w:top w:type="dxa" w:w="100"/>
              <w:left w:type="dxa" w:w="120"/>
              <w:bottom w:type="dxa" w:w="100"/>
              <w:right w:type="dxa" w:w="120"/>
            </w:tcMar>
          </w:tcPr>
          <w:p>
            <w:pPr>
              <w:jc w:val="left"/>
            </w:pPr>
            <w:r>
              <w:rPr>
                <w:b/>
                <w:bCs/>
                <w:color w:val="FFFFFF"/>
                <w:sz w:val="20"/>
                <w:szCs w:val="20"/>
              </w:rPr>
              <w:t xml:space="preserve">Source</w:t>
            </w:r>
          </w:p>
        </w:tc>
        <w:tc>
          <w:tcPr>
            <w:tcW w:type="dxa" w:w="5000"/>
            <w:shd w:fill="1F3864" w:val="clear"/>
            <w:tcMar>
              <w:top w:type="dxa" w:w="100"/>
              <w:left w:type="dxa" w:w="120"/>
              <w:bottom w:type="dxa" w:w="100"/>
              <w:right w:type="dxa" w:w="120"/>
            </w:tcMar>
          </w:tcPr>
          <w:p>
            <w:pPr>
              <w:jc w:val="left"/>
            </w:pPr>
            <w:r>
              <w:rPr>
                <w:b/>
                <w:bCs/>
                <w:color w:val="FFFFFF"/>
                <w:sz w:val="20"/>
                <w:szCs w:val="20"/>
              </w:rPr>
              <w:t xml:space="preserve">Notes</w:t>
            </w:r>
          </w:p>
        </w:tc>
      </w:tr>
      <w:tr>
        <w:tc>
          <w:tcPr>
            <w:tcW w:type="dxa" w:w="1300"/>
            <w:shd w:fill="F2F6FA" w:val="clear"/>
            <w:tcMar>
              <w:top w:type="dxa" w:w="100"/>
              <w:left w:type="dxa" w:w="120"/>
              <w:bottom w:type="dxa" w:w="100"/>
              <w:right w:type="dxa" w:w="120"/>
            </w:tcMar>
          </w:tcPr>
          <w:p>
            <w:pPr>
              <w:jc w:val="left"/>
            </w:pPr>
            <w:r>
              <w:rPr>
                <w:b w:val="false"/>
                <w:bCs w:val="false"/>
                <w:color w:val="000000"/>
                <w:sz w:val="20"/>
                <w:szCs w:val="20"/>
              </w:rPr>
              <w:t xml:space="preserve">1</w:t>
            </w:r>
          </w:p>
        </w:tc>
        <w:tc>
          <w:tcPr>
            <w:tcW w:type="dxa" w:w="3500"/>
            <w:shd w:fill="F2F6FA" w:val="clear"/>
            <w:tcMar>
              <w:top w:type="dxa" w:w="100"/>
              <w:left w:type="dxa" w:w="120"/>
              <w:bottom w:type="dxa" w:w="100"/>
              <w:right w:type="dxa" w:w="120"/>
            </w:tcMar>
          </w:tcPr>
          <w:p>
            <w:pPr>
              <w:jc w:val="left"/>
            </w:pPr>
            <w:r>
              <w:rPr>
                <w:b w:val="false"/>
                <w:bCs w:val="false"/>
                <w:color w:val="000000"/>
                <w:sz w:val="20"/>
                <w:szCs w:val="20"/>
              </w:rPr>
              <w:t xml:space="preserve">Official meeting transcript</w:t>
            </w:r>
          </w:p>
        </w:tc>
        <w:tc>
          <w:tcPr>
            <w:tcW w:type="dxa" w:w="5000"/>
            <w:shd w:fill="F2F6FA" w:val="clear"/>
            <w:tcMar>
              <w:top w:type="dxa" w:w="100"/>
              <w:left w:type="dxa" w:w="120"/>
              <w:bottom w:type="dxa" w:w="100"/>
              <w:right w:type="dxa" w:w="120"/>
            </w:tcMar>
          </w:tcPr>
          <w:p>
            <w:pPr>
              <w:jc w:val="left"/>
            </w:pPr>
            <w:r>
              <w:rPr>
                <w:b w:val="false"/>
                <w:bCs w:val="false"/>
                <w:color w:val="000000"/>
                <w:sz w:val="20"/>
                <w:szCs w:val="20"/>
              </w:rPr>
              <w:t xml:space="preserve">Manual upload or platform API (Zoom/Teams/Meet). Highest reliability.</w:t>
            </w:r>
          </w:p>
        </w:tc>
      </w:tr>
      <w:tr>
        <w:tc>
          <w:tcPr>
            <w:tcW w:type="dxa" w:w="1300"/>
            <w:shd w:fill="FFFFFF" w:val="clear"/>
            <w:tcMar>
              <w:top w:type="dxa" w:w="100"/>
              <w:left w:type="dxa" w:w="120"/>
              <w:bottom w:type="dxa" w:w="100"/>
              <w:right w:type="dxa" w:w="120"/>
            </w:tcMar>
          </w:tcPr>
          <w:p>
            <w:pPr>
              <w:jc w:val="left"/>
            </w:pPr>
            <w:r>
              <w:rPr>
                <w:b w:val="false"/>
                <w:bCs w:val="false"/>
                <w:color w:val="000000"/>
                <w:sz w:val="20"/>
                <w:szCs w:val="20"/>
              </w:rPr>
              <w:t xml:space="preserve">2</w:t>
            </w:r>
          </w:p>
        </w:tc>
        <w:tc>
          <w:tcPr>
            <w:tcW w:type="dxa" w:w="3500"/>
            <w:shd w:fill="FFFFFF" w:val="clear"/>
            <w:tcMar>
              <w:top w:type="dxa" w:w="100"/>
              <w:left w:type="dxa" w:w="120"/>
              <w:bottom w:type="dxa" w:w="100"/>
              <w:right w:type="dxa" w:w="120"/>
            </w:tcMar>
          </w:tcPr>
          <w:p>
            <w:pPr>
              <w:jc w:val="left"/>
            </w:pPr>
            <w:r>
              <w:rPr>
                <w:b w:val="false"/>
                <w:bCs w:val="false"/>
                <w:color w:val="000000"/>
                <w:sz w:val="20"/>
                <w:szCs w:val="20"/>
              </w:rPr>
              <w:t xml:space="preserve">Meeting bot recording</w:t>
            </w:r>
          </w:p>
        </w:tc>
        <w:tc>
          <w:tcPr>
            <w:tcW w:type="dxa" w:w="5000"/>
            <w:shd w:fill="FFFFFF" w:val="clear"/>
            <w:tcMar>
              <w:top w:type="dxa" w:w="100"/>
              <w:left w:type="dxa" w:w="120"/>
              <w:bottom w:type="dxa" w:w="100"/>
              <w:right w:type="dxa" w:w="120"/>
            </w:tcMar>
          </w:tcPr>
          <w:p>
            <w:pPr>
              <w:jc w:val="left"/>
            </w:pPr>
            <w:r>
              <w:rPr>
                <w:b w:val="false"/>
                <w:bCs w:val="false"/>
                <w:color w:val="000000"/>
                <w:sz w:val="20"/>
                <w:szCs w:val="20"/>
              </w:rPr>
              <w:t xml:space="preserve">A bot joins the call directly (build only if feasible for the target platforms).</w:t>
            </w:r>
          </w:p>
        </w:tc>
      </w:tr>
      <w:tr>
        <w:tc>
          <w:tcPr>
            <w:tcW w:type="dxa" w:w="1300"/>
            <w:shd w:fill="F2F6FA" w:val="clear"/>
            <w:tcMar>
              <w:top w:type="dxa" w:w="100"/>
              <w:left w:type="dxa" w:w="120"/>
              <w:bottom w:type="dxa" w:w="100"/>
              <w:right w:type="dxa" w:w="120"/>
            </w:tcMar>
          </w:tcPr>
          <w:p>
            <w:pPr>
              <w:jc w:val="left"/>
            </w:pPr>
            <w:r>
              <w:rPr>
                <w:b w:val="false"/>
                <w:bCs w:val="false"/>
                <w:color w:val="000000"/>
                <w:sz w:val="20"/>
                <w:szCs w:val="20"/>
              </w:rPr>
              <w:t xml:space="preserve">3</w:t>
            </w:r>
          </w:p>
        </w:tc>
        <w:tc>
          <w:tcPr>
            <w:tcW w:type="dxa" w:w="3500"/>
            <w:shd w:fill="F2F6FA" w:val="clear"/>
            <w:tcMar>
              <w:top w:type="dxa" w:w="100"/>
              <w:left w:type="dxa" w:w="120"/>
              <w:bottom w:type="dxa" w:w="100"/>
              <w:right w:type="dxa" w:w="120"/>
            </w:tcMar>
          </w:tcPr>
          <w:p>
            <w:pPr>
              <w:jc w:val="left"/>
            </w:pPr>
            <w:r>
              <w:rPr>
                <w:b w:val="false"/>
                <w:bCs w:val="false"/>
                <w:color w:val="000000"/>
                <w:sz w:val="20"/>
                <w:szCs w:val="20"/>
              </w:rPr>
              <w:t xml:space="preserve">Screen-share + system audio capture</w:t>
            </w:r>
          </w:p>
        </w:tc>
        <w:tc>
          <w:tcPr>
            <w:tcW w:type="dxa" w:w="5000"/>
            <w:shd w:fill="F2F6FA" w:val="clear"/>
            <w:tcMar>
              <w:top w:type="dxa" w:w="100"/>
              <w:left w:type="dxa" w:w="120"/>
              <w:bottom w:type="dxa" w:w="100"/>
              <w:right w:type="dxa" w:w="120"/>
            </w:tcMar>
          </w:tcPr>
          <w:p>
            <w:pPr>
              <w:jc w:val="left"/>
            </w:pPr>
            <w:r>
              <w:rPr>
                <w:b w:val="false"/>
                <w:bCs w:val="false"/>
                <w:color w:val="000000"/>
                <w:sz w:val="20"/>
                <w:szCs w:val="20"/>
              </w:rPr>
              <w:t xml:space="preserve">Fallback capture method when a bot/transcript is not available.</w:t>
            </w:r>
          </w:p>
        </w:tc>
      </w:tr>
      <w:tr>
        <w:tc>
          <w:tcPr>
            <w:tcW w:type="dxa" w:w="1300"/>
            <w:shd w:fill="FFFFFF" w:val="clear"/>
            <w:tcMar>
              <w:top w:type="dxa" w:w="100"/>
              <w:left w:type="dxa" w:w="120"/>
              <w:bottom w:type="dxa" w:w="100"/>
              <w:right w:type="dxa" w:w="120"/>
            </w:tcMar>
          </w:tcPr>
          <w:p>
            <w:pPr>
              <w:jc w:val="left"/>
            </w:pPr>
            <w:r>
              <w:rPr>
                <w:b w:val="false"/>
                <w:bCs w:val="false"/>
                <w:color w:val="000000"/>
                <w:sz w:val="20"/>
                <w:szCs w:val="20"/>
              </w:rPr>
              <w:t xml:space="preserve">4</w:t>
            </w:r>
          </w:p>
        </w:tc>
        <w:tc>
          <w:tcPr>
            <w:tcW w:type="dxa" w:w="3500"/>
            <w:shd w:fill="FFFFFF" w:val="clear"/>
            <w:tcMar>
              <w:top w:type="dxa" w:w="100"/>
              <w:left w:type="dxa" w:w="120"/>
              <w:bottom w:type="dxa" w:w="100"/>
              <w:right w:type="dxa" w:w="120"/>
            </w:tcMar>
          </w:tcPr>
          <w:p>
            <w:pPr>
              <w:jc w:val="left"/>
            </w:pPr>
            <w:r>
              <w:rPr>
                <w:b w:val="false"/>
                <w:bCs w:val="false"/>
                <w:color w:val="000000"/>
                <w:sz w:val="20"/>
                <w:szCs w:val="20"/>
              </w:rPr>
              <w:t xml:space="preserve">Manual notes uploaded by users</w:t>
            </w:r>
          </w:p>
        </w:tc>
        <w:tc>
          <w:tcPr>
            <w:tcW w:type="dxa" w:w="5000"/>
            <w:shd w:fill="FFFFFF" w:val="clear"/>
            <w:tcMar>
              <w:top w:type="dxa" w:w="100"/>
              <w:left w:type="dxa" w:w="120"/>
              <w:bottom w:type="dxa" w:w="100"/>
              <w:right w:type="dxa" w:w="120"/>
            </w:tcMar>
          </w:tcPr>
          <w:p>
            <w:pPr>
              <w:jc w:val="left"/>
            </w:pPr>
            <w:r>
              <w:rPr>
                <w:b w:val="false"/>
                <w:bCs w:val="false"/>
                <w:color w:val="000000"/>
                <w:sz w:val="20"/>
                <w:szCs w:val="20"/>
              </w:rPr>
              <w:t xml:space="preserve">Analyst-typed notes, used to fill gaps or as the sole input.</w:t>
            </w:r>
          </w:p>
        </w:tc>
      </w:tr>
      <w:tr>
        <w:tc>
          <w:tcPr>
            <w:tcW w:type="dxa" w:w="1300"/>
            <w:shd w:fill="F2F6FA" w:val="clear"/>
            <w:tcMar>
              <w:top w:type="dxa" w:w="100"/>
              <w:left w:type="dxa" w:w="120"/>
              <w:bottom w:type="dxa" w:w="100"/>
              <w:right w:type="dxa" w:w="120"/>
            </w:tcMar>
          </w:tcPr>
          <w:p>
            <w:pPr>
              <w:jc w:val="left"/>
            </w:pPr>
            <w:r>
              <w:rPr>
                <w:b w:val="false"/>
                <w:bCs w:val="false"/>
                <w:color w:val="000000"/>
                <w:sz w:val="20"/>
                <w:szCs w:val="20"/>
              </w:rPr>
              <w:t xml:space="preserve">5</w:t>
            </w:r>
          </w:p>
        </w:tc>
        <w:tc>
          <w:tcPr>
            <w:tcW w:type="dxa" w:w="3500"/>
            <w:shd w:fill="F2F6FA" w:val="clear"/>
            <w:tcMar>
              <w:top w:type="dxa" w:w="100"/>
              <w:left w:type="dxa" w:w="120"/>
              <w:bottom w:type="dxa" w:w="100"/>
              <w:right w:type="dxa" w:w="120"/>
            </w:tcMar>
          </w:tcPr>
          <w:p>
            <w:pPr>
              <w:jc w:val="left"/>
            </w:pPr>
            <w:r>
              <w:rPr>
                <w:b w:val="false"/>
                <w:bCs w:val="false"/>
                <w:color w:val="000000"/>
                <w:sz w:val="20"/>
                <w:szCs w:val="20"/>
              </w:rPr>
              <w:t xml:space="preserve">Existing project documentation</w:t>
            </w:r>
          </w:p>
        </w:tc>
        <w:tc>
          <w:tcPr>
            <w:tcW w:type="dxa" w:w="5000"/>
            <w:shd w:fill="F2F6FA" w:val="clear"/>
            <w:tcMar>
              <w:top w:type="dxa" w:w="100"/>
              <w:left w:type="dxa" w:w="120"/>
              <w:bottom w:type="dxa" w:w="100"/>
              <w:right w:type="dxa" w:w="120"/>
            </w:tcMar>
          </w:tcPr>
          <w:p>
            <w:pPr>
              <w:jc w:val="left"/>
            </w:pPr>
            <w:r>
              <w:rPr>
                <w:b w:val="false"/>
                <w:bCs w:val="false"/>
                <w:color w:val="000000"/>
                <w:sz w:val="20"/>
                <w:szCs w:val="20"/>
              </w:rPr>
              <w:t xml:space="preserve">Prior SRS/BRD, used as background knowledge, not as a live source.</w:t>
            </w:r>
          </w:p>
        </w:tc>
      </w:tr>
    </w:tbl>
    <w:p>
      <w:pPr>
        <w:spacing w:after="150"/>
      </w:pPr>
    </w:p>
    <w:p>
      <w:pPr>
        <w:pStyle w:val="Heading3"/>
        <w:spacing w:after="100" w:before="200"/>
      </w:pPr>
      <w:r>
        <w:rPr>
          <w:b/>
          <w:bCs/>
          <w:color w:val="1F3864"/>
          <w:sz w:val="21"/>
          <w:szCs w:val="21"/>
        </w:rPr>
        <w:t xml:space="preserve">Confidence Scoring by Source</w:t>
      </w:r>
    </w:p>
    <w:p>
      <w:pPr>
        <w:spacing w:after="160" w:line="276"/>
      </w:pPr>
      <w:r>
        <w:rPr>
          <w:sz w:val="22"/>
          <w:szCs w:val="22"/>
        </w:rPr>
        <w:t xml:space="preserve">Because different capture methods have different transcription quality, each source is assigned a baseline confidence, which then combines with per-statement extraction confidence: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400"/>
        <w:gridCol w:w="4400"/>
      </w:tblGrid>
      <w:tr>
        <w:trPr>
          <w:tblHeader/>
        </w:trPr>
        <w:tc>
          <w:tcPr>
            <w:tcW w:type="dxa" w:w="5400"/>
            <w:shd w:fill="1F3864" w:val="clear"/>
            <w:tcMar>
              <w:top w:type="dxa" w:w="100"/>
              <w:left w:type="dxa" w:w="120"/>
              <w:bottom w:type="dxa" w:w="100"/>
              <w:right w:type="dxa" w:w="120"/>
            </w:tcMar>
          </w:tcPr>
          <w:p>
            <w:pPr>
              <w:jc w:val="left"/>
            </w:pPr>
            <w:r>
              <w:rPr>
                <w:b/>
                <w:bCs/>
                <w:color w:val="FFFFFF"/>
                <w:sz w:val="20"/>
                <w:szCs w:val="20"/>
              </w:rPr>
              <w:t xml:space="preserve">Source</w:t>
            </w:r>
          </w:p>
        </w:tc>
        <w:tc>
          <w:tcPr>
            <w:tcW w:type="dxa" w:w="4400"/>
            <w:shd w:fill="1F3864" w:val="clear"/>
            <w:tcMar>
              <w:top w:type="dxa" w:w="100"/>
              <w:left w:type="dxa" w:w="120"/>
              <w:bottom w:type="dxa" w:w="100"/>
              <w:right w:type="dxa" w:w="120"/>
            </w:tcMar>
          </w:tcPr>
          <w:p>
            <w:pPr>
              <w:jc w:val="left"/>
            </w:pPr>
            <w:r>
              <w:rPr>
                <w:b/>
                <w:bCs/>
                <w:color w:val="FFFFFF"/>
                <w:sz w:val="20"/>
                <w:szCs w:val="20"/>
              </w:rPr>
              <w:t xml:space="preserve">Baseline Confidence</w:t>
            </w:r>
          </w:p>
        </w:tc>
      </w:tr>
      <w:tr>
        <w:tc>
          <w:tcPr>
            <w:tcW w:type="dxa" w:w="5400"/>
            <w:shd w:fill="F2F6FA" w:val="clear"/>
            <w:tcMar>
              <w:top w:type="dxa" w:w="100"/>
              <w:left w:type="dxa" w:w="120"/>
              <w:bottom w:type="dxa" w:w="100"/>
              <w:right w:type="dxa" w:w="120"/>
            </w:tcMar>
          </w:tcPr>
          <w:p>
            <w:pPr>
              <w:jc w:val="left"/>
            </w:pPr>
            <w:r>
              <w:rPr>
                <w:b w:val="false"/>
                <w:bCs w:val="false"/>
                <w:color w:val="000000"/>
                <w:sz w:val="20"/>
                <w:szCs w:val="20"/>
              </w:rPr>
              <w:t xml:space="preserve">Official transcript</w:t>
            </w:r>
          </w:p>
        </w:tc>
        <w:tc>
          <w:tcPr>
            <w:tcW w:type="dxa" w:w="4400"/>
            <w:shd w:fill="F2F6FA" w:val="clear"/>
            <w:tcMar>
              <w:top w:type="dxa" w:w="100"/>
              <w:left w:type="dxa" w:w="120"/>
              <w:bottom w:type="dxa" w:w="100"/>
              <w:right w:type="dxa" w:w="120"/>
            </w:tcMar>
          </w:tcPr>
          <w:p>
            <w:pPr>
              <w:jc w:val="left"/>
            </w:pPr>
            <w:r>
              <w:rPr>
                <w:b w:val="false"/>
                <w:bCs w:val="false"/>
                <w:color w:val="000000"/>
                <w:sz w:val="20"/>
                <w:szCs w:val="20"/>
              </w:rPr>
              <w:t xml:space="preserve">~99%</w:t>
            </w:r>
          </w:p>
        </w:tc>
      </w:tr>
      <w:tr>
        <w:tc>
          <w:tcPr>
            <w:tcW w:type="dxa" w:w="5400"/>
            <w:shd w:fill="FFFFFF" w:val="clear"/>
            <w:tcMar>
              <w:top w:type="dxa" w:w="100"/>
              <w:left w:type="dxa" w:w="120"/>
              <w:bottom w:type="dxa" w:w="100"/>
              <w:right w:type="dxa" w:w="120"/>
            </w:tcMar>
          </w:tcPr>
          <w:p>
            <w:pPr>
              <w:jc w:val="left"/>
            </w:pPr>
            <w:r>
              <w:rPr>
                <w:b w:val="false"/>
                <w:bCs w:val="false"/>
                <w:color w:val="000000"/>
                <w:sz w:val="20"/>
                <w:szCs w:val="20"/>
              </w:rPr>
              <w:t xml:space="preserve">Meeting bot audio</w:t>
            </w:r>
          </w:p>
        </w:tc>
        <w:tc>
          <w:tcPr>
            <w:tcW w:type="dxa" w:w="4400"/>
            <w:shd w:fill="FFFFFF" w:val="clear"/>
            <w:tcMar>
              <w:top w:type="dxa" w:w="100"/>
              <w:left w:type="dxa" w:w="120"/>
              <w:bottom w:type="dxa" w:w="100"/>
              <w:right w:type="dxa" w:w="120"/>
            </w:tcMar>
          </w:tcPr>
          <w:p>
            <w:pPr>
              <w:jc w:val="left"/>
            </w:pPr>
            <w:r>
              <w:rPr>
                <w:b w:val="false"/>
                <w:bCs w:val="false"/>
                <w:color w:val="000000"/>
                <w:sz w:val="20"/>
                <w:szCs w:val="20"/>
              </w:rPr>
              <w:t xml:space="preserve">~92%</w:t>
            </w:r>
          </w:p>
        </w:tc>
      </w:tr>
      <w:tr>
        <w:tc>
          <w:tcPr>
            <w:tcW w:type="dxa" w:w="5400"/>
            <w:shd w:fill="F2F6FA" w:val="clear"/>
            <w:tcMar>
              <w:top w:type="dxa" w:w="100"/>
              <w:left w:type="dxa" w:w="120"/>
              <w:bottom w:type="dxa" w:w="100"/>
              <w:right w:type="dxa" w:w="120"/>
            </w:tcMar>
          </w:tcPr>
          <w:p>
            <w:pPr>
              <w:jc w:val="left"/>
            </w:pPr>
            <w:r>
              <w:rPr>
                <w:b w:val="false"/>
                <w:bCs w:val="false"/>
                <w:color w:val="000000"/>
                <w:sz w:val="20"/>
                <w:szCs w:val="20"/>
              </w:rPr>
              <w:t xml:space="preserve">Screen-share / system audio capture</w:t>
            </w:r>
          </w:p>
        </w:tc>
        <w:tc>
          <w:tcPr>
            <w:tcW w:type="dxa" w:w="4400"/>
            <w:shd w:fill="F2F6FA" w:val="clear"/>
            <w:tcMar>
              <w:top w:type="dxa" w:w="100"/>
              <w:left w:type="dxa" w:w="120"/>
              <w:bottom w:type="dxa" w:w="100"/>
              <w:right w:type="dxa" w:w="120"/>
            </w:tcMar>
          </w:tcPr>
          <w:p>
            <w:pPr>
              <w:jc w:val="left"/>
            </w:pPr>
            <w:r>
              <w:rPr>
                <w:b w:val="false"/>
                <w:bCs w:val="false"/>
                <w:color w:val="000000"/>
                <w:sz w:val="20"/>
                <w:szCs w:val="20"/>
              </w:rPr>
              <w:t xml:space="preserve">~88%</w:t>
            </w:r>
          </w:p>
        </w:tc>
      </w:tr>
    </w:tbl>
    <w:p>
      <w:pPr>
        <w:spacing w:after="200"/>
      </w:pPr>
    </w:p>
    <w:p>
      <w:pPr>
        <w:pStyle w:val="Heading2"/>
        <w:spacing w:after="150" w:before="300"/>
      </w:pPr>
      <w:r>
        <w:rPr>
          <w:b/>
          <w:bCs/>
          <w:color w:val="2E74B5"/>
          <w:sz w:val="24"/>
          <w:szCs w:val="24"/>
        </w:rPr>
        <w:t xml:space="preserve">2.4 Knowledge Fusion Engine</w:t>
      </w:r>
    </w:p>
    <w:p>
      <w:pPr>
        <w:spacing w:after="160" w:line="276"/>
      </w:pPr>
      <w:r>
        <w:rPr>
          <w:sz w:val="22"/>
          <w:szCs w:val="22"/>
        </w:rPr>
        <w:t xml:space="preserve">The Knowledge Fusion Engine is where a single meeting's content stops being an isolated transcript and becomes part of the project's ongoing memory. It combines:</w:t>
      </w:r>
    </w:p>
    <w:p>
      <w:pPr>
        <w:pStyle w:val="ListParagraph"/>
        <w:numPr>
          <w:ilvl w:val="0"/>
          <w:numId w:val="2"/>
        </w:numPr>
        <w:spacing w:after="80" w:line="276"/>
      </w:pPr>
      <w:r>
        <w:rPr>
          <w:sz w:val="22"/>
          <w:szCs w:val="22"/>
        </w:rPr>
        <w:t xml:space="preserve">Bot audio, screen audio, and transcript for the current meeting</w:t>
      </w:r>
    </w:p>
    <w:p>
      <w:pPr>
        <w:pStyle w:val="ListParagraph"/>
        <w:numPr>
          <w:ilvl w:val="0"/>
          <w:numId w:val="2"/>
        </w:numPr>
        <w:spacing w:after="80" w:line="276"/>
      </w:pPr>
      <w:r>
        <w:rPr>
          <w:sz w:val="22"/>
          <w:szCs w:val="22"/>
        </w:rPr>
        <w:t xml:space="preserve">The existing SRS/BRD for the project (if one exists)</w:t>
      </w:r>
    </w:p>
    <w:p>
      <w:pPr>
        <w:pStyle w:val="ListParagraph"/>
        <w:numPr>
          <w:ilvl w:val="0"/>
          <w:numId w:val="2"/>
        </w:numPr>
        <w:spacing w:after="80" w:line="276"/>
      </w:pPr>
      <w:r>
        <w:rPr>
          <w:sz w:val="22"/>
          <w:szCs w:val="22"/>
        </w:rPr>
        <w:t xml:space="preserve">Previous meeting notes, in chronological order</w:t>
      </w:r>
    </w:p>
    <w:p>
      <w:pPr>
        <w:pStyle w:val="ListParagraph"/>
        <w:numPr>
          <w:ilvl w:val="0"/>
          <w:numId w:val="2"/>
        </w:numPr>
        <w:spacing w:after="80" w:line="276"/>
      </w:pPr>
      <w:r>
        <w:rPr>
          <w:sz w:val="22"/>
          <w:szCs w:val="22"/>
        </w:rPr>
        <w:t xml:space="preserve">The client's original BRD (Business Requirements Document), where available</w:t>
      </w:r>
    </w:p>
    <w:p>
      <w:pPr>
        <w:spacing w:after="160" w:line="276"/>
      </w:pPr>
      <w:r>
        <w:rPr>
          <w:sz w:val="22"/>
          <w:szCs w:val="22"/>
        </w:rPr>
        <w:t xml:space="preserve">These are fed into the fusion engine, which performs:</w:t>
      </w:r>
    </w:p>
    <w:p>
      <w:pPr>
        <w:pStyle w:val="ListParagraph"/>
        <w:numPr>
          <w:ilvl w:val="0"/>
          <w:numId w:val="2"/>
        </w:numPr>
        <w:spacing w:after="80" w:line="276"/>
      </w:pPr>
      <w:r>
        <w:rPr>
          <w:b/>
          <w:bCs/>
          <w:sz w:val="22"/>
          <w:szCs w:val="22"/>
        </w:rPr>
        <w:t xml:space="preserve">Duplicate removal — </w:t>
      </w:r>
      <w:r>
        <w:rPr>
          <w:sz w:val="22"/>
          <w:szCs w:val="22"/>
        </w:rPr>
        <w:t xml:space="preserve">the same requirement mentioned in two meetings is merged, not repeated.</w:t>
      </w:r>
    </w:p>
    <w:p>
      <w:pPr>
        <w:pStyle w:val="ListParagraph"/>
        <w:numPr>
          <w:ilvl w:val="0"/>
          <w:numId w:val="2"/>
        </w:numPr>
        <w:spacing w:after="80" w:line="276"/>
      </w:pPr>
      <w:r>
        <w:rPr>
          <w:b/>
          <w:bCs/>
          <w:sz w:val="22"/>
          <w:szCs w:val="22"/>
        </w:rPr>
        <w:t xml:space="preserve">Conflict detection — </w:t>
      </w:r>
      <w:r>
        <w:rPr>
          <w:sz w:val="22"/>
          <w:szCs w:val="22"/>
        </w:rPr>
        <w:t xml:space="preserve">contradictory statements (e.g. a requirement changed between meetings) are flagged for human attention rather than silently overwritten.</w:t>
      </w:r>
    </w:p>
    <w:p>
      <w:pPr>
        <w:pStyle w:val="ListParagraph"/>
        <w:numPr>
          <w:ilvl w:val="0"/>
          <w:numId w:val="2"/>
        </w:numPr>
        <w:spacing w:after="80" w:line="276"/>
      </w:pPr>
      <w:r>
        <w:rPr>
          <w:b/>
          <w:bCs/>
          <w:sz w:val="22"/>
          <w:szCs w:val="22"/>
        </w:rPr>
        <w:t xml:space="preserve">Confidence scoring — </w:t>
      </w:r>
      <w:r>
        <w:rPr>
          <w:sz w:val="22"/>
          <w:szCs w:val="22"/>
        </w:rPr>
        <w:t xml:space="preserve">each fused fact carries forward the confidence of its best-supporting source.</w:t>
      </w:r>
    </w:p>
    <w:p>
      <w:pPr>
        <w:pStyle w:val="ListParagraph"/>
        <w:numPr>
          <w:ilvl w:val="0"/>
          <w:numId w:val="2"/>
        </w:numPr>
        <w:spacing w:after="80" w:line="276"/>
      </w:pPr>
      <w:r>
        <w:rPr>
          <w:b/>
          <w:bCs/>
          <w:sz w:val="22"/>
          <w:szCs w:val="22"/>
        </w:rPr>
        <w:t xml:space="preserve">Timeline creation — </w:t>
      </w:r>
      <w:r>
        <w:rPr>
          <w:sz w:val="22"/>
          <w:szCs w:val="22"/>
        </w:rPr>
        <w:t xml:space="preserve">an ordered history of when each requirement/decision was introduced or changed.</w:t>
      </w:r>
    </w:p>
    <w:p>
      <w:pPr>
        <w:pStyle w:val="ListParagraph"/>
        <w:numPr>
          <w:ilvl w:val="0"/>
          <w:numId w:val="2"/>
        </w:numPr>
        <w:spacing w:after="80" w:line="276"/>
      </w:pPr>
      <w:r>
        <w:rPr>
          <w:b/>
          <w:bCs/>
          <w:sz w:val="22"/>
          <w:szCs w:val="22"/>
        </w:rPr>
        <w:t xml:space="preserve">Entity resolution — </w:t>
      </w:r>
      <w:r>
        <w:rPr>
          <w:sz w:val="22"/>
          <w:szCs w:val="22"/>
        </w:rPr>
        <w:t xml:space="preserve">the same person, module, or feature referred to by different names/aliases across meetings is recognized as one entity.</w:t>
      </w:r>
    </w:p>
    <w:p>
      <w:pPr>
        <w:pStyle w:val="Heading2"/>
        <w:spacing w:after="150" w:before="300"/>
      </w:pPr>
      <w:r>
        <w:rPr>
          <w:b/>
          <w:bCs/>
          <w:color w:val="2E74B5"/>
          <w:sz w:val="24"/>
          <w:szCs w:val="24"/>
        </w:rPr>
        <w:t xml:space="preserve">2.5 AI Information Extraction (Multi-Agent Design)</w:t>
      </w:r>
    </w:p>
    <w:p>
      <w:pPr>
        <w:spacing w:after="160" w:line="276"/>
      </w:pPr>
      <w:r>
        <w:rPr>
          <w:sz w:val="22"/>
          <w:szCs w:val="22"/>
        </w:rPr>
        <w:t xml:space="preserve">Rather than one large model trying to do everything, extraction is split across a small set of specialized agents so each one has a narrow, well-defined job and its output can be traced back to "which agent produced this claim." A working starting point is three agents:</w:t>
      </w:r>
    </w:p>
    <w:p>
      <w:pPr>
        <w:pStyle w:val="ListParagraph"/>
        <w:numPr>
          <w:ilvl w:val="0"/>
          <w:numId w:val="2"/>
        </w:numPr>
        <w:spacing w:after="80" w:line="276"/>
      </w:pPr>
      <w:r>
        <w:rPr>
          <w:b/>
          <w:bCs/>
          <w:sz w:val="22"/>
          <w:szCs w:val="22"/>
        </w:rPr>
        <w:t xml:space="preserve">Requirements/Decisions Agent — </w:t>
      </w:r>
      <w:r>
        <w:rPr>
          <w:sz w:val="22"/>
          <w:szCs w:val="22"/>
        </w:rPr>
        <w:t xml:space="preserve">pulls out functional and non-functional requirements and agreed decisions.</w:t>
      </w:r>
    </w:p>
    <w:p>
      <w:pPr>
        <w:pStyle w:val="ListParagraph"/>
        <w:numPr>
          <w:ilvl w:val="0"/>
          <w:numId w:val="2"/>
        </w:numPr>
        <w:spacing w:after="80" w:line="276"/>
      </w:pPr>
      <w:r>
        <w:rPr>
          <w:b/>
          <w:bCs/>
          <w:sz w:val="22"/>
          <w:szCs w:val="22"/>
        </w:rPr>
        <w:t xml:space="preserve">Action Items &amp; Ownership Agent — </w:t>
      </w:r>
      <w:r>
        <w:rPr>
          <w:sz w:val="22"/>
          <w:szCs w:val="22"/>
        </w:rPr>
        <w:t xml:space="preserve">extracts tasks, owners, and due dates mentioned in discussion.</w:t>
      </w:r>
    </w:p>
    <w:p>
      <w:pPr>
        <w:pStyle w:val="ListParagraph"/>
        <w:numPr>
          <w:ilvl w:val="0"/>
          <w:numId w:val="2"/>
        </w:numPr>
        <w:spacing w:after="80" w:line="276"/>
      </w:pPr>
      <w:r>
        <w:rPr>
          <w:b/>
          <w:bCs/>
          <w:sz w:val="22"/>
          <w:szCs w:val="22"/>
        </w:rPr>
        <w:t xml:space="preserve">Risks/Open Questions Agent — </w:t>
      </w:r>
      <w:r>
        <w:rPr>
          <w:sz w:val="22"/>
          <w:szCs w:val="22"/>
        </w:rPr>
        <w:t xml:space="preserve">flags risks, blockers, and unresolved questions raised in the meeting.</w:t>
      </w:r>
    </w:p>
    <w:p>
      <w:pPr>
        <w:spacing w:after="160" w:line="276"/>
      </w:pPr>
      <w:r>
        <w:rPr>
          <w:sz w:val="22"/>
          <w:szCs w:val="22"/>
        </w:rPr>
        <w:t xml:space="preserve">Each agent's output is tagged with its source evidence (source type, speaker, timestamp, confidence) as described in Section 1.3, so the reasoning behind every generated line can always be traced back to the responsible agent and its source.</w:t>
      </w:r>
    </w:p>
    <w:p>
      <w:pPr>
        <w:pStyle w:val="Heading2"/>
        <w:spacing w:after="150" w:before="300"/>
      </w:pPr>
      <w:r>
        <w:rPr>
          <w:b/>
          <w:bCs/>
          <w:color w:val="2E74B5"/>
          <w:sz w:val="24"/>
          <w:szCs w:val="24"/>
        </w:rPr>
        <w:t xml:space="preserve">2.6 Document Intelligence Layer</w:t>
      </w:r>
    </w:p>
    <w:p>
      <w:pPr>
        <w:spacing w:after="160" w:line="276"/>
      </w:pPr>
      <w:r>
        <w:rPr>
          <w:sz w:val="22"/>
          <w:szCs w:val="22"/>
        </w:rPr>
        <w:t xml:space="preserve">Because every client and every document type uses a different template, the platform does not hard-code any single document layout. Instead, it learns the structure of whatever template is uploaded:</w:t>
      </w:r>
    </w:p>
    <w:p>
      <w:pPr>
        <w:pStyle w:val="ListParagraph"/>
        <w:numPr>
          <w:ilvl w:val="0"/>
          <w:numId w:val="3"/>
        </w:numPr>
        <w:spacing w:after="80" w:line="276"/>
      </w:pPr>
      <w:r>
        <w:rPr>
          <w:sz w:val="22"/>
          <w:szCs w:val="22"/>
        </w:rPr>
        <w:t xml:space="preserve">Upload Template — the user uploads their existing SRS/BRD/MOM/etc. template (a blank or filled example).</w:t>
      </w:r>
    </w:p>
    <w:p>
      <w:pPr>
        <w:pStyle w:val="ListParagraph"/>
        <w:numPr>
          <w:ilvl w:val="0"/>
          <w:numId w:val="3"/>
        </w:numPr>
        <w:spacing w:after="80" w:line="276"/>
      </w:pPr>
      <w:r>
        <w:rPr>
          <w:sz w:val="22"/>
          <w:szCs w:val="22"/>
        </w:rPr>
        <w:t xml:space="preserve">Template Intelligence Layer — the system parses and understands the document (sections, headings, tables, required fields).</w:t>
      </w:r>
    </w:p>
    <w:p>
      <w:pPr>
        <w:pStyle w:val="ListParagraph"/>
        <w:numPr>
          <w:ilvl w:val="0"/>
          <w:numId w:val="3"/>
        </w:numPr>
        <w:spacing w:after="80" w:line="276"/>
      </w:pPr>
      <w:r>
        <w:rPr>
          <w:sz w:val="22"/>
          <w:szCs w:val="22"/>
        </w:rPr>
        <w:t xml:space="preserve">Generate Template Schema — a reusable structural schema is produced from that understanding.</w:t>
      </w:r>
    </w:p>
    <w:p>
      <w:pPr>
        <w:pStyle w:val="ListParagraph"/>
        <w:numPr>
          <w:ilvl w:val="0"/>
          <w:numId w:val="3"/>
        </w:numPr>
        <w:spacing w:after="80" w:line="276"/>
      </w:pPr>
      <w:r>
        <w:rPr>
          <w:sz w:val="22"/>
          <w:szCs w:val="22"/>
        </w:rPr>
        <w:t xml:space="preserve">This schema drives the Dynamic Document Generator so the output matches the client's own formatting, section names, and structure.</w:t>
      </w:r>
    </w:p>
    <w:p>
      <w:pPr>
        <w:pStyle w:val="Heading2"/>
        <w:spacing w:after="150" w:before="300"/>
      </w:pPr>
      <w:r>
        <w:rPr>
          <w:b/>
          <w:bCs/>
          <w:color w:val="2E74B5"/>
          <w:sz w:val="24"/>
          <w:szCs w:val="24"/>
        </w:rPr>
        <w:t xml:space="preserve">2.7 Planning, Generation &amp; Review</w:t>
      </w:r>
    </w:p>
    <w:p>
      <w:pPr>
        <w:spacing w:after="160" w:line="276"/>
      </w:pPr>
      <w:r>
        <w:rPr>
          <w:sz w:val="22"/>
          <w:szCs w:val="22"/>
        </w:rPr>
        <w:t xml:space="preserve">At generation time, the platform decides what needs to happen and executes it:</w:t>
      </w:r>
    </w:p>
    <w:p>
      <w:pPr>
        <w:pStyle w:val="ListParagraph"/>
        <w:numPr>
          <w:ilvl w:val="0"/>
          <w:numId w:val="3"/>
        </w:numPr>
        <w:spacing w:after="80" w:line="276"/>
      </w:pPr>
      <w:r>
        <w:rPr>
          <w:sz w:val="22"/>
          <w:szCs w:val="22"/>
        </w:rPr>
        <w:t xml:space="preserve">AI Planning Engine — reviews the request (document type, project, template) and plans the work.</w:t>
      </w:r>
    </w:p>
    <w:p>
      <w:pPr>
        <w:pStyle w:val="ListParagraph"/>
        <w:numPr>
          <w:ilvl w:val="0"/>
          <w:numId w:val="3"/>
        </w:numPr>
        <w:spacing w:after="80" w:line="276"/>
      </w:pPr>
      <w:r>
        <w:rPr>
          <w:sz w:val="22"/>
          <w:szCs w:val="22"/>
        </w:rPr>
        <w:t xml:space="preserve">Decide Required AI Agents — selects which extraction/reasoning agents are needed for this document.</w:t>
      </w:r>
    </w:p>
    <w:p>
      <w:pPr>
        <w:pStyle w:val="ListParagraph"/>
        <w:numPr>
          <w:ilvl w:val="0"/>
          <w:numId w:val="3"/>
        </w:numPr>
        <w:spacing w:after="80" w:line="276"/>
      </w:pPr>
      <w:r>
        <w:rPr>
          <w:sz w:val="22"/>
          <w:szCs w:val="22"/>
        </w:rPr>
        <w:t xml:space="preserve">Meeting Intelligence Engine — runs those agents over the fused knowledge base.</w:t>
      </w:r>
    </w:p>
    <w:p>
      <w:pPr>
        <w:pStyle w:val="ListParagraph"/>
        <w:numPr>
          <w:ilvl w:val="0"/>
          <w:numId w:val="3"/>
        </w:numPr>
        <w:spacing w:after="80" w:line="276"/>
      </w:pPr>
      <w:r>
        <w:rPr>
          <w:sz w:val="22"/>
          <w:szCs w:val="22"/>
        </w:rPr>
        <w:t xml:space="preserve">Structured Knowledge Graph — the extracted, reconciled facts are organized into a project knowledge graph (entities, requirements, relationships, timeline).</w:t>
      </w:r>
    </w:p>
    <w:p>
      <w:pPr>
        <w:pStyle w:val="ListParagraph"/>
        <w:numPr>
          <w:ilvl w:val="0"/>
          <w:numId w:val="3"/>
        </w:numPr>
        <w:spacing w:after="80" w:line="276"/>
      </w:pPr>
      <w:r>
        <w:rPr>
          <w:sz w:val="22"/>
          <w:szCs w:val="22"/>
        </w:rPr>
        <w:t xml:space="preserve">Dynamic Document Generator — maps the knowledge graph onto the learned template schema to produce the Updated Document.</w:t>
      </w:r>
    </w:p>
    <w:p>
      <w:pPr>
        <w:spacing w:after="160" w:line="276"/>
      </w:pPr>
      <w:r>
        <w:rPr>
          <w:sz w:val="22"/>
          <w:szCs w:val="22"/>
        </w:rPr>
        <w:t xml:space="preserve">The generated document always supports manual editing before it is finalized, and a Download button provides the finished file (Word/PDF) once the reviewer is satisfied.</w:t>
      </w:r>
    </w:p>
    <w:p>
      <w:pPr>
        <w:pStyle w:val="Heading1"/>
        <w:pBdr>
          <w:bottom w:val="single" w:color="2E74B5" w:sz="6" w:space="4"/>
        </w:pBdr>
        <w:spacing w:after="200" w:before="400"/>
      </w:pPr>
      <w:r>
        <w:rPr>
          <w:b/>
          <w:bCs/>
          <w:color w:val="1F3864"/>
          <w:sz w:val="30"/>
          <w:szCs w:val="30"/>
        </w:rPr>
        <w:t xml:space="preserve">3. Supported Document Types</w:t>
      </w:r>
    </w:p>
    <w:p>
      <w:pPr>
        <w:spacing w:after="160" w:line="276"/>
      </w:pPr>
      <w:r>
        <w:rPr>
          <w:sz w:val="22"/>
          <w:szCs w:val="22"/>
        </w:rPr>
        <w:t xml:space="preserve">Because the pipeline is template-driven rather than hard-coded to one output format, the same engine can generate a wide range of structured business documents once a template/schema exists for each. Target document types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val="clear"/>
            <w:tcMar>
              <w:top w:type="dxa" w:w="100"/>
              <w:left w:type="dxa" w:w="120"/>
              <w:bottom w:type="dxa" w:w="100"/>
              <w:right w:type="dxa" w:w="120"/>
            </w:tcMar>
          </w:tcPr>
          <w:p>
            <w:pPr>
              <w:jc w:val="left"/>
            </w:pPr>
            <w:r>
              <w:rPr>
                <w:b/>
                <w:bCs/>
                <w:color w:val="FFFFFF"/>
                <w:sz w:val="20"/>
                <w:szCs w:val="20"/>
              </w:rPr>
              <w:t xml:space="preserve">#</w:t>
            </w:r>
          </w:p>
        </w:tc>
        <w:tc>
          <w:tcPr>
            <w:tcW w:type="dxa" w:w="8100"/>
            <w:shd w:fill="1F3864" w:val="clear"/>
            <w:tcMar>
              <w:top w:type="dxa" w:w="100"/>
              <w:left w:type="dxa" w:w="120"/>
              <w:bottom w:type="dxa" w:w="100"/>
              <w:right w:type="dxa" w:w="120"/>
            </w:tcMar>
          </w:tcPr>
          <w:p>
            <w:pPr>
              <w:jc w:val="left"/>
            </w:pPr>
            <w:r>
              <w:rPr>
                <w:b/>
                <w:bCs/>
                <w:color w:val="FFFFFF"/>
                <w:sz w:val="20"/>
                <w:szCs w:val="20"/>
              </w:rPr>
              <w:t xml:space="preserve">Document Type</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1</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Software Requirements Specification (SRS)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2</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Business Requirements Document (BRD)</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3</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Functional Specification Document (FSD)</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4</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Minutes of Meeting (MOM)</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5</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Project Charters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6</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Audit Reports</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7</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Compliance Reports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8</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Risk Registers</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9</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Test Plans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10</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User Manuals</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11</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Healthcare Forms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12</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Insurance Claim Forms</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13</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Legal Intake Documents</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14</w:t>
            </w:r>
          </w:p>
        </w:tc>
        <w:tc>
          <w:tcPr>
            <w:tcW w:type="dxa" w:w="8100"/>
            <w:shd w:fill="FFFFFF" w:val="clear"/>
            <w:tcMar>
              <w:top w:type="dxa" w:w="100"/>
              <w:left w:type="dxa" w:w="120"/>
              <w:bottom w:type="dxa" w:w="100"/>
              <w:right w:type="dxa" w:w="120"/>
            </w:tcMar>
          </w:tcPr>
          <w:p>
            <w:pPr>
              <w:jc w:val="left"/>
            </w:pPr>
            <w:r>
              <w:rPr>
                <w:b w:val="false"/>
                <w:bCs w:val="false"/>
                <w:color w:val="000000"/>
                <w:sz w:val="20"/>
                <w:szCs w:val="20"/>
              </w:rPr>
              <w:t xml:space="preserve">HR Interview Evaluations</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15</w:t>
            </w:r>
          </w:p>
        </w:tc>
        <w:tc>
          <w:tcPr>
            <w:tcW w:type="dxa" w:w="8100"/>
            <w:shd w:fill="F2F6FA" w:val="clear"/>
            <w:tcMar>
              <w:top w:type="dxa" w:w="100"/>
              <w:left w:type="dxa" w:w="120"/>
              <w:bottom w:type="dxa" w:w="100"/>
              <w:right w:type="dxa" w:w="120"/>
            </w:tcMar>
          </w:tcPr>
          <w:p>
            <w:pPr>
              <w:jc w:val="left"/>
            </w:pPr>
            <w:r>
              <w:rPr>
                <w:b w:val="false"/>
                <w:bCs w:val="false"/>
                <w:color w:val="000000"/>
                <w:sz w:val="20"/>
                <w:szCs w:val="20"/>
              </w:rPr>
              <w:t xml:space="preserve">Procurement Documents</w:t>
            </w:r>
          </w:p>
        </w:tc>
      </w:tr>
    </w:tbl>
    <w:p>
      <w:pPr>
        <w:spacing w:after="150"/>
      </w:pPr>
    </w:p>
    <w:p>
      <w:pPr>
        <w:spacing w:after="160" w:line="276"/>
      </w:pPr>
      <w:r>
        <w:rPr>
          <w:sz w:val="22"/>
          <w:szCs w:val="22"/>
        </w:rPr>
        <w:t xml:space="preserve">Note: MOM, SRS, and BRD are the priority document types for the initial build; the remainder become reachable once the Doc Intelligence Layer and agent library mature (see Stage-Wise Plan).</w:t>
      </w:r>
    </w:p>
    <w:p>
      <w:pPr>
        <w:pStyle w:val="Heading1"/>
        <w:pBdr>
          <w:bottom w:val="single" w:color="2E74B5" w:sz="6" w:space="4"/>
        </w:pBdr>
        <w:spacing w:after="200" w:before="400"/>
      </w:pPr>
      <w:r>
        <w:rPr>
          <w:b/>
          <w:bCs/>
          <w:color w:val="1F3864"/>
          <w:sz w:val="30"/>
          <w:szCs w:val="30"/>
        </w:rPr>
        <w:t xml:space="preserve">4. Technology Stack (Open Source)</w:t>
      </w:r>
    </w:p>
    <w:p>
      <w:pPr>
        <w:spacing w:after="160" w:line="276"/>
      </w:pPr>
      <w:r>
        <w:rPr>
          <w:sz w:val="22"/>
          <w:szCs w:val="22"/>
        </w:rPr>
        <w:t xml:space="preserve">The platform is designed to run on a fully open-source stack, avoiding paid/proprietary APIs so it can be self-hosted for data-sensitive client environments. Ollama is used to serve local LLMs for reasoning and generation, and LangChain (or LangGraph for the multi-agent orchestration) ties the pipeline together.</w:t>
      </w:r>
    </w:p>
    <w:p>
      <w:pPr>
        <w:pStyle w:val="Heading2"/>
        <w:spacing w:after="150" w:before="300"/>
      </w:pPr>
      <w:r>
        <w:rPr>
          <w:b/>
          <w:bCs/>
          <w:color w:val="2E74B5"/>
          <w:sz w:val="24"/>
          <w:szCs w:val="24"/>
        </w:rPr>
        <w:t xml:space="preserve">4.1 Core AI / Orchestration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100"/>
              <w:left w:type="dxa" w:w="120"/>
              <w:bottom w:type="dxa" w:w="100"/>
              <w:right w:type="dxa" w:w="120"/>
            </w:tcMar>
          </w:tcPr>
          <w:p>
            <w:pPr>
              <w:jc w:val="left"/>
            </w:pPr>
            <w:r>
              <w:rPr>
                <w:b/>
                <w:bCs/>
                <w:color w:val="FFFFFF"/>
                <w:sz w:val="20"/>
                <w:szCs w:val="20"/>
              </w:rPr>
              <w:t xml:space="preserve">Component</w:t>
            </w:r>
          </w:p>
        </w:tc>
        <w:tc>
          <w:tcPr>
            <w:tcW w:type="dxa" w:w="5800"/>
            <w:shd w:fill="1F3864" w:val="clear"/>
            <w:tcMar>
              <w:top w:type="dxa" w:w="100"/>
              <w:left w:type="dxa" w:w="120"/>
              <w:bottom w:type="dxa" w:w="100"/>
              <w:right w:type="dxa" w:w="120"/>
            </w:tcMar>
          </w:tcPr>
          <w:p>
            <w:pPr>
              <w:jc w:val="left"/>
            </w:pPr>
            <w:r>
              <w:rPr>
                <w:b/>
                <w:bCs/>
                <w:color w:val="FFFFFF"/>
                <w:sz w:val="20"/>
                <w:szCs w:val="20"/>
              </w:rPr>
              <w:t xml:space="preserve">Suggested Open-Source Tool</w:t>
            </w:r>
          </w:p>
        </w:tc>
      </w:tr>
      <w:tr>
        <w:tc>
          <w:tcPr>
            <w:tcW w:type="dxa" w:w="3400"/>
            <w:shd w:fill="F2F6FA" w:val="clear"/>
            <w:tcMar>
              <w:top w:type="dxa" w:w="100"/>
              <w:left w:type="dxa" w:w="120"/>
              <w:bottom w:type="dxa" w:w="100"/>
              <w:right w:type="dxa" w:w="120"/>
            </w:tcMar>
          </w:tcPr>
          <w:p>
            <w:pPr>
              <w:jc w:val="left"/>
            </w:pPr>
            <w:r>
              <w:rPr>
                <w:b w:val="false"/>
                <w:bCs w:val="false"/>
                <w:color w:val="000000"/>
                <w:sz w:val="20"/>
                <w:szCs w:val="20"/>
              </w:rPr>
              <w:t xml:space="preserve">LLM serving (reasoning &amp; generation)</w:t>
            </w:r>
          </w:p>
        </w:tc>
        <w:tc>
          <w:tcPr>
            <w:tcW w:type="dxa" w:w="5800"/>
            <w:shd w:fill="F2F6FA" w:val="clear"/>
            <w:tcMar>
              <w:top w:type="dxa" w:w="100"/>
              <w:left w:type="dxa" w:w="120"/>
              <w:bottom w:type="dxa" w:w="100"/>
              <w:right w:type="dxa" w:w="120"/>
            </w:tcMar>
          </w:tcPr>
          <w:p>
            <w:pPr>
              <w:jc w:val="left"/>
            </w:pPr>
            <w:r>
              <w:rPr>
                <w:b w:val="false"/>
                <w:bCs w:val="false"/>
                <w:color w:val="000000"/>
                <w:sz w:val="20"/>
                <w:szCs w:val="20"/>
              </w:rPr>
              <w:t xml:space="preserve">Ollama — running models such as Llama 3.1/3.3, Qwen2.5, or Mistral locally</w:t>
            </w:r>
          </w:p>
        </w:tc>
      </w:tr>
      <w:tr>
        <w:tc>
          <w:tcPr>
            <w:tcW w:type="dxa" w:w="3400"/>
            <w:shd w:fill="FFFFFF" w:val="clear"/>
            <w:tcMar>
              <w:top w:type="dxa" w:w="100"/>
              <w:left w:type="dxa" w:w="120"/>
              <w:bottom w:type="dxa" w:w="100"/>
              <w:right w:type="dxa" w:w="120"/>
            </w:tcMar>
          </w:tcPr>
          <w:p>
            <w:pPr>
              <w:jc w:val="left"/>
            </w:pPr>
            <w:r>
              <w:rPr>
                <w:b w:val="false"/>
                <w:bCs w:val="false"/>
                <w:color w:val="000000"/>
                <w:sz w:val="20"/>
                <w:szCs w:val="20"/>
              </w:rPr>
              <w:t xml:space="preserve">Agent &amp; pipeline orchestration</w:t>
            </w:r>
          </w:p>
        </w:tc>
        <w:tc>
          <w:tcPr>
            <w:tcW w:type="dxa" w:w="5800"/>
            <w:shd w:fill="FFFFFF" w:val="clear"/>
            <w:tcMar>
              <w:top w:type="dxa" w:w="100"/>
              <w:left w:type="dxa" w:w="120"/>
              <w:bottom w:type="dxa" w:w="100"/>
              <w:right w:type="dxa" w:w="120"/>
            </w:tcMar>
          </w:tcPr>
          <w:p>
            <w:pPr>
              <w:jc w:val="left"/>
            </w:pPr>
            <w:r>
              <w:rPr>
                <w:b w:val="false"/>
                <w:bCs w:val="false"/>
                <w:color w:val="000000"/>
                <w:sz w:val="20"/>
                <w:szCs w:val="20"/>
              </w:rPr>
              <w:t xml:space="preserve">LangChain / LangGraph — for the multi-agent extraction pipeline and planning engine</w:t>
            </w:r>
          </w:p>
        </w:tc>
      </w:tr>
      <w:tr>
        <w:tc>
          <w:tcPr>
            <w:tcW w:type="dxa" w:w="3400"/>
            <w:shd w:fill="F2F6FA" w:val="clear"/>
            <w:tcMar>
              <w:top w:type="dxa" w:w="100"/>
              <w:left w:type="dxa" w:w="120"/>
              <w:bottom w:type="dxa" w:w="100"/>
              <w:right w:type="dxa" w:w="120"/>
            </w:tcMar>
          </w:tcPr>
          <w:p>
            <w:pPr>
              <w:jc w:val="left"/>
            </w:pPr>
            <w:r>
              <w:rPr>
                <w:b w:val="false"/>
                <w:bCs w:val="false"/>
                <w:color w:val="000000"/>
                <w:sz w:val="20"/>
                <w:szCs w:val="20"/>
              </w:rPr>
              <w:t xml:space="preserve">Retrieval-Augmented Generation</w:t>
            </w:r>
          </w:p>
        </w:tc>
        <w:tc>
          <w:tcPr>
            <w:tcW w:type="dxa" w:w="5800"/>
            <w:shd w:fill="F2F6FA" w:val="clear"/>
            <w:tcMar>
              <w:top w:type="dxa" w:w="100"/>
              <w:left w:type="dxa" w:w="120"/>
              <w:bottom w:type="dxa" w:w="100"/>
              <w:right w:type="dxa" w:w="120"/>
            </w:tcMar>
          </w:tcPr>
          <w:p>
            <w:pPr>
              <w:jc w:val="left"/>
            </w:pPr>
            <w:r>
              <w:rPr>
                <w:b w:val="false"/>
                <w:bCs w:val="false"/>
                <w:color w:val="000000"/>
                <w:sz w:val="20"/>
                <w:szCs w:val="20"/>
              </w:rPr>
              <w:t xml:space="preserve">LangChain retrievers + a vector store (see below) to ground generation in real meeting evidence</w:t>
            </w:r>
          </w:p>
        </w:tc>
      </w:tr>
      <w:tr>
        <w:tc>
          <w:tcPr>
            <w:tcW w:type="dxa" w:w="3400"/>
            <w:shd w:fill="FFFFFF" w:val="clear"/>
            <w:tcMar>
              <w:top w:type="dxa" w:w="100"/>
              <w:left w:type="dxa" w:w="120"/>
              <w:bottom w:type="dxa" w:w="100"/>
              <w:right w:type="dxa" w:w="120"/>
            </w:tcMar>
          </w:tcPr>
          <w:p>
            <w:pPr>
              <w:jc w:val="left"/>
            </w:pPr>
            <w:r>
              <w:rPr>
                <w:b w:val="false"/>
                <w:bCs w:val="false"/>
                <w:color w:val="000000"/>
                <w:sz w:val="20"/>
                <w:szCs w:val="20"/>
              </w:rPr>
              <w:t xml:space="preserve">Embeddings</w:t>
            </w:r>
          </w:p>
        </w:tc>
        <w:tc>
          <w:tcPr>
            <w:tcW w:type="dxa" w:w="5800"/>
            <w:shd w:fill="FFFFFF" w:val="clear"/>
            <w:tcMar>
              <w:top w:type="dxa" w:w="100"/>
              <w:left w:type="dxa" w:w="120"/>
              <w:bottom w:type="dxa" w:w="100"/>
              <w:right w:type="dxa" w:w="120"/>
            </w:tcMar>
          </w:tcPr>
          <w:p>
            <w:pPr>
              <w:jc w:val="left"/>
            </w:pPr>
            <w:r>
              <w:rPr>
                <w:b w:val="false"/>
                <w:bCs w:val="false"/>
                <w:color w:val="000000"/>
                <w:sz w:val="20"/>
                <w:szCs w:val="20"/>
              </w:rPr>
              <w:t xml:space="preserve">nomic-embed-text or bge-large, served via Ollama or sentence-transformers</w:t>
            </w:r>
          </w:p>
        </w:tc>
      </w:tr>
      <w:tr>
        <w:tc>
          <w:tcPr>
            <w:tcW w:type="dxa" w:w="3400"/>
            <w:shd w:fill="F2F6FA" w:val="clear"/>
            <w:tcMar>
              <w:top w:type="dxa" w:w="100"/>
              <w:left w:type="dxa" w:w="120"/>
              <w:bottom w:type="dxa" w:w="100"/>
              <w:right w:type="dxa" w:w="120"/>
            </w:tcMar>
          </w:tcPr>
          <w:p>
            <w:pPr>
              <w:jc w:val="left"/>
            </w:pPr>
            <w:r>
              <w:rPr>
                <w:b w:val="false"/>
                <w:bCs w:val="false"/>
                <w:color w:val="000000"/>
                <w:sz w:val="20"/>
                <w:szCs w:val="20"/>
              </w:rPr>
              <w:t xml:space="preserve">Structured output / validation</w:t>
            </w:r>
          </w:p>
        </w:tc>
        <w:tc>
          <w:tcPr>
            <w:tcW w:type="dxa" w:w="5800"/>
            <w:shd w:fill="F2F6FA" w:val="clear"/>
            <w:tcMar>
              <w:top w:type="dxa" w:w="100"/>
              <w:left w:type="dxa" w:w="120"/>
              <w:bottom w:type="dxa" w:w="100"/>
              <w:right w:type="dxa" w:w="120"/>
            </w:tcMar>
          </w:tcPr>
          <w:p>
            <w:pPr>
              <w:jc w:val="left"/>
            </w:pPr>
            <w:r>
              <w:rPr>
                <w:b w:val="false"/>
                <w:bCs w:val="false"/>
                <w:color w:val="000000"/>
                <w:sz w:val="20"/>
                <w:szCs w:val="20"/>
              </w:rPr>
              <w:t xml:space="preserve">Pydantic + LangChain's structured-output parsers, to force agents into consistent JSON schemas</w:t>
            </w:r>
          </w:p>
        </w:tc>
      </w:tr>
    </w:tbl>
    <w:p>
      <w:pPr>
        <w:spacing w:after="150"/>
      </w:pPr>
    </w:p>
    <w:p>
      <w:pPr>
        <w:pStyle w:val="Heading2"/>
        <w:spacing w:after="150" w:before="300"/>
      </w:pPr>
      <w:r>
        <w:rPr>
          <w:b/>
          <w:bCs/>
          <w:color w:val="2E74B5"/>
          <w:sz w:val="24"/>
          <w:szCs w:val="24"/>
        </w:rPr>
        <w:t xml:space="preserve">4.2 Speech, Audio &amp; Transcription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100"/>
              <w:left w:type="dxa" w:w="120"/>
              <w:bottom w:type="dxa" w:w="100"/>
              <w:right w:type="dxa" w:w="120"/>
            </w:tcMar>
          </w:tcPr>
          <w:p>
            <w:pPr>
              <w:jc w:val="left"/>
            </w:pPr>
            <w:r>
              <w:rPr>
                <w:b/>
                <w:bCs/>
                <w:color w:val="FFFFFF"/>
                <w:sz w:val="20"/>
                <w:szCs w:val="20"/>
              </w:rPr>
              <w:t xml:space="preserve">Component</w:t>
            </w:r>
          </w:p>
        </w:tc>
        <w:tc>
          <w:tcPr>
            <w:tcW w:type="dxa" w:w="5800"/>
            <w:shd w:fill="1F3864" w:val="clear"/>
            <w:tcMar>
              <w:top w:type="dxa" w:w="100"/>
              <w:left w:type="dxa" w:w="120"/>
              <w:bottom w:type="dxa" w:w="100"/>
              <w:right w:type="dxa" w:w="120"/>
            </w:tcMar>
          </w:tcPr>
          <w:p>
            <w:pPr>
              <w:jc w:val="left"/>
            </w:pPr>
            <w:r>
              <w:rPr>
                <w:b/>
                <w:bCs/>
                <w:color w:val="FFFFFF"/>
                <w:sz w:val="20"/>
                <w:szCs w:val="20"/>
              </w:rPr>
              <w:t xml:space="preserve">Suggested Open-Source Tool</w:t>
            </w:r>
          </w:p>
        </w:tc>
      </w:tr>
      <w:tr>
        <w:tc>
          <w:tcPr>
            <w:tcW w:type="dxa" w:w="3400"/>
            <w:shd w:fill="F2F6FA" w:val="clear"/>
            <w:tcMar>
              <w:top w:type="dxa" w:w="100"/>
              <w:left w:type="dxa" w:w="120"/>
              <w:bottom w:type="dxa" w:w="100"/>
              <w:right w:type="dxa" w:w="120"/>
            </w:tcMar>
          </w:tcPr>
          <w:p>
            <w:pPr>
              <w:jc w:val="left"/>
            </w:pPr>
            <w:r>
              <w:rPr>
                <w:b w:val="false"/>
                <w:bCs w:val="false"/>
                <w:color w:val="000000"/>
                <w:sz w:val="20"/>
                <w:szCs w:val="20"/>
              </w:rPr>
              <w:t xml:space="preserve">Speech-to-text</w:t>
            </w:r>
          </w:p>
        </w:tc>
        <w:tc>
          <w:tcPr>
            <w:tcW w:type="dxa" w:w="5800"/>
            <w:shd w:fill="F2F6FA" w:val="clear"/>
            <w:tcMar>
              <w:top w:type="dxa" w:w="100"/>
              <w:left w:type="dxa" w:w="120"/>
              <w:bottom w:type="dxa" w:w="100"/>
              <w:right w:type="dxa" w:w="120"/>
            </w:tcMar>
          </w:tcPr>
          <w:p>
            <w:pPr>
              <w:jc w:val="left"/>
            </w:pPr>
            <w:r>
              <w:rPr>
                <w:b w:val="false"/>
                <w:bCs w:val="false"/>
                <w:color w:val="000000"/>
                <w:sz w:val="20"/>
                <w:szCs w:val="20"/>
              </w:rPr>
              <w:t xml:space="preserve">Whisper / faster-whisper (or whisper.cpp for lighter deployments)</w:t>
            </w:r>
          </w:p>
        </w:tc>
      </w:tr>
      <w:tr>
        <w:tc>
          <w:tcPr>
            <w:tcW w:type="dxa" w:w="3400"/>
            <w:shd w:fill="FFFFFF" w:val="clear"/>
            <w:tcMar>
              <w:top w:type="dxa" w:w="100"/>
              <w:left w:type="dxa" w:w="120"/>
              <w:bottom w:type="dxa" w:w="100"/>
              <w:right w:type="dxa" w:w="120"/>
            </w:tcMar>
          </w:tcPr>
          <w:p>
            <w:pPr>
              <w:jc w:val="left"/>
            </w:pPr>
            <w:r>
              <w:rPr>
                <w:b w:val="false"/>
                <w:bCs w:val="false"/>
                <w:color w:val="000000"/>
                <w:sz w:val="20"/>
                <w:szCs w:val="20"/>
              </w:rPr>
              <w:t xml:space="preserve">Speaker diarization ('who said what')</w:t>
            </w:r>
          </w:p>
        </w:tc>
        <w:tc>
          <w:tcPr>
            <w:tcW w:type="dxa" w:w="5800"/>
            <w:shd w:fill="FFFFFF" w:val="clear"/>
            <w:tcMar>
              <w:top w:type="dxa" w:w="100"/>
              <w:left w:type="dxa" w:w="120"/>
              <w:bottom w:type="dxa" w:w="100"/>
              <w:right w:type="dxa" w:w="120"/>
            </w:tcMar>
          </w:tcPr>
          <w:p>
            <w:pPr>
              <w:jc w:val="left"/>
            </w:pPr>
            <w:r>
              <w:rPr>
                <w:b w:val="false"/>
                <w:bCs w:val="false"/>
                <w:color w:val="000000"/>
                <w:sz w:val="20"/>
                <w:szCs w:val="20"/>
              </w:rPr>
              <w:t xml:space="preserve">pyannote.audio</w:t>
            </w:r>
          </w:p>
        </w:tc>
      </w:tr>
      <w:tr>
        <w:tc>
          <w:tcPr>
            <w:tcW w:type="dxa" w:w="3400"/>
            <w:shd w:fill="F2F6FA" w:val="clear"/>
            <w:tcMar>
              <w:top w:type="dxa" w:w="100"/>
              <w:left w:type="dxa" w:w="120"/>
              <w:bottom w:type="dxa" w:w="100"/>
              <w:right w:type="dxa" w:w="120"/>
            </w:tcMar>
          </w:tcPr>
          <w:p>
            <w:pPr>
              <w:jc w:val="left"/>
            </w:pPr>
            <w:r>
              <w:rPr>
                <w:b w:val="false"/>
                <w:bCs w:val="false"/>
                <w:color w:val="000000"/>
                <w:sz w:val="20"/>
                <w:szCs w:val="20"/>
              </w:rPr>
              <w:t xml:space="preserve">System/meeting audio capture</w:t>
            </w:r>
          </w:p>
        </w:tc>
        <w:tc>
          <w:tcPr>
            <w:tcW w:type="dxa" w:w="5800"/>
            <w:shd w:fill="F2F6FA" w:val="clear"/>
            <w:tcMar>
              <w:top w:type="dxa" w:w="100"/>
              <w:left w:type="dxa" w:w="120"/>
              <w:bottom w:type="dxa" w:w="100"/>
              <w:right w:type="dxa" w:w="120"/>
            </w:tcMar>
          </w:tcPr>
          <w:p>
            <w:pPr>
              <w:jc w:val="left"/>
            </w:pPr>
            <w:r>
              <w:rPr>
                <w:b w:val="false"/>
                <w:bCs w:val="false"/>
                <w:color w:val="000000"/>
                <w:sz w:val="20"/>
                <w:szCs w:val="20"/>
              </w:rPr>
              <w:t xml:space="preserve">Browser-based capture (e.g. a bot using Playwright/Puppeteer) or OS-level audio-loopback tools</w:t>
            </w:r>
          </w:p>
        </w:tc>
      </w:tr>
      <w:tr>
        <w:tc>
          <w:tcPr>
            <w:tcW w:type="dxa" w:w="3400"/>
            <w:shd w:fill="FFFFFF" w:val="clear"/>
            <w:tcMar>
              <w:top w:type="dxa" w:w="100"/>
              <w:left w:type="dxa" w:w="120"/>
              <w:bottom w:type="dxa" w:w="100"/>
              <w:right w:type="dxa" w:w="120"/>
            </w:tcMar>
          </w:tcPr>
          <w:p>
            <w:pPr>
              <w:jc w:val="left"/>
            </w:pPr>
            <w:r>
              <w:rPr>
                <w:b w:val="false"/>
                <w:bCs w:val="false"/>
                <w:color w:val="000000"/>
                <w:sz w:val="20"/>
                <w:szCs w:val="20"/>
              </w:rPr>
              <w:t xml:space="preserve">Meeting bot (joins the call)</w:t>
            </w:r>
          </w:p>
        </w:tc>
        <w:tc>
          <w:tcPr>
            <w:tcW w:type="dxa" w:w="5800"/>
            <w:shd w:fill="FFFFFF" w:val="clear"/>
            <w:tcMar>
              <w:top w:type="dxa" w:w="100"/>
              <w:left w:type="dxa" w:w="120"/>
              <w:bottom w:type="dxa" w:w="100"/>
              <w:right w:type="dxa" w:w="120"/>
            </w:tcMar>
          </w:tcPr>
          <w:p>
            <w:pPr>
              <w:jc w:val="left"/>
            </w:pPr>
            <w:r>
              <w:rPr>
                <w:b w:val="false"/>
                <w:bCs w:val="false"/>
                <w:color w:val="000000"/>
                <w:sz w:val="20"/>
                <w:szCs w:val="20"/>
              </w:rPr>
              <w:t xml:space="preserve">Custom bot built on the Zoom/Google Meet/Teams SDKs, or an open-source bot framework, feeding audio into Whisper</w:t>
            </w:r>
          </w:p>
        </w:tc>
      </w:tr>
    </w:tbl>
    <w:p>
      <w:pPr>
        <w:spacing w:after="150"/>
      </w:pPr>
    </w:p>
    <w:p>
      <w:pPr>
        <w:pStyle w:val="Heading2"/>
        <w:spacing w:after="150" w:before="300"/>
      </w:pPr>
      <w:r>
        <w:rPr>
          <w:b/>
          <w:bCs/>
          <w:color w:val="2E74B5"/>
          <w:sz w:val="24"/>
          <w:szCs w:val="24"/>
        </w:rPr>
        <w:t xml:space="preserve">4.3 Knowledge Storage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shd w:fill="1F3864" w:val="clear"/>
            <w:tcMar>
              <w:top w:type="dxa" w:w="100"/>
              <w:left w:type="dxa" w:w="120"/>
              <w:bottom w:type="dxa" w:w="100"/>
              <w:right w:type="dxa" w:w="120"/>
            </w:tcMar>
          </w:tcPr>
          <w:p>
            <w:pPr>
              <w:jc w:val="left"/>
            </w:pPr>
            <w:r>
              <w:rPr>
                <w:b/>
                <w:bCs/>
                <w:color w:val="FFFFFF"/>
                <w:sz w:val="20"/>
                <w:szCs w:val="20"/>
              </w:rPr>
              <w:t xml:space="preserve">Component</w:t>
            </w:r>
          </w:p>
        </w:tc>
        <w:tc>
          <w:tcPr>
            <w:tcW w:type="dxa" w:w="4700"/>
            <w:shd w:fill="1F3864" w:val="clear"/>
            <w:tcMar>
              <w:top w:type="dxa" w:w="100"/>
              <w:left w:type="dxa" w:w="120"/>
              <w:bottom w:type="dxa" w:w="100"/>
              <w:right w:type="dxa" w:w="120"/>
            </w:tcMar>
          </w:tcPr>
          <w:p>
            <w:pPr>
              <w:jc w:val="left"/>
            </w:pPr>
            <w:r>
              <w:rPr>
                <w:b/>
                <w:bCs/>
                <w:color w:val="FFFFFF"/>
                <w:sz w:val="20"/>
                <w:szCs w:val="20"/>
              </w:rPr>
              <w:t xml:space="preserve">Suggested Open-Source Tool</w:t>
            </w:r>
          </w:p>
        </w:tc>
      </w:tr>
      <w:tr>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Vector database (semantic search over meeting evidence)</w:t>
            </w:r>
          </w:p>
        </w:tc>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Chroma, Qdrant, or FAISS</w:t>
            </w:r>
          </w:p>
        </w:tc>
      </w:tr>
      <w:tr>
        <w:tc>
          <w:tcPr>
            <w:tcW w:type="dxa" w:w="4500"/>
            <w:shd w:fill="FFFFFF" w:val="clear"/>
            <w:tcMar>
              <w:top w:type="dxa" w:w="100"/>
              <w:left w:type="dxa" w:w="120"/>
              <w:bottom w:type="dxa" w:w="100"/>
              <w:right w:type="dxa" w:w="120"/>
            </w:tcMar>
          </w:tcPr>
          <w:p>
            <w:pPr>
              <w:jc w:val="left"/>
            </w:pPr>
            <w:r>
              <w:rPr>
                <w:b w:val="false"/>
                <w:bCs w:val="false"/>
                <w:color w:val="000000"/>
                <w:sz w:val="20"/>
                <w:szCs w:val="20"/>
              </w:rPr>
              <w:t xml:space="preserve">Structured knowledge graph</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Neo4j Community Edition, or a lightweight graph via NetworkX for early stages</w:t>
            </w:r>
          </w:p>
        </w:tc>
      </w:tr>
      <w:tr>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Relational metadata (projects, meetings, users, versions)</w:t>
            </w:r>
          </w:p>
        </w:tc>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PostgreSQL</w:t>
            </w:r>
          </w:p>
        </w:tc>
      </w:tr>
      <w:tr>
        <w:tc>
          <w:tcPr>
            <w:tcW w:type="dxa" w:w="4500"/>
            <w:shd w:fill="FFFFFF" w:val="clear"/>
            <w:tcMar>
              <w:top w:type="dxa" w:w="100"/>
              <w:left w:type="dxa" w:w="120"/>
              <w:bottom w:type="dxa" w:w="100"/>
              <w:right w:type="dxa" w:w="120"/>
            </w:tcMar>
          </w:tcPr>
          <w:p>
            <w:pPr>
              <w:jc w:val="left"/>
            </w:pPr>
            <w:r>
              <w:rPr>
                <w:b w:val="false"/>
                <w:bCs w:val="false"/>
                <w:color w:val="000000"/>
                <w:sz w:val="20"/>
                <w:szCs w:val="20"/>
              </w:rPr>
              <w:t xml:space="preserve">Document/object storage (audio files, transcripts, generated docs)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MinIO (S3-compatible, self-hosted)</w:t>
            </w:r>
          </w:p>
        </w:tc>
      </w:tr>
    </w:tbl>
    <w:p>
      <w:pPr>
        <w:spacing w:after="150"/>
      </w:pPr>
    </w:p>
    <w:p>
      <w:pPr>
        <w:pStyle w:val="Heading2"/>
        <w:spacing w:after="150" w:before="300"/>
      </w:pPr>
      <w:r>
        <w:rPr>
          <w:b/>
          <w:bCs/>
          <w:color w:val="2E74B5"/>
          <w:sz w:val="24"/>
          <w:szCs w:val="24"/>
        </w:rPr>
        <w:t xml:space="preserve">4.4 Document Generation &amp; Application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700"/>
        <w:gridCol w:w="4500"/>
      </w:tblGrid>
      <w:tr>
        <w:trPr>
          <w:tblHeader/>
        </w:trPr>
        <w:tc>
          <w:tcPr>
            <w:tcW w:type="dxa" w:w="4700"/>
            <w:shd w:fill="1F3864" w:val="clear"/>
            <w:tcMar>
              <w:top w:type="dxa" w:w="100"/>
              <w:left w:type="dxa" w:w="120"/>
              <w:bottom w:type="dxa" w:w="100"/>
              <w:right w:type="dxa" w:w="120"/>
            </w:tcMar>
          </w:tcPr>
          <w:p>
            <w:pPr>
              <w:jc w:val="left"/>
            </w:pPr>
            <w:r>
              <w:rPr>
                <w:b/>
                <w:bCs/>
                <w:color w:val="FFFFFF"/>
                <w:sz w:val="20"/>
                <w:szCs w:val="20"/>
              </w:rPr>
              <w:t xml:space="preserve">Component</w:t>
            </w:r>
          </w:p>
        </w:tc>
        <w:tc>
          <w:tcPr>
            <w:tcW w:type="dxa" w:w="4500"/>
            <w:shd w:fill="1F3864" w:val="clear"/>
            <w:tcMar>
              <w:top w:type="dxa" w:w="100"/>
              <w:left w:type="dxa" w:w="120"/>
              <w:bottom w:type="dxa" w:w="100"/>
              <w:right w:type="dxa" w:w="120"/>
            </w:tcMar>
          </w:tcPr>
          <w:p>
            <w:pPr>
              <w:jc w:val="left"/>
            </w:pPr>
            <w:r>
              <w:rPr>
                <w:b/>
                <w:bCs/>
                <w:color w:val="FFFFFF"/>
                <w:sz w:val="20"/>
                <w:szCs w:val="20"/>
              </w:rPr>
              <w:t xml:space="preserve">Suggested Open-Source Tool</w:t>
            </w:r>
          </w:p>
        </w:tc>
      </w:tr>
      <w:tr>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Word document generation</w:t>
            </w:r>
          </w:p>
        </w:tc>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python-docx / docx (Node) driven by the generated template schema</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PDF generation/export</w:t>
            </w:r>
          </w:p>
        </w:tc>
        <w:tc>
          <w:tcPr>
            <w:tcW w:type="dxa" w:w="4500"/>
            <w:shd w:fill="FFFFFF" w:val="clear"/>
            <w:tcMar>
              <w:top w:type="dxa" w:w="100"/>
              <w:left w:type="dxa" w:w="120"/>
              <w:bottom w:type="dxa" w:w="100"/>
              <w:right w:type="dxa" w:w="120"/>
            </w:tcMar>
          </w:tcPr>
          <w:p>
            <w:pPr>
              <w:jc w:val="left"/>
            </w:pPr>
            <w:r>
              <w:rPr>
                <w:b w:val="false"/>
                <w:bCs w:val="false"/>
                <w:color w:val="000000"/>
                <w:sz w:val="20"/>
                <w:szCs w:val="20"/>
              </w:rPr>
              <w:t xml:space="preserve">LibreOffice headless conversion, or WeasyPrint</w:t>
            </w:r>
          </w:p>
        </w:tc>
      </w:tr>
      <w:tr>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Backend API</w:t>
            </w:r>
          </w:p>
        </w:tc>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FastAPI (Python) — pairs naturally with LangChain/LangGraph</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Task queue / async processing (transcription, extraction jobs)</w:t>
            </w:r>
          </w:p>
        </w:tc>
        <w:tc>
          <w:tcPr>
            <w:tcW w:type="dxa" w:w="4500"/>
            <w:shd w:fill="FFFFFF" w:val="clear"/>
            <w:tcMar>
              <w:top w:type="dxa" w:w="100"/>
              <w:left w:type="dxa" w:w="120"/>
              <w:bottom w:type="dxa" w:w="100"/>
              <w:right w:type="dxa" w:w="120"/>
            </w:tcMar>
          </w:tcPr>
          <w:p>
            <w:pPr>
              <w:jc w:val="left"/>
            </w:pPr>
            <w:r>
              <w:rPr>
                <w:b w:val="false"/>
                <w:bCs w:val="false"/>
                <w:color w:val="000000"/>
                <w:sz w:val="20"/>
                <w:szCs w:val="20"/>
              </w:rPr>
              <w:t xml:space="preserve">Celery + Redis, or RQ</w:t>
            </w:r>
          </w:p>
        </w:tc>
      </w:tr>
      <w:tr>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Frontend</w:t>
            </w:r>
          </w:p>
        </w:tc>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React (with a template/document preview and review UI)</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Authentication &amp; access control</w:t>
            </w:r>
          </w:p>
        </w:tc>
        <w:tc>
          <w:tcPr>
            <w:tcW w:type="dxa" w:w="4500"/>
            <w:shd w:fill="FFFFFF" w:val="clear"/>
            <w:tcMar>
              <w:top w:type="dxa" w:w="100"/>
              <w:left w:type="dxa" w:w="120"/>
              <w:bottom w:type="dxa" w:w="100"/>
              <w:right w:type="dxa" w:w="120"/>
            </w:tcMar>
          </w:tcPr>
          <w:p>
            <w:pPr>
              <w:jc w:val="left"/>
            </w:pPr>
            <w:r>
              <w:rPr>
                <w:b w:val="false"/>
                <w:bCs w:val="false"/>
                <w:color w:val="000000"/>
                <w:sz w:val="20"/>
                <w:szCs w:val="20"/>
              </w:rPr>
              <w:t xml:space="preserve">Keycloak (self-hosted) or a simple JWT-based auth service</w:t>
            </w:r>
          </w:p>
        </w:tc>
      </w:tr>
      <w:tr>
        <w:tc>
          <w:tcPr>
            <w:tcW w:type="dxa" w:w="4700"/>
            <w:shd w:fill="F2F6FA" w:val="clear"/>
            <w:tcMar>
              <w:top w:type="dxa" w:w="100"/>
              <w:left w:type="dxa" w:w="120"/>
              <w:bottom w:type="dxa" w:w="100"/>
              <w:right w:type="dxa" w:w="120"/>
            </w:tcMar>
          </w:tcPr>
          <w:p>
            <w:pPr>
              <w:jc w:val="left"/>
            </w:pPr>
            <w:r>
              <w:rPr>
                <w:b w:val="false"/>
                <w:bCs w:val="false"/>
                <w:color w:val="000000"/>
                <w:sz w:val="20"/>
                <w:szCs w:val="20"/>
              </w:rPr>
              <w:t xml:space="preserve">Containerization / deployment</w:t>
            </w:r>
          </w:p>
        </w:tc>
        <w:tc>
          <w:tcPr>
            <w:tcW w:type="dxa" w:w="4500"/>
            <w:shd w:fill="F2F6FA" w:val="clear"/>
            <w:tcMar>
              <w:top w:type="dxa" w:w="100"/>
              <w:left w:type="dxa" w:w="120"/>
              <w:bottom w:type="dxa" w:w="100"/>
              <w:right w:type="dxa" w:w="120"/>
            </w:tcMar>
          </w:tcPr>
          <w:p>
            <w:pPr>
              <w:jc w:val="left"/>
            </w:pPr>
            <w:r>
              <w:rPr>
                <w:b w:val="false"/>
                <w:bCs w:val="false"/>
                <w:color w:val="000000"/>
                <w:sz w:val="20"/>
                <w:szCs w:val="20"/>
              </w:rPr>
              <w:t xml:space="preserve">Docker + Docker Compose (or Kubernetes for scale)</w:t>
            </w:r>
          </w:p>
        </w:tc>
      </w:tr>
    </w:tbl>
    <w:p>
      <w:pPr>
        <w:spacing w:after="150"/>
      </w:pPr>
    </w:p>
    <w:p>
      <w:pPr>
        <w:pStyle w:val="Heading2"/>
        <w:spacing w:after="150" w:before="300"/>
      </w:pPr>
      <w:r>
        <w:rPr>
          <w:b/>
          <w:bCs/>
          <w:color w:val="2E74B5"/>
          <w:sz w:val="24"/>
          <w:szCs w:val="24"/>
        </w:rPr>
        <w:t xml:space="preserve">4.5 Why This Stack</w:t>
      </w:r>
    </w:p>
    <w:p>
      <w:pPr>
        <w:pStyle w:val="ListParagraph"/>
        <w:numPr>
          <w:ilvl w:val="0"/>
          <w:numId w:val="2"/>
        </w:numPr>
        <w:spacing w:after="80" w:line="276"/>
      </w:pPr>
      <w:r>
        <w:rPr>
          <w:sz w:val="22"/>
          <w:szCs w:val="22"/>
        </w:rPr>
        <w:t xml:space="preserve">Fully self-hostable — no meeting audio or client requirement data ever needs to leave the client's own infrastructure, which matters for confidential requirements-gathering sessions.</w:t>
      </w:r>
    </w:p>
    <w:p>
      <w:pPr>
        <w:pStyle w:val="ListParagraph"/>
        <w:numPr>
          <w:ilvl w:val="0"/>
          <w:numId w:val="2"/>
        </w:numPr>
        <w:spacing w:after="80" w:line="276"/>
      </w:pPr>
      <w:r>
        <w:rPr>
          <w:sz w:val="22"/>
          <w:szCs w:val="22"/>
        </w:rPr>
        <w:t xml:space="preserve">No per-token API costs — Ollama-served open models remove reliance on paid LLM APIs, which matters given the volume of text processed per meeting.</w:t>
      </w:r>
    </w:p>
    <w:p>
      <w:pPr>
        <w:pStyle w:val="ListParagraph"/>
        <w:numPr>
          <w:ilvl w:val="0"/>
          <w:numId w:val="2"/>
        </w:numPr>
        <w:spacing w:after="80" w:line="276"/>
      </w:pPr>
      <w:r>
        <w:rPr>
          <w:sz w:val="22"/>
          <w:szCs w:val="22"/>
        </w:rPr>
        <w:t xml:space="preserve">LangChain/LangGraph gives a mature, well-documented way to build the multi-agent extraction pipeline and swap models later (e.g. move to a larger local model) without rewriting the pipeline.</w:t>
      </w:r>
    </w:p>
    <w:p>
      <w:pPr>
        <w:pStyle w:val="ListParagraph"/>
        <w:numPr>
          <w:ilvl w:val="0"/>
          <w:numId w:val="2"/>
        </w:numPr>
        <w:spacing w:after="80" w:line="276"/>
      </w:pPr>
      <w:r>
        <w:rPr>
          <w:sz w:val="22"/>
          <w:szCs w:val="22"/>
        </w:rPr>
        <w:t xml:space="preserve">Every component in this stack has a free, actively maintained open-source implementation, keeping the platform license-cost-free end to end.</w:t>
      </w:r>
    </w:p>
    <w:p>
      <w:pPr>
        <w:pStyle w:val="Heading1"/>
        <w:pBdr>
          <w:bottom w:val="single" w:color="2E74B5" w:sz="6" w:space="4"/>
        </w:pBdr>
        <w:spacing w:after="200" w:before="400"/>
      </w:pPr>
      <w:r>
        <w:rPr>
          <w:b/>
          <w:bCs/>
          <w:color w:val="1F3864"/>
          <w:sz w:val="30"/>
          <w:szCs w:val="30"/>
        </w:rPr>
        <w:t xml:space="preserve">5. Stage-Wise Project Plan</w:t>
      </w:r>
    </w:p>
    <w:p>
      <w:pPr>
        <w:spacing w:after="160" w:line="276"/>
      </w:pPr>
      <w:r>
        <w:rPr>
          <w:sz w:val="22"/>
          <w:szCs w:val="22"/>
        </w:rPr>
        <w:t xml:space="preserve">The project is broken into six stages. Each stage produces a usable increment rather than waiting until the very end for a working system — Stage 2 already gets a real MOM generator into hands, and every later stage builds on the same core pipeline.</w:t>
      </w:r>
    </w:p>
    <w:p>
      <w:pPr>
        <w:pStyle w:val="Heading2"/>
        <w:spacing w:after="150" w:before="300"/>
      </w:pPr>
      <w:r>
        <w:rPr>
          <w:b/>
          <w:bCs/>
          <w:color w:val="2E74B5"/>
          <w:sz w:val="24"/>
          <w:szCs w:val="24"/>
        </w:rPr>
        <w:t xml:space="preserve">Stage 1 — Foundations &amp; Manual-Transcript MOM (Weeks 1–3)</w:t>
      </w:r>
    </w:p>
    <w:p>
      <w:pPr>
        <w:spacing w:after="160" w:line="276"/>
      </w:pPr>
      <w:r>
        <w:rPr>
          <w:sz w:val="22"/>
          <w:szCs w:val="22"/>
        </w:rPr>
        <w:t xml:space="preserve">Goal: prove the core pipeline end-to-end using the simplest, most reliable input — an uploaded transcript.</w:t>
      </w:r>
    </w:p>
    <w:p>
      <w:pPr>
        <w:pStyle w:val="ListParagraph"/>
        <w:numPr>
          <w:ilvl w:val="0"/>
          <w:numId w:val="2"/>
        </w:numPr>
        <w:spacing w:after="80" w:line="276"/>
      </w:pPr>
      <w:r>
        <w:rPr>
          <w:sz w:val="22"/>
          <w:szCs w:val="22"/>
        </w:rPr>
        <w:t xml:space="preserve">Set up infrastructure: Docker environment, PostgreSQL, object storage, base FastAPI backend.</w:t>
      </w:r>
    </w:p>
    <w:p>
      <w:pPr>
        <w:pStyle w:val="ListParagraph"/>
        <w:numPr>
          <w:ilvl w:val="0"/>
          <w:numId w:val="2"/>
        </w:numPr>
        <w:spacing w:after="80" w:line="276"/>
      </w:pPr>
      <w:r>
        <w:rPr>
          <w:sz w:val="22"/>
          <w:szCs w:val="22"/>
        </w:rPr>
        <w:t xml:space="preserve">Stand up Ollama locally and validate a chosen model for extraction/generation quality.</w:t>
      </w:r>
    </w:p>
    <w:p>
      <w:pPr>
        <w:pStyle w:val="ListParagraph"/>
        <w:numPr>
          <w:ilvl w:val="0"/>
          <w:numId w:val="2"/>
        </w:numPr>
        <w:spacing w:after="80" w:line="276"/>
      </w:pPr>
      <w:r>
        <w:rPr>
          <w:sz w:val="22"/>
          <w:szCs w:val="22"/>
        </w:rPr>
        <w:t xml:space="preserve">Build transcript ingestion (manual upload / paste) and basic Speech &amp; Text Normalization.</w:t>
      </w:r>
    </w:p>
    <w:p>
      <w:pPr>
        <w:pStyle w:val="ListParagraph"/>
        <w:numPr>
          <w:ilvl w:val="0"/>
          <w:numId w:val="2"/>
        </w:numPr>
        <w:spacing w:after="80" w:line="276"/>
      </w:pPr>
      <w:r>
        <w:rPr>
          <w:sz w:val="22"/>
          <w:szCs w:val="22"/>
        </w:rPr>
        <w:t xml:space="preserve">Build a single extraction agent (Requirements/Decisions) using LangChain with structured output.</w:t>
      </w:r>
    </w:p>
    <w:p>
      <w:pPr>
        <w:pStyle w:val="ListParagraph"/>
        <w:numPr>
          <w:ilvl w:val="0"/>
          <w:numId w:val="2"/>
        </w:numPr>
        <w:spacing w:after="80" w:line="276"/>
      </w:pPr>
      <w:r>
        <w:rPr>
          <w:sz w:val="22"/>
          <w:szCs w:val="22"/>
        </w:rPr>
        <w:t xml:space="preserve">Generate a first, fixed-format MOM document from extracted content (no template intelligence yet).</w:t>
      </w:r>
    </w:p>
    <w:p>
      <w:pPr>
        <w:pStyle w:val="ListParagraph"/>
        <w:numPr>
          <w:ilvl w:val="0"/>
          <w:numId w:val="2"/>
        </w:numPr>
        <w:spacing w:after="80" w:line="276"/>
      </w:pPr>
      <w:r>
        <w:rPr>
          <w:sz w:val="22"/>
          <w:szCs w:val="22"/>
        </w:rPr>
        <w:t xml:space="preserve">Deliverable: upload a transcript in → download a draft MOM out, manually reviewed.</w:t>
      </w:r>
    </w:p>
    <w:p>
      <w:pPr>
        <w:pStyle w:val="Heading2"/>
        <w:spacing w:after="150" w:before="300"/>
      </w:pPr>
      <w:r>
        <w:rPr>
          <w:b/>
          <w:bCs/>
          <w:color w:val="2E74B5"/>
          <w:sz w:val="24"/>
          <w:szCs w:val="24"/>
        </w:rPr>
        <w:t xml:space="preserve">Stage 2 — Evidence Linking &amp; Multi-Agent Extraction (Weeks 4–6)</w:t>
      </w:r>
    </w:p>
    <w:p>
      <w:pPr>
        <w:spacing w:after="160" w:line="276"/>
      </w:pPr>
      <w:r>
        <w:rPr>
          <w:sz w:val="22"/>
          <w:szCs w:val="22"/>
        </w:rPr>
        <w:t xml:space="preserve">Goal: make every generated line traceable, and broaden extraction coverage.</w:t>
      </w:r>
    </w:p>
    <w:p>
      <w:pPr>
        <w:pStyle w:val="ListParagraph"/>
        <w:numPr>
          <w:ilvl w:val="0"/>
          <w:numId w:val="2"/>
        </w:numPr>
        <w:spacing w:after="80" w:line="276"/>
      </w:pPr>
      <w:r>
        <w:rPr>
          <w:sz w:val="22"/>
          <w:szCs w:val="22"/>
        </w:rPr>
        <w:t xml:space="preserve">Implement evidence tagging: source, speaker, timestamp, confidence attached to every extracted fact.</w:t>
      </w:r>
    </w:p>
    <w:p>
      <w:pPr>
        <w:pStyle w:val="ListParagraph"/>
        <w:numPr>
          <w:ilvl w:val="0"/>
          <w:numId w:val="2"/>
        </w:numPr>
        <w:spacing w:after="80" w:line="276"/>
      </w:pPr>
      <w:r>
        <w:rPr>
          <w:sz w:val="22"/>
          <w:szCs w:val="22"/>
        </w:rPr>
        <w:t xml:space="preserve">Add the remaining two agents: Action Items &amp; Ownership, and Risks/Open Questions.</w:t>
      </w:r>
    </w:p>
    <w:p>
      <w:pPr>
        <w:pStyle w:val="ListParagraph"/>
        <w:numPr>
          <w:ilvl w:val="0"/>
          <w:numId w:val="2"/>
        </w:numPr>
        <w:spacing w:after="80" w:line="276"/>
      </w:pPr>
      <w:r>
        <w:rPr>
          <w:sz w:val="22"/>
          <w:szCs w:val="22"/>
        </w:rPr>
        <w:t xml:space="preserve">Introduce per-source confidence scoring (transcript / bot audio / screen audio baselines).</w:t>
      </w:r>
    </w:p>
    <w:p>
      <w:pPr>
        <w:pStyle w:val="ListParagraph"/>
        <w:numPr>
          <w:ilvl w:val="0"/>
          <w:numId w:val="2"/>
        </w:numPr>
        <w:spacing w:after="80" w:line="276"/>
      </w:pPr>
      <w:r>
        <w:rPr>
          <w:sz w:val="22"/>
          <w:szCs w:val="22"/>
        </w:rPr>
        <w:t xml:space="preserve">Build the Human Review &amp; Approval UI: accept/edit/reject each generated statement, with its evidence shown alongside.</w:t>
      </w:r>
    </w:p>
    <w:p>
      <w:pPr>
        <w:pStyle w:val="ListParagraph"/>
        <w:numPr>
          <w:ilvl w:val="0"/>
          <w:numId w:val="2"/>
        </w:numPr>
        <w:spacing w:after="80" w:line="276"/>
      </w:pPr>
      <w:r>
        <w:rPr>
          <w:sz w:val="22"/>
          <w:szCs w:val="22"/>
        </w:rPr>
        <w:t xml:space="preserve">Deliverable: evidence-backed MOM generation with an in-app review step.</w:t>
      </w:r>
    </w:p>
    <w:p>
      <w:pPr>
        <w:pStyle w:val="Heading2"/>
        <w:spacing w:after="150" w:before="300"/>
      </w:pPr>
      <w:r>
        <w:rPr>
          <w:b/>
          <w:bCs/>
          <w:color w:val="2E74B5"/>
          <w:sz w:val="24"/>
          <w:szCs w:val="24"/>
        </w:rPr>
        <w:t xml:space="preserve">Stage 3 — Knowledge Fusion Across Meetings (Weeks 7–10)</w:t>
      </w:r>
    </w:p>
    <w:p>
      <w:pPr>
        <w:spacing w:after="160" w:line="276"/>
      </w:pPr>
      <w:r>
        <w:rPr>
          <w:sz w:val="22"/>
          <w:szCs w:val="22"/>
        </w:rPr>
        <w:t xml:space="preserve">Goal: move from single-meeting documents to project-level memory.</w:t>
      </w:r>
    </w:p>
    <w:p>
      <w:pPr>
        <w:pStyle w:val="ListParagraph"/>
        <w:numPr>
          <w:ilvl w:val="0"/>
          <w:numId w:val="2"/>
        </w:numPr>
        <w:spacing w:after="80" w:line="276"/>
      </w:pPr>
      <w:r>
        <w:rPr>
          <w:sz w:val="22"/>
          <w:szCs w:val="22"/>
        </w:rPr>
        <w:t xml:space="preserve">Set up the vector store and knowledge graph to persist extracted facts per project.</w:t>
      </w:r>
    </w:p>
    <w:p>
      <w:pPr>
        <w:pStyle w:val="ListParagraph"/>
        <w:numPr>
          <w:ilvl w:val="0"/>
          <w:numId w:val="2"/>
        </w:numPr>
        <w:spacing w:after="80" w:line="276"/>
      </w:pPr>
      <w:r>
        <w:rPr>
          <w:sz w:val="22"/>
          <w:szCs w:val="22"/>
        </w:rPr>
        <w:t xml:space="preserve">Build the Knowledge Fusion Engine: duplicate removal, conflict detection, timeline creation, entity resolution.</w:t>
      </w:r>
    </w:p>
    <w:p>
      <w:pPr>
        <w:pStyle w:val="ListParagraph"/>
        <w:numPr>
          <w:ilvl w:val="0"/>
          <w:numId w:val="2"/>
        </w:numPr>
        <w:spacing w:after="80" w:line="276"/>
      </w:pPr>
      <w:r>
        <w:rPr>
          <w:sz w:val="22"/>
          <w:szCs w:val="22"/>
        </w:rPr>
        <w:t xml:space="preserve">Ingest existing SRS/BRD and previous meeting notes as background knowledge sources.</w:t>
      </w:r>
    </w:p>
    <w:p>
      <w:pPr>
        <w:pStyle w:val="ListParagraph"/>
        <w:numPr>
          <w:ilvl w:val="0"/>
          <w:numId w:val="2"/>
        </w:numPr>
        <w:spacing w:after="80" w:line="276"/>
      </w:pPr>
      <w:r>
        <w:rPr>
          <w:sz w:val="22"/>
          <w:szCs w:val="22"/>
        </w:rPr>
        <w:t xml:space="preserve">Surface detected conflicts (e.g., a requirement that changed between meetings) to the reviewer instead of silently resolving them.</w:t>
      </w:r>
    </w:p>
    <w:p>
      <w:pPr>
        <w:pStyle w:val="ListParagraph"/>
        <w:numPr>
          <w:ilvl w:val="0"/>
          <w:numId w:val="2"/>
        </w:numPr>
        <w:spacing w:after="80" w:line="276"/>
      </w:pPr>
      <w:r>
        <w:rPr>
          <w:sz w:val="22"/>
          <w:szCs w:val="22"/>
        </w:rPr>
        <w:t xml:space="preserve">Deliverable: a MOM (and first-pass SRS section) that reflects the full project history, not just one meeting.</w:t>
      </w:r>
    </w:p>
    <w:p>
      <w:pPr>
        <w:pStyle w:val="Heading2"/>
        <w:spacing w:after="150" w:before="300"/>
      </w:pPr>
      <w:r>
        <w:rPr>
          <w:b/>
          <w:bCs/>
          <w:color w:val="2E74B5"/>
          <w:sz w:val="24"/>
          <w:szCs w:val="24"/>
        </w:rPr>
        <w:t xml:space="preserve">Stage 4 — Document Intelligence Layer &amp; Template Learning (Weeks 11–14)</w:t>
      </w:r>
    </w:p>
    <w:p>
      <w:pPr>
        <w:spacing w:after="160" w:line="276"/>
      </w:pPr>
      <w:r>
        <w:rPr>
          <w:sz w:val="22"/>
          <w:szCs w:val="22"/>
        </w:rPr>
        <w:t xml:space="preserve">Goal: remove the fixed-format limitation so any client template can be targeted.</w:t>
      </w:r>
    </w:p>
    <w:p>
      <w:pPr>
        <w:pStyle w:val="ListParagraph"/>
        <w:numPr>
          <w:ilvl w:val="0"/>
          <w:numId w:val="2"/>
        </w:numPr>
        <w:spacing w:after="80" w:line="276"/>
      </w:pPr>
      <w:r>
        <w:rPr>
          <w:sz w:val="22"/>
          <w:szCs w:val="22"/>
        </w:rPr>
        <w:t xml:space="preserve">Build the Template Intelligence Layer: parse an uploaded template/example document into sections, headings, tables, and required fields.</w:t>
      </w:r>
    </w:p>
    <w:p>
      <w:pPr>
        <w:pStyle w:val="ListParagraph"/>
        <w:numPr>
          <w:ilvl w:val="0"/>
          <w:numId w:val="2"/>
        </w:numPr>
        <w:spacing w:after="80" w:line="276"/>
      </w:pPr>
      <w:r>
        <w:rPr>
          <w:sz w:val="22"/>
          <w:szCs w:val="22"/>
        </w:rPr>
        <w:t xml:space="preserve">Generate a reusable Template Schema from that parse.</w:t>
      </w:r>
    </w:p>
    <w:p>
      <w:pPr>
        <w:pStyle w:val="ListParagraph"/>
        <w:numPr>
          <w:ilvl w:val="0"/>
          <w:numId w:val="2"/>
        </w:numPr>
        <w:spacing w:after="80" w:line="276"/>
      </w:pPr>
      <w:r>
        <w:rPr>
          <w:sz w:val="22"/>
          <w:szCs w:val="22"/>
        </w:rPr>
        <w:t xml:space="preserve">Build the Dynamic Document Generator that maps the knowledge graph onto an arbitrary schema.</w:t>
      </w:r>
    </w:p>
    <w:p>
      <w:pPr>
        <w:pStyle w:val="ListParagraph"/>
        <w:numPr>
          <w:ilvl w:val="0"/>
          <w:numId w:val="2"/>
        </w:numPr>
        <w:spacing w:after="80" w:line="276"/>
      </w:pPr>
      <w:r>
        <w:rPr>
          <w:sz w:val="22"/>
          <w:szCs w:val="22"/>
        </w:rPr>
        <w:t xml:space="preserve">Add the AI Planning Engine to decide which agents are needed for a given document type/template.</w:t>
      </w:r>
    </w:p>
    <w:p>
      <w:pPr>
        <w:pStyle w:val="ListParagraph"/>
        <w:numPr>
          <w:ilvl w:val="0"/>
          <w:numId w:val="2"/>
        </w:numPr>
        <w:spacing w:after="80" w:line="276"/>
      </w:pPr>
      <w:r>
        <w:rPr>
          <w:sz w:val="22"/>
          <w:szCs w:val="22"/>
        </w:rPr>
        <w:t xml:space="preserve">Deliverable: generate SRS, BRD, and MOM in a client's own uploaded template format.</w:t>
      </w:r>
    </w:p>
    <w:p>
      <w:pPr>
        <w:pStyle w:val="Heading2"/>
        <w:spacing w:after="150" w:before="300"/>
      </w:pPr>
      <w:r>
        <w:rPr>
          <w:b/>
          <w:bCs/>
          <w:color w:val="2E74B5"/>
          <w:sz w:val="24"/>
          <w:szCs w:val="24"/>
        </w:rPr>
        <w:t xml:space="preserve">Stage 5 — Audio Capture &amp; Live Meeting Sources (Weeks 15–18)</w:t>
      </w:r>
    </w:p>
    <w:p>
      <w:pPr>
        <w:spacing w:after="160" w:line="276"/>
      </w:pPr>
      <w:r>
        <w:rPr>
          <w:sz w:val="22"/>
          <w:szCs w:val="22"/>
        </w:rPr>
        <w:t xml:space="preserve">Goal: reduce dependency on manually uploaded transcripts.</w:t>
      </w:r>
    </w:p>
    <w:p>
      <w:pPr>
        <w:pStyle w:val="ListParagraph"/>
        <w:numPr>
          <w:ilvl w:val="0"/>
          <w:numId w:val="2"/>
        </w:numPr>
        <w:spacing w:after="80" w:line="276"/>
      </w:pPr>
      <w:r>
        <w:rPr>
          <w:sz w:val="22"/>
          <w:szCs w:val="22"/>
        </w:rPr>
        <w:t xml:space="preserve">Integrate Whisper/faster-whisper for speech-to-text and pyannote.audio for speaker diarization.</w:t>
      </w:r>
    </w:p>
    <w:p>
      <w:pPr>
        <w:pStyle w:val="ListParagraph"/>
        <w:numPr>
          <w:ilvl w:val="0"/>
          <w:numId w:val="2"/>
        </w:numPr>
        <w:spacing w:after="80" w:line="276"/>
      </w:pPr>
      <w:r>
        <w:rPr>
          <w:sz w:val="22"/>
          <w:szCs w:val="22"/>
        </w:rPr>
        <w:t xml:space="preserve">Build screen-share + system audio capture as a fallback capture method.</w:t>
      </w:r>
    </w:p>
    <w:p>
      <w:pPr>
        <w:pStyle w:val="ListParagraph"/>
        <w:numPr>
          <w:ilvl w:val="0"/>
          <w:numId w:val="2"/>
        </w:numPr>
        <w:spacing w:after="80" w:line="276"/>
      </w:pPr>
      <w:r>
        <w:rPr>
          <w:sz w:val="22"/>
          <w:szCs w:val="22"/>
        </w:rPr>
        <w:t xml:space="preserve">Evaluate feasibility of a meeting bot (Zoom/Meet/Teams) that joins calls directly; build if in scope.</w:t>
      </w:r>
    </w:p>
    <w:p>
      <w:pPr>
        <w:pStyle w:val="ListParagraph"/>
        <w:numPr>
          <w:ilvl w:val="0"/>
          <w:numId w:val="2"/>
        </w:numPr>
        <w:spacing w:after="80" w:line="276"/>
      </w:pPr>
      <w:r>
        <w:rPr>
          <w:sz w:val="22"/>
          <w:szCs w:val="22"/>
        </w:rPr>
        <w:t xml:space="preserve">Wire all sources into the existing Unified Evidence Engine with their respective confidence baselines.</w:t>
      </w:r>
    </w:p>
    <w:p>
      <w:pPr>
        <w:pStyle w:val="ListParagraph"/>
        <w:numPr>
          <w:ilvl w:val="0"/>
          <w:numId w:val="2"/>
        </w:numPr>
        <w:spacing w:after="80" w:line="276"/>
      </w:pPr>
      <w:r>
        <w:rPr>
          <w:sz w:val="22"/>
          <w:szCs w:val="22"/>
        </w:rPr>
        <w:t xml:space="preserve">Deliverable: meetings can be documented directly from audio, with transcript upload remaining as the most reliable fallback.</w:t>
      </w:r>
    </w:p>
    <w:p>
      <w:pPr>
        <w:pStyle w:val="Heading2"/>
        <w:spacing w:after="150" w:before="300"/>
      </w:pPr>
      <w:r>
        <w:rPr>
          <w:b/>
          <w:bCs/>
          <w:color w:val="2E74B5"/>
          <w:sz w:val="24"/>
          <w:szCs w:val="24"/>
        </w:rPr>
        <w:t xml:space="preserve">Stage 6 — Scale-Out to Additional Document Types &amp; Hardening (Weeks 19+)</w:t>
      </w:r>
    </w:p>
    <w:p>
      <w:pPr>
        <w:spacing w:after="160" w:line="276"/>
      </w:pPr>
      <w:r>
        <w:rPr>
          <w:sz w:val="22"/>
          <w:szCs w:val="22"/>
        </w:rPr>
        <w:t xml:space="preserve">Goal: extend beyond SRS/BRD/MOM and prepare for production use.</w:t>
      </w:r>
    </w:p>
    <w:p>
      <w:pPr>
        <w:pStyle w:val="ListParagraph"/>
        <w:numPr>
          <w:ilvl w:val="0"/>
          <w:numId w:val="2"/>
        </w:numPr>
        <w:spacing w:after="80" w:line="276"/>
      </w:pPr>
      <w:r>
        <w:rPr>
          <w:sz w:val="22"/>
          <w:szCs w:val="22"/>
        </w:rPr>
        <w:t xml:space="preserve">Extend the template library to FSD, project charters, audit reports, risk registers, test plans, and other document types from Section 3.</w:t>
      </w:r>
    </w:p>
    <w:p>
      <w:pPr>
        <w:pStyle w:val="ListParagraph"/>
        <w:numPr>
          <w:ilvl w:val="0"/>
          <w:numId w:val="2"/>
        </w:numPr>
        <w:spacing w:after="80" w:line="276"/>
      </w:pPr>
      <w:r>
        <w:rPr>
          <w:sz w:val="22"/>
          <w:szCs w:val="22"/>
        </w:rPr>
        <w:t xml:space="preserve">Add role-based access control, audit logging, and versioning of generated documents.</w:t>
      </w:r>
    </w:p>
    <w:p>
      <w:pPr>
        <w:pStyle w:val="ListParagraph"/>
        <w:numPr>
          <w:ilvl w:val="0"/>
          <w:numId w:val="2"/>
        </w:numPr>
        <w:spacing w:after="80" w:line="276"/>
      </w:pPr>
      <w:r>
        <w:rPr>
          <w:sz w:val="22"/>
          <w:szCs w:val="22"/>
        </w:rPr>
        <w:t xml:space="preserve">Performance/load testing, and packaging for self-hosted client deployment (Docker Compose / Kubernetes).</w:t>
      </w:r>
    </w:p>
    <w:p>
      <w:pPr>
        <w:pStyle w:val="ListParagraph"/>
        <w:numPr>
          <w:ilvl w:val="0"/>
          <w:numId w:val="2"/>
        </w:numPr>
        <w:spacing w:after="80" w:line="276"/>
      </w:pPr>
      <w:r>
        <w:rPr>
          <w:sz w:val="22"/>
          <w:szCs w:val="22"/>
        </w:rPr>
        <w:t xml:space="preserve">Ongoing model evaluation — periodically benchmark newer open-source models served via Ollama for extraction/generation quality.</w:t>
      </w:r>
    </w:p>
    <w:p>
      <w:pPr>
        <w:pStyle w:val="ListParagraph"/>
        <w:numPr>
          <w:ilvl w:val="0"/>
          <w:numId w:val="2"/>
        </w:numPr>
        <w:spacing w:after="80" w:line="276"/>
      </w:pPr>
      <w:r>
        <w:rPr>
          <w:sz w:val="22"/>
          <w:szCs w:val="22"/>
        </w:rPr>
        <w:t xml:space="preserve">Deliverable: production-ready, multi-document-type platform.</w:t>
      </w:r>
    </w:p>
    <w:p>
      <w:pPr>
        <w:pStyle w:val="Heading2"/>
        <w:spacing w:after="150" w:before="300"/>
      </w:pPr>
      <w:r>
        <w:rPr>
          <w:b/>
          <w:bCs/>
          <w:color w:val="2E74B5"/>
          <w:sz w:val="24"/>
          <w:szCs w:val="24"/>
        </w:rPr>
        <w:t xml:space="preserve">5.1 Stage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00"/>
      </w:tblGrid>
      <w:tr>
        <w:trPr>
          <w:tblHeader/>
        </w:trPr>
        <w:tc>
          <w:tcPr>
            <w:tcW w:type="dxa" w:w="900"/>
            <w:shd w:fill="1F3864" w:val="clear"/>
            <w:tcMar>
              <w:top w:type="dxa" w:w="100"/>
              <w:left w:type="dxa" w:w="120"/>
              <w:bottom w:type="dxa" w:w="100"/>
              <w:right w:type="dxa" w:w="120"/>
            </w:tcMar>
          </w:tcPr>
          <w:p>
            <w:pPr>
              <w:jc w:val="left"/>
            </w:pPr>
            <w:r>
              <w:rPr>
                <w:b/>
                <w:bCs/>
                <w:color w:val="FFFFFF"/>
                <w:sz w:val="20"/>
                <w:szCs w:val="20"/>
              </w:rPr>
              <w:t xml:space="preserve">Stage</w:t>
            </w:r>
          </w:p>
        </w:tc>
        <w:tc>
          <w:tcPr>
            <w:tcW w:type="dxa" w:w="4200"/>
            <w:shd w:fill="1F3864" w:val="clear"/>
            <w:tcMar>
              <w:top w:type="dxa" w:w="100"/>
              <w:left w:type="dxa" w:w="120"/>
              <w:bottom w:type="dxa" w:w="100"/>
              <w:right w:type="dxa" w:w="120"/>
            </w:tcMar>
          </w:tcPr>
          <w:p>
            <w:pPr>
              <w:jc w:val="left"/>
            </w:pPr>
            <w:r>
              <w:rPr>
                <w:b/>
                <w:bCs/>
                <w:color w:val="FFFFFF"/>
                <w:sz w:val="20"/>
                <w:szCs w:val="20"/>
              </w:rPr>
              <w:t xml:space="preserve">Focus</w:t>
            </w:r>
          </w:p>
        </w:tc>
        <w:tc>
          <w:tcPr>
            <w:tcW w:type="dxa" w:w="3900"/>
            <w:shd w:fill="1F3864" w:val="clear"/>
            <w:tcMar>
              <w:top w:type="dxa" w:w="100"/>
              <w:left w:type="dxa" w:w="120"/>
              <w:bottom w:type="dxa" w:w="100"/>
              <w:right w:type="dxa" w:w="120"/>
            </w:tcMar>
          </w:tcPr>
          <w:p>
            <w:pPr>
              <w:jc w:val="left"/>
            </w:pPr>
            <w:r>
              <w:rPr>
                <w:b/>
                <w:bCs/>
                <w:color w:val="FFFFFF"/>
                <w:sz w:val="20"/>
                <w:szCs w:val="20"/>
              </w:rPr>
              <w:t xml:space="preserve">Key Deliverable</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1</w:t>
            </w:r>
          </w:p>
        </w:tc>
        <w:tc>
          <w:tcPr>
            <w:tcW w:type="dxa" w:w="4200"/>
            <w:shd w:fill="F2F6FA" w:val="clear"/>
            <w:tcMar>
              <w:top w:type="dxa" w:w="100"/>
              <w:left w:type="dxa" w:w="120"/>
              <w:bottom w:type="dxa" w:w="100"/>
              <w:right w:type="dxa" w:w="120"/>
            </w:tcMar>
          </w:tcPr>
          <w:p>
            <w:pPr>
              <w:jc w:val="left"/>
            </w:pPr>
            <w:r>
              <w:rPr>
                <w:b w:val="false"/>
                <w:bCs w:val="false"/>
                <w:color w:val="000000"/>
                <w:sz w:val="20"/>
                <w:szCs w:val="20"/>
              </w:rPr>
              <w:t xml:space="preserve">Foundations &amp; manual-transcript MOM</w:t>
            </w:r>
          </w:p>
        </w:tc>
        <w:tc>
          <w:tcPr>
            <w:tcW w:type="dxa" w:w="3900"/>
            <w:shd w:fill="F2F6FA" w:val="clear"/>
            <w:tcMar>
              <w:top w:type="dxa" w:w="100"/>
              <w:left w:type="dxa" w:w="120"/>
              <w:bottom w:type="dxa" w:w="100"/>
              <w:right w:type="dxa" w:w="120"/>
            </w:tcMar>
          </w:tcPr>
          <w:p>
            <w:pPr>
              <w:jc w:val="left"/>
            </w:pPr>
            <w:r>
              <w:rPr>
                <w:b w:val="false"/>
                <w:bCs w:val="false"/>
                <w:color w:val="000000"/>
                <w:sz w:val="20"/>
                <w:szCs w:val="20"/>
              </w:rPr>
              <w:t xml:space="preserve">Transcript in → draft MOM out</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2</w:t>
            </w:r>
          </w:p>
        </w:tc>
        <w:tc>
          <w:tcPr>
            <w:tcW w:type="dxa" w:w="4200"/>
            <w:shd w:fill="FFFFFF" w:val="clear"/>
            <w:tcMar>
              <w:top w:type="dxa" w:w="100"/>
              <w:left w:type="dxa" w:w="120"/>
              <w:bottom w:type="dxa" w:w="100"/>
              <w:right w:type="dxa" w:w="120"/>
            </w:tcMar>
          </w:tcPr>
          <w:p>
            <w:pPr>
              <w:jc w:val="left"/>
            </w:pPr>
            <w:r>
              <w:rPr>
                <w:b w:val="false"/>
                <w:bCs w:val="false"/>
                <w:color w:val="000000"/>
                <w:sz w:val="20"/>
                <w:szCs w:val="20"/>
              </w:rPr>
              <w:t xml:space="preserve">Evidence linking &amp; multi-agent extraction</w:t>
            </w:r>
          </w:p>
        </w:tc>
        <w:tc>
          <w:tcPr>
            <w:tcW w:type="dxa" w:w="3900"/>
            <w:shd w:fill="FFFFFF" w:val="clear"/>
            <w:tcMar>
              <w:top w:type="dxa" w:w="100"/>
              <w:left w:type="dxa" w:w="120"/>
              <w:bottom w:type="dxa" w:w="100"/>
              <w:right w:type="dxa" w:w="120"/>
            </w:tcMar>
          </w:tcPr>
          <w:p>
            <w:pPr>
              <w:jc w:val="left"/>
            </w:pPr>
            <w:r>
              <w:rPr>
                <w:b w:val="false"/>
                <w:bCs w:val="false"/>
                <w:color w:val="000000"/>
                <w:sz w:val="20"/>
                <w:szCs w:val="20"/>
              </w:rPr>
              <w:t xml:space="preserve">Evidence-backed MOM + review UI</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3</w:t>
            </w:r>
          </w:p>
        </w:tc>
        <w:tc>
          <w:tcPr>
            <w:tcW w:type="dxa" w:w="4200"/>
            <w:shd w:fill="F2F6FA" w:val="clear"/>
            <w:tcMar>
              <w:top w:type="dxa" w:w="100"/>
              <w:left w:type="dxa" w:w="120"/>
              <w:bottom w:type="dxa" w:w="100"/>
              <w:right w:type="dxa" w:w="120"/>
            </w:tcMar>
          </w:tcPr>
          <w:p>
            <w:pPr>
              <w:jc w:val="left"/>
            </w:pPr>
            <w:r>
              <w:rPr>
                <w:b w:val="false"/>
                <w:bCs w:val="false"/>
                <w:color w:val="000000"/>
                <w:sz w:val="20"/>
                <w:szCs w:val="20"/>
              </w:rPr>
              <w:t xml:space="preserve">Knowledge fusion across meetings</w:t>
            </w:r>
          </w:p>
        </w:tc>
        <w:tc>
          <w:tcPr>
            <w:tcW w:type="dxa" w:w="3900"/>
            <w:shd w:fill="F2F6FA" w:val="clear"/>
            <w:tcMar>
              <w:top w:type="dxa" w:w="100"/>
              <w:left w:type="dxa" w:w="120"/>
              <w:bottom w:type="dxa" w:w="100"/>
              <w:right w:type="dxa" w:w="120"/>
            </w:tcMar>
          </w:tcPr>
          <w:p>
            <w:pPr>
              <w:jc w:val="left"/>
            </w:pPr>
            <w:r>
              <w:rPr>
                <w:b w:val="false"/>
                <w:bCs w:val="false"/>
                <w:color w:val="000000"/>
                <w:sz w:val="20"/>
                <w:szCs w:val="20"/>
              </w:rPr>
              <w:t xml:space="preserve">Project-level memory, conflict detection</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4</w:t>
            </w:r>
          </w:p>
        </w:tc>
        <w:tc>
          <w:tcPr>
            <w:tcW w:type="dxa" w:w="4200"/>
            <w:shd w:fill="FFFFFF" w:val="clear"/>
            <w:tcMar>
              <w:top w:type="dxa" w:w="100"/>
              <w:left w:type="dxa" w:w="120"/>
              <w:bottom w:type="dxa" w:w="100"/>
              <w:right w:type="dxa" w:w="120"/>
            </w:tcMar>
          </w:tcPr>
          <w:p>
            <w:pPr>
              <w:jc w:val="left"/>
            </w:pPr>
            <w:r>
              <w:rPr>
                <w:b w:val="false"/>
                <w:bCs w:val="false"/>
                <w:color w:val="000000"/>
                <w:sz w:val="20"/>
                <w:szCs w:val="20"/>
              </w:rPr>
              <w:t xml:space="preserve">Document Intelligence Layer</w:t>
            </w:r>
          </w:p>
        </w:tc>
        <w:tc>
          <w:tcPr>
            <w:tcW w:type="dxa" w:w="3900"/>
            <w:shd w:fill="FFFFFF" w:val="clear"/>
            <w:tcMar>
              <w:top w:type="dxa" w:w="100"/>
              <w:left w:type="dxa" w:w="120"/>
              <w:bottom w:type="dxa" w:w="100"/>
              <w:right w:type="dxa" w:w="120"/>
            </w:tcMar>
          </w:tcPr>
          <w:p>
            <w:pPr>
              <w:jc w:val="left"/>
            </w:pPr>
            <w:r>
              <w:rPr>
                <w:b w:val="false"/>
                <w:bCs w:val="false"/>
                <w:color w:val="000000"/>
                <w:sz w:val="20"/>
                <w:szCs w:val="20"/>
              </w:rPr>
              <w:t xml:space="preserve">Any client template supported (SRS/BRD/MOM)</w:t>
            </w:r>
          </w:p>
        </w:tc>
      </w:tr>
      <w:tr>
        <w:tc>
          <w:tcPr>
            <w:tcW w:type="dxa" w:w="900"/>
            <w:shd w:fill="F2F6FA" w:val="clear"/>
            <w:tcMar>
              <w:top w:type="dxa" w:w="100"/>
              <w:left w:type="dxa" w:w="120"/>
              <w:bottom w:type="dxa" w:w="100"/>
              <w:right w:type="dxa" w:w="120"/>
            </w:tcMar>
          </w:tcPr>
          <w:p>
            <w:pPr>
              <w:jc w:val="left"/>
            </w:pPr>
            <w:r>
              <w:rPr>
                <w:b w:val="false"/>
                <w:bCs w:val="false"/>
                <w:color w:val="000000"/>
                <w:sz w:val="20"/>
                <w:szCs w:val="20"/>
              </w:rPr>
              <w:t xml:space="preserve">5</w:t>
            </w:r>
          </w:p>
        </w:tc>
        <w:tc>
          <w:tcPr>
            <w:tcW w:type="dxa" w:w="4200"/>
            <w:shd w:fill="F2F6FA" w:val="clear"/>
            <w:tcMar>
              <w:top w:type="dxa" w:w="100"/>
              <w:left w:type="dxa" w:w="120"/>
              <w:bottom w:type="dxa" w:w="100"/>
              <w:right w:type="dxa" w:w="120"/>
            </w:tcMar>
          </w:tcPr>
          <w:p>
            <w:pPr>
              <w:jc w:val="left"/>
            </w:pPr>
            <w:r>
              <w:rPr>
                <w:b w:val="false"/>
                <w:bCs w:val="false"/>
                <w:color w:val="000000"/>
                <w:sz w:val="20"/>
                <w:szCs w:val="20"/>
              </w:rPr>
              <w:t xml:space="preserve">Audio capture &amp; live sources</w:t>
            </w:r>
          </w:p>
        </w:tc>
        <w:tc>
          <w:tcPr>
            <w:tcW w:type="dxa" w:w="3900"/>
            <w:shd w:fill="F2F6FA" w:val="clear"/>
            <w:tcMar>
              <w:top w:type="dxa" w:w="100"/>
              <w:left w:type="dxa" w:w="120"/>
              <w:bottom w:type="dxa" w:w="100"/>
              <w:right w:type="dxa" w:w="120"/>
            </w:tcMar>
          </w:tcPr>
          <w:p>
            <w:pPr>
              <w:jc w:val="left"/>
            </w:pPr>
            <w:r>
              <w:rPr>
                <w:b w:val="false"/>
                <w:bCs w:val="false"/>
                <w:color w:val="000000"/>
                <w:sz w:val="20"/>
                <w:szCs w:val="20"/>
              </w:rPr>
              <w:t xml:space="preserve">Direct audio-to-document, bot/screen capture</w:t>
            </w:r>
          </w:p>
        </w:tc>
      </w:tr>
      <w:tr>
        <w:tc>
          <w:tcPr>
            <w:tcW w:type="dxa" w:w="900"/>
            <w:shd w:fill="FFFFFF" w:val="clear"/>
            <w:tcMar>
              <w:top w:type="dxa" w:w="100"/>
              <w:left w:type="dxa" w:w="120"/>
              <w:bottom w:type="dxa" w:w="100"/>
              <w:right w:type="dxa" w:w="120"/>
            </w:tcMar>
          </w:tcPr>
          <w:p>
            <w:pPr>
              <w:jc w:val="left"/>
            </w:pPr>
            <w:r>
              <w:rPr>
                <w:b w:val="false"/>
                <w:bCs w:val="false"/>
                <w:color w:val="000000"/>
                <w:sz w:val="20"/>
                <w:szCs w:val="20"/>
              </w:rPr>
              <w:t xml:space="preserve">6</w:t>
            </w:r>
          </w:p>
        </w:tc>
        <w:tc>
          <w:tcPr>
            <w:tcW w:type="dxa" w:w="4200"/>
            <w:shd w:fill="FFFFFF" w:val="clear"/>
            <w:tcMar>
              <w:top w:type="dxa" w:w="100"/>
              <w:left w:type="dxa" w:w="120"/>
              <w:bottom w:type="dxa" w:w="100"/>
              <w:right w:type="dxa" w:w="120"/>
            </w:tcMar>
          </w:tcPr>
          <w:p>
            <w:pPr>
              <w:jc w:val="left"/>
            </w:pPr>
            <w:r>
              <w:rPr>
                <w:b w:val="false"/>
                <w:bCs w:val="false"/>
                <w:color w:val="000000"/>
                <w:sz w:val="20"/>
                <w:szCs w:val="20"/>
              </w:rPr>
              <w:t xml:space="preserve">Scale-out &amp; hardening</w:t>
            </w:r>
          </w:p>
        </w:tc>
        <w:tc>
          <w:tcPr>
            <w:tcW w:type="dxa" w:w="3900"/>
            <w:shd w:fill="FFFFFF" w:val="clear"/>
            <w:tcMar>
              <w:top w:type="dxa" w:w="100"/>
              <w:left w:type="dxa" w:w="120"/>
              <w:bottom w:type="dxa" w:w="100"/>
              <w:right w:type="dxa" w:w="120"/>
            </w:tcMar>
          </w:tcPr>
          <w:p>
            <w:pPr>
              <w:jc w:val="left"/>
            </w:pPr>
            <w:r>
              <w:rPr>
                <w:b w:val="false"/>
                <w:bCs w:val="false"/>
                <w:color w:val="000000"/>
                <w:sz w:val="20"/>
                <w:szCs w:val="20"/>
              </w:rPr>
              <w:t xml:space="preserve">Full document-type library, production-ready</w:t>
            </w:r>
          </w:p>
        </w:tc>
      </w:tr>
    </w:tbl>
    <w:p>
      <w:pPr>
        <w:pStyle w:val="Heading1"/>
        <w:pBdr>
          <w:bottom w:val="single" w:color="2E74B5" w:sz="6" w:space="4"/>
        </w:pBdr>
        <w:spacing w:after="200" w:before="400"/>
      </w:pPr>
      <w:r>
        <w:rPr>
          <w:b/>
          <w:bCs/>
          <w:color w:val="1F3864"/>
          <w:sz w:val="30"/>
          <w:szCs w:val="30"/>
        </w:rPr>
        <w:t xml:space="preserve">6. Team &amp; Resources Needed</w:t>
      </w:r>
    </w:p>
    <w:p>
      <w:pPr>
        <w:pStyle w:val="Heading2"/>
        <w:spacing w:after="150" w:before="300"/>
      </w:pPr>
      <w:r>
        <w:rPr>
          <w:b/>
          <w:bCs/>
          <w:color w:val="2E74B5"/>
          <w:sz w:val="24"/>
          <w:szCs w:val="24"/>
        </w:rPr>
        <w:t xml:space="preserve">6.1 Suggested Roles</w:t>
      </w:r>
    </w:p>
    <w:p>
      <w:pPr>
        <w:pStyle w:val="ListParagraph"/>
        <w:numPr>
          <w:ilvl w:val="0"/>
          <w:numId w:val="2"/>
        </w:numPr>
        <w:spacing w:after="80" w:line="276"/>
      </w:pPr>
      <w:r>
        <w:rPr>
          <w:b/>
          <w:bCs/>
          <w:sz w:val="22"/>
          <w:szCs w:val="22"/>
        </w:rPr>
        <w:t xml:space="preserve">AI/ML Engineer(s) — </w:t>
      </w:r>
      <w:r>
        <w:rPr>
          <w:sz w:val="22"/>
          <w:szCs w:val="22"/>
        </w:rPr>
        <w:t xml:space="preserve">own the LangChain/LangGraph pipeline, agent design, prompt/schema engineering, and model evaluation on Ollama.</w:t>
      </w:r>
    </w:p>
    <w:p>
      <w:pPr>
        <w:pStyle w:val="ListParagraph"/>
        <w:numPr>
          <w:ilvl w:val="0"/>
          <w:numId w:val="2"/>
        </w:numPr>
        <w:spacing w:after="80" w:line="276"/>
      </w:pPr>
      <w:r>
        <w:rPr>
          <w:b/>
          <w:bCs/>
          <w:sz w:val="22"/>
          <w:szCs w:val="22"/>
        </w:rPr>
        <w:t xml:space="preserve">Backend Engineer — </w:t>
      </w:r>
      <w:r>
        <w:rPr>
          <w:sz w:val="22"/>
          <w:szCs w:val="22"/>
        </w:rPr>
        <w:t xml:space="preserve">FastAPI services, task queue, database/vector-store integration, template schema engine.</w:t>
      </w:r>
    </w:p>
    <w:p>
      <w:pPr>
        <w:pStyle w:val="ListParagraph"/>
        <w:numPr>
          <w:ilvl w:val="0"/>
          <w:numId w:val="2"/>
        </w:numPr>
        <w:spacing w:after="80" w:line="276"/>
      </w:pPr>
      <w:r>
        <w:rPr>
          <w:b/>
          <w:bCs/>
          <w:sz w:val="22"/>
          <w:szCs w:val="22"/>
        </w:rPr>
        <w:t xml:space="preserve">Frontend Engineer — </w:t>
      </w:r>
      <w:r>
        <w:rPr>
          <w:sz w:val="22"/>
          <w:szCs w:val="22"/>
        </w:rPr>
        <w:t xml:space="preserve">review UI, document preview/editing, upload flows, dashboards.</w:t>
      </w:r>
    </w:p>
    <w:p>
      <w:pPr>
        <w:pStyle w:val="ListParagraph"/>
        <w:numPr>
          <w:ilvl w:val="0"/>
          <w:numId w:val="2"/>
        </w:numPr>
        <w:spacing w:after="80" w:line="276"/>
      </w:pPr>
      <w:r>
        <w:rPr>
          <w:b/>
          <w:bCs/>
          <w:sz w:val="22"/>
          <w:szCs w:val="22"/>
        </w:rPr>
        <w:t xml:space="preserve">Audio/Speech Engineer (Stage 5+) — </w:t>
      </w:r>
      <w:r>
        <w:rPr>
          <w:sz w:val="22"/>
          <w:szCs w:val="22"/>
        </w:rPr>
        <w:t xml:space="preserve">Whisper/diarization integration, capture pipeline, meeting-bot feasibility.</w:t>
      </w:r>
    </w:p>
    <w:p>
      <w:pPr>
        <w:pStyle w:val="ListParagraph"/>
        <w:numPr>
          <w:ilvl w:val="0"/>
          <w:numId w:val="2"/>
        </w:numPr>
        <w:spacing w:after="80" w:line="276"/>
      </w:pPr>
      <w:r>
        <w:rPr>
          <w:b/>
          <w:bCs/>
          <w:sz w:val="22"/>
          <w:szCs w:val="22"/>
        </w:rPr>
        <w:t xml:space="preserve">QA / Reviewer — </w:t>
      </w:r>
      <w:r>
        <w:rPr>
          <w:sz w:val="22"/>
          <w:szCs w:val="22"/>
        </w:rPr>
        <w:t xml:space="preserve">validates generated documents against source meetings during early stages; defines acceptance criteria for confidence thresholds.</w:t>
      </w:r>
    </w:p>
    <w:p>
      <w:pPr>
        <w:pStyle w:val="ListParagraph"/>
        <w:numPr>
          <w:ilvl w:val="0"/>
          <w:numId w:val="2"/>
        </w:numPr>
        <w:spacing w:after="80" w:line="276"/>
      </w:pPr>
      <w:r>
        <w:rPr>
          <w:b/>
          <w:bCs/>
          <w:sz w:val="22"/>
          <w:szCs w:val="22"/>
        </w:rPr>
        <w:t xml:space="preserve">Project/Delivery Lead — </w:t>
      </w:r>
      <w:r>
        <w:rPr>
          <w:sz w:val="22"/>
          <w:szCs w:val="22"/>
        </w:rPr>
        <w:t xml:space="preserve">coordinates stages, manages client template collection, tracks scope per document type.</w:t>
      </w:r>
    </w:p>
    <w:p>
      <w:pPr>
        <w:pStyle w:val="Heading2"/>
        <w:spacing w:after="150" w:before="300"/>
      </w:pPr>
      <w:r>
        <w:rPr>
          <w:b/>
          <w:bCs/>
          <w:color w:val="2E74B5"/>
          <w:sz w:val="24"/>
          <w:szCs w:val="24"/>
        </w:rPr>
        <w:t xml:space="preserve">6.2 Infrastructure</w:t>
      </w:r>
    </w:p>
    <w:p>
      <w:pPr>
        <w:pStyle w:val="ListParagraph"/>
        <w:numPr>
          <w:ilvl w:val="0"/>
          <w:numId w:val="2"/>
        </w:numPr>
        <w:spacing w:after="80" w:line="276"/>
      </w:pPr>
      <w:r>
        <w:rPr>
          <w:sz w:val="22"/>
          <w:szCs w:val="22"/>
        </w:rPr>
        <w:t xml:space="preserve">A GPU-capable server (or workstation) to run Ollama models at usable speed — sizing depends on chosen model (7B–14B parameter models are a practical starting point).</w:t>
      </w:r>
    </w:p>
    <w:p>
      <w:pPr>
        <w:pStyle w:val="ListParagraph"/>
        <w:numPr>
          <w:ilvl w:val="0"/>
          <w:numId w:val="2"/>
        </w:numPr>
        <w:spacing w:after="80" w:line="276"/>
      </w:pPr>
      <w:r>
        <w:rPr>
          <w:sz w:val="22"/>
          <w:szCs w:val="22"/>
        </w:rPr>
        <w:t xml:space="preserve">Self-hosted storage for audio files, transcripts, and generated documents (data-residency friendly).</w:t>
      </w:r>
    </w:p>
    <w:p>
      <w:pPr>
        <w:pStyle w:val="ListParagraph"/>
        <w:numPr>
          <w:ilvl w:val="0"/>
          <w:numId w:val="2"/>
        </w:numPr>
        <w:spacing w:after="80" w:line="276"/>
      </w:pPr>
      <w:r>
        <w:rPr>
          <w:sz w:val="22"/>
          <w:szCs w:val="22"/>
        </w:rPr>
        <w:t xml:space="preserve">Standard CI/CD and container hosting for the backend/frontend services.</w:t>
      </w:r>
    </w:p>
    <w:p>
      <w:pPr>
        <w:pStyle w:val="Heading2"/>
        <w:spacing w:after="150" w:before="300"/>
      </w:pPr>
      <w:r>
        <w:rPr>
          <w:b/>
          <w:bCs/>
          <w:color w:val="2E74B5"/>
          <w:sz w:val="24"/>
          <w:szCs w:val="24"/>
        </w:rPr>
        <w:t xml:space="preserve">6.3 Inputs Needed From Stakeholders</w:t>
      </w:r>
    </w:p>
    <w:p>
      <w:pPr>
        <w:pStyle w:val="ListParagraph"/>
        <w:numPr>
          <w:ilvl w:val="0"/>
          <w:numId w:val="2"/>
        </w:numPr>
        <w:spacing w:after="80" w:line="276"/>
      </w:pPr>
      <w:r>
        <w:rPr>
          <w:sz w:val="22"/>
          <w:szCs w:val="22"/>
        </w:rPr>
        <w:t xml:space="preserve">Sample meeting transcripts/recordings to use for early testing and evaluation.</w:t>
      </w:r>
    </w:p>
    <w:p>
      <w:pPr>
        <w:pStyle w:val="ListParagraph"/>
        <w:numPr>
          <w:ilvl w:val="0"/>
          <w:numId w:val="2"/>
        </w:numPr>
        <w:spacing w:after="80" w:line="276"/>
      </w:pPr>
      <w:r>
        <w:rPr>
          <w:sz w:val="22"/>
          <w:szCs w:val="22"/>
        </w:rPr>
        <w:t xml:space="preserve">Example client templates (SRS, BRD, MOM, etc.) so the Doc Intelligence Layer has real targets to learn from.</w:t>
      </w:r>
    </w:p>
    <w:p>
      <w:pPr>
        <w:pStyle w:val="ListParagraph"/>
        <w:numPr>
          <w:ilvl w:val="0"/>
          <w:numId w:val="2"/>
        </w:numPr>
        <w:spacing w:after="80" w:line="276"/>
      </w:pPr>
      <w:r>
        <w:rPr>
          <w:sz w:val="22"/>
          <w:szCs w:val="22"/>
        </w:rPr>
        <w:t xml:space="preserve">Defined confidence/quality thresholds — how confident must a statement be before it's auto-included vs. flagged for review.</w:t>
      </w:r>
    </w:p>
    <w:p>
      <w:pPr>
        <w:pStyle w:val="ListParagraph"/>
        <w:numPr>
          <w:ilvl w:val="0"/>
          <w:numId w:val="2"/>
        </w:numPr>
        <w:spacing w:after="80" w:line="276"/>
      </w:pPr>
      <w:r>
        <w:rPr>
          <w:sz w:val="22"/>
          <w:szCs w:val="22"/>
        </w:rPr>
        <w:t xml:space="preserve">Access/permission requirements for meeting-bot integration, if that capture method is pursued (Stage 5).</w:t>
      </w:r>
    </w:p>
    <w:p>
      <w:pPr>
        <w:pStyle w:val="Heading1"/>
        <w:pBdr>
          <w:bottom w:val="single" w:color="2E74B5" w:sz="6" w:space="4"/>
        </w:pBdr>
        <w:spacing w:after="200" w:before="400"/>
      </w:pPr>
      <w:r>
        <w:rPr>
          <w:b/>
          <w:bCs/>
          <w:color w:val="1F3864"/>
          <w:sz w:val="30"/>
          <w:szCs w:val="30"/>
        </w:rPr>
        <w:t xml:space="preserve">7. Key Risks &amp; Considerations</w:t>
      </w:r>
    </w:p>
    <w:p>
      <w:pPr>
        <w:pStyle w:val="ListParagraph"/>
        <w:numPr>
          <w:ilvl w:val="0"/>
          <w:numId w:val="2"/>
        </w:numPr>
        <w:spacing w:after="80" w:line="276"/>
      </w:pPr>
      <w:r>
        <w:rPr>
          <w:b/>
          <w:bCs/>
          <w:sz w:val="22"/>
          <w:szCs w:val="22"/>
        </w:rPr>
        <w:t xml:space="preserve">Transcription accuracy on noisy audio — </w:t>
      </w:r>
      <w:r>
        <w:rPr>
          <w:sz w:val="22"/>
          <w:szCs w:val="22"/>
        </w:rPr>
        <w:t xml:space="preserve">screen-capture audio has the lowest baseline confidence; mitigate by always preferring official transcripts where available (see priority order, Section 2.3).</w:t>
      </w:r>
    </w:p>
    <w:p>
      <w:pPr>
        <w:pStyle w:val="ListParagraph"/>
        <w:numPr>
          <w:ilvl w:val="0"/>
          <w:numId w:val="2"/>
        </w:numPr>
        <w:spacing w:after="80" w:line="276"/>
      </w:pPr>
      <w:r>
        <w:rPr>
          <w:b/>
          <w:bCs/>
          <w:sz w:val="22"/>
          <w:szCs w:val="22"/>
        </w:rPr>
        <w:t xml:space="preserve">Conflicting information across meetings — </w:t>
      </w:r>
      <w:r>
        <w:rPr>
          <w:sz w:val="22"/>
          <w:szCs w:val="22"/>
        </w:rPr>
        <w:t xml:space="preserve">resolved by explicit conflict detection and human review rather than silent overwrite (Section 2.4).</w:t>
      </w:r>
    </w:p>
    <w:p>
      <w:pPr>
        <w:pStyle w:val="ListParagraph"/>
        <w:numPr>
          <w:ilvl w:val="0"/>
          <w:numId w:val="2"/>
        </w:numPr>
        <w:spacing w:after="80" w:line="276"/>
      </w:pPr>
      <w:r>
        <w:rPr>
          <w:b/>
          <w:bCs/>
          <w:sz w:val="22"/>
          <w:szCs w:val="22"/>
        </w:rPr>
        <w:t xml:space="preserve">Template diversity — </w:t>
      </w:r>
      <w:r>
        <w:rPr>
          <w:sz w:val="22"/>
          <w:szCs w:val="22"/>
        </w:rPr>
        <w:t xml:space="preserve">the Doc Intelligence Layer (Stage 4) is what prevents this from becoming a one-template product; template parsing accuracy should be validated per client early.</w:t>
      </w:r>
    </w:p>
    <w:p>
      <w:pPr>
        <w:pStyle w:val="ListParagraph"/>
        <w:numPr>
          <w:ilvl w:val="0"/>
          <w:numId w:val="2"/>
        </w:numPr>
        <w:spacing w:after="80" w:line="276"/>
      </w:pPr>
      <w:r>
        <w:rPr>
          <w:b/>
          <w:bCs/>
          <w:sz w:val="22"/>
          <w:szCs w:val="22"/>
        </w:rPr>
        <w:t xml:space="preserve">Data confidentiality — </w:t>
      </w:r>
      <w:r>
        <w:rPr>
          <w:sz w:val="22"/>
          <w:szCs w:val="22"/>
        </w:rPr>
        <w:t xml:space="preserve">meeting content is often sensitive; the fully open-source, self-hostable stack (Section 4) is chosen specifically to keep data on client infrastructure.</w:t>
      </w:r>
    </w:p>
    <w:p>
      <w:pPr>
        <w:pStyle w:val="ListParagraph"/>
        <w:numPr>
          <w:ilvl w:val="0"/>
          <w:numId w:val="2"/>
        </w:numPr>
        <w:spacing w:after="80" w:line="276"/>
      </w:pPr>
      <w:r>
        <w:rPr>
          <w:b/>
          <w:bCs/>
          <w:sz w:val="22"/>
          <w:szCs w:val="22"/>
        </w:rPr>
        <w:t xml:space="preserve">Meeting-bot platform restrictions — </w:t>
      </w:r>
      <w:r>
        <w:rPr>
          <w:sz w:val="22"/>
          <w:szCs w:val="22"/>
        </w:rPr>
        <w:t xml:space="preserve">joining Zoom/Teams/Meet programmatically has SDK/policy constraints; treat as an optional Stage 5 capability, not a hard dependency — screen-share capture and transcript upload remain the reliable fallbacks.</w:t>
      </w:r>
    </w:p>
    <w:p>
      <w:pPr>
        <w:pStyle w:val="ListParagraph"/>
        <w:numPr>
          <w:ilvl w:val="0"/>
          <w:numId w:val="2"/>
        </w:numPr>
        <w:spacing w:after="80" w:line="276"/>
      </w:pPr>
      <w:r>
        <w:rPr>
          <w:b/>
          <w:bCs/>
          <w:sz w:val="22"/>
          <w:szCs w:val="22"/>
        </w:rPr>
        <w:t xml:space="preserve">Model quality vs. hosting cost — </w:t>
      </w:r>
      <w:r>
        <w:rPr>
          <w:sz w:val="22"/>
          <w:szCs w:val="22"/>
        </w:rPr>
        <w:t xml:space="preserve">larger local models improve extraction quality but need more GPU; keep model choice swappable via Ollama so this can be tuned as infrastructure allows.</w:t>
      </w:r>
    </w:p>
    <w:p>
      <w:pPr>
        <w:pStyle w:val="Heading1"/>
        <w:pBdr>
          <w:bottom w:val="single" w:color="2E74B5" w:sz="6" w:space="4"/>
        </w:pBdr>
        <w:spacing w:after="200" w:before="400"/>
      </w:pPr>
      <w:r>
        <w:rPr>
          <w:b/>
          <w:bCs/>
          <w:color w:val="1F3864"/>
          <w:sz w:val="30"/>
          <w:szCs w:val="30"/>
        </w:rPr>
        <w:t xml:space="preserve">8. Summary</w:t>
      </w:r>
    </w:p>
    <w:p>
      <w:pPr>
        <w:spacing w:after="160" w:line="276"/>
      </w:pPr>
      <w:r>
        <w:rPr>
          <w:sz w:val="22"/>
          <w:szCs w:val="22"/>
        </w:rPr>
        <w:t xml:space="preserve">This platform turns the meetings an organization already has into structured, trustworthy documentation — automatically, but never silently. Every layer of the architecture, from evidence-linked extraction to conflict-flagging knowledge fusion to template-aware generation, is built around one principle: nothing goes into a final document without a human being able to see exactly where it came from and how confident the system is in it. Built on an open-source stack anchored by Ollama and LangChain, the platform can be fully self-hosted, avoids recurring API costs, and scales from a single MOM generator to a full library of business documents over the six delivery stages outlined above.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Meeting Documentation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2026-08-11T06:23:01.589Z</dcterms:created>
  <dcterms:modified xsi:type="dcterms:W3CDTF">2026-08-11T06:23:01.605Z</dcterms:modified>
</cp:coreProperties>
</file>

<file path=docProps/custom.xml><?xml version="1.0" encoding="utf-8"?>
<Properties xmlns="http://schemas.openxmlformats.org/officeDocument/2006/custom-properties" xmlns:vt="http://schemas.openxmlformats.org/officeDocument/2006/docPropsVTypes"/>
</file>