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line="360" w:lineRule="auto"/>
        <w:jc w:val="center"/>
      </w:pPr>
      <w:r>
        <w:rPr>
          <w:rFonts w:ascii="Times New Roman" w:cs="Times New Roman" w:eastAsia="Times New Roman" w:hAnsi="Times New Roman"/>
          <w:b/>
          <w:bCs/>
          <w:sz w:val="32"/>
          <w:szCs w:val="32"/>
        </w:rPr>
        <w:t xml:space="preserve">ABSTRACT</w:t>
      </w:r>
    </w:p>
    <w:p>
      <w:pPr>
        <w:spacing w:after="160" w:before="0" w:line="360" w:lineRule="auto"/>
        <w:ind w:left="720"/>
        <w:jc w:val="both"/>
      </w:pPr>
      <w:r>
        <w:rPr>
          <w:rFonts w:ascii="Times New Roman" w:cs="Times New Roman" w:eastAsia="Times New Roman" w:hAnsi="Times New Roman"/>
          <w:sz w:val="24"/>
          <w:szCs w:val="24"/>
        </w:rPr>
        <w:t xml:space="preserve">Financial time-series trend classification is a fundamentally hostile problem for naive machine learning: price data is non-stationary, returns are fat-tailed and regime-dependent, and standard labels derived from raw price comparisons assign identical significance to noise-level fluctuations and large directional moves. This project presents Kairos, a regime-aware three-class financial trend classification framework applied to the S&amp;P 500 index (^GSPC) using daily data spanning January 2013 to December 2023.</w:t>
      </w:r>
    </w:p>
    <w:p>
      <w:pPr>
        <w:spacing w:after="160" w:before="0" w:line="360" w:lineRule="auto"/>
        <w:ind w:left="720"/>
        <w:jc w:val="both"/>
      </w:pPr>
      <w:r>
        <w:rPr>
          <w:rFonts w:ascii="Times New Roman" w:cs="Times New Roman" w:eastAsia="Times New Roman" w:hAnsi="Times New Roman"/>
          <w:sz w:val="24"/>
          <w:szCs w:val="24"/>
        </w:rPr>
        <w:t xml:space="preserve">The proposed system introduces three targeted methodological improvements over the CNNPred baseline architecture. First, two-dimensional spatial convolution treating financial features as a spatial image is replaced with one-dimensional temporal convolution respecting the true sequential structure of the data. Second, a dynamic volatility barrier labeling scheme is introduced, whereby each day's return is classified as Up, Neutral, or Down only in relation to the prevailing realized volatility — filtered through a scaling factor lambda selected via grid search on the training partition of each walk-forward fold. Third, a static train-test split is replaced with an anchored walk-forward validation protocol across three non-overlapping test windows.</w:t>
      </w:r>
    </w:p>
    <w:p>
      <w:pPr>
        <w:spacing w:after="160" w:before="0" w:line="360" w:lineRule="auto"/>
        <w:ind w:left="720"/>
        <w:jc w:val="both"/>
      </w:pPr>
      <w:r>
        <w:rPr>
          <w:rFonts w:ascii="Times New Roman" w:cs="Times New Roman" w:eastAsia="Times New Roman" w:hAnsi="Times New Roman"/>
          <w:sz w:val="24"/>
          <w:szCs w:val="24"/>
        </w:rPr>
        <w:t xml:space="preserve">The proposed model is a compact 1D-CNN combined with a single-layer Transformer self-attention encoder (4 heads, model width 48, positional encoding). It is evaluated against six comparison systems: a paper-faithful CNNPred-2D baseline, a 1D-CNN ablation without attention, an LSTM, XGBoost, a majority-class dummy classifier, and an ensemble of the proposed model with LSTM and XGBoost. Evaluation uses Macro F1-score and Matthews Correlation Coefficient (MCC) as primary metrics, with Down-class recall as a secondary financial-risk diagnostic.</w:t>
      </w:r>
    </w:p>
    <w:p>
      <w:pPr>
        <w:spacing w:after="160" w:before="0" w:line="360" w:lineRule="auto"/>
        <w:ind w:left="720"/>
        <w:jc w:val="both"/>
      </w:pPr>
      <w:r>
        <w:rPr>
          <w:rFonts w:ascii="Times New Roman" w:cs="Times New Roman" w:eastAsia="Times New Roman" w:hAnsi="Times New Roman"/>
          <w:sz w:val="24"/>
          <w:szCs w:val="24"/>
        </w:rPr>
        <w:t xml:space="preserve">On the frozen final feature group of seven base price and technical features, the proposed CNN+Attention model achieves a single-run mean Macro F1 of 0.3495 (±0.069) and a mean MCC of 0.0996 (±0.061) across three walk-forward folds. It outperforms CNNPred-2D (F1: 0.3139, MCC: 0.0137) on both primary metrics, with the MCC gap being the more robust argument. A multi-seed robustness analysis across five random seeds confirms the proposed model achieves a mean MCC of 0.0691 compared to CNNPred's 0.0178. The ensemble of Proposed, LSTM, and XGBoost achieves the highest mean Macro F1 of 0.3625 (±0.040). All results are produced under a reporting freeze with no post-hoc tuning.</w:t>
      </w:r>
    </w:p>
    <w:p>
      <w:pPr>
        <w:spacing w:after="160" w:before="0" w:line="360" w:lineRule="auto"/>
        <w:ind w:left="720"/>
        <w:jc w:val="both"/>
      </w:pPr>
      <w:r>
        <w:rPr>
          <w:rFonts w:ascii="Times New Roman" w:cs="Times New Roman" w:eastAsia="Times New Roman" w:hAnsi="Times New Roman"/>
          <w:sz w:val="24"/>
          <w:szCs w:val="24"/>
        </w:rPr>
        <w:t xml:space="preserve">This study does not make any claims about market profitability, trading strategies, or generalization beyond the S&amp;P 500 on daily data. It is a rigorous methodological and empirical investigation of when and how modern temporal architectures can provide reliable, leak-free performance improvements over CNN baselines in financial trend classification.</w:t>
      </w:r>
    </w:p>
    <w:p>
      <w:pPr>
        <w:spacing w:after="480" w:before="0" w:line="360" w:lineRule="auto"/>
        <w:jc w:val="center"/>
      </w:pPr>
      <w:r>
        <w:rPr>
          <w:rFonts w:ascii="Times New Roman" w:cs="Times New Roman" w:eastAsia="Times New Roman" w:hAnsi="Times New Roman"/>
          <w:b/>
          <w:bCs/>
          <w:sz w:val="32"/>
          <w:szCs w:val="32"/>
        </w:rPr>
        <w:t xml:space="preserve">TABLE OF CONTENTS</w:t>
      </w:r>
    </w:p>
    <w:p>
      <w:pPr>
        <w:tabs>
          <w:tab w:val="right" w:pos="9746"/>
        </w:tabs>
        <w:spacing w:after="80" w:before="0" w:line="360" w:lineRule="auto"/>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v</w:t>
      </w:r>
    </w:p>
    <w:p>
      <w:pPr>
        <w:tabs>
          <w:tab w:val="right" w:pos="9746"/>
        </w:tabs>
        <w:spacing w:after="80" w:before="0" w:line="360" w:lineRule="auto"/>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b/>
          <w:bCs/>
          <w:sz w:val="24"/>
          <w:szCs w:val="24"/>
        </w:rPr>
        <w:t xml:space="preserve">	vi</w:t>
      </w:r>
    </w:p>
    <w:p>
      <w:pPr>
        <w:tabs>
          <w:tab w:val="right" w:pos="9746"/>
        </w:tabs>
        <w:spacing w:after="80" w:before="0" w:line="360" w:lineRule="auto"/>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vii</w:t>
      </w:r>
    </w:p>
    <w:p>
      <w:pPr>
        <w:tabs>
          <w:tab w:val="right" w:pos="9746"/>
        </w:tabs>
        <w:spacing w:after="80" w:before="0" w:line="360" w:lineRule="auto"/>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viii</w:t>
      </w:r>
    </w:p>
    <w:p>
      <w:pPr>
        <w:tabs>
          <w:tab w:val="right" w:pos="9746"/>
        </w:tabs>
        <w:spacing w:after="80" w:before="0" w:line="360" w:lineRule="auto"/>
      </w:pPr>
      <w:r>
        <w:rPr>
          <w:rFonts w:ascii="Times New Roman" w:cs="Times New Roman" w:eastAsia="Times New Roman" w:hAnsi="Times New Roman"/>
          <w:b/>
          <w:bCs/>
          <w:sz w:val="24"/>
          <w:szCs w:val="24"/>
        </w:rPr>
        <w:t xml:space="preserve">ABBREVIATIONS</w:t>
      </w:r>
      <w:r>
        <w:rPr>
          <w:rFonts w:ascii="Times New Roman" w:cs="Times New Roman" w:eastAsia="Times New Roman" w:hAnsi="Times New Roman"/>
          <w:b/>
          <w:bCs/>
          <w:sz w:val="24"/>
          <w:szCs w:val="24"/>
        </w:rPr>
        <w:t xml:space="preserve">	ix</w:t>
      </w:r>
    </w:p>
    <w:p>
      <w:pPr>
        <w:tabs>
          <w:tab w:val="right" w:pos="9746"/>
        </w:tabs>
        <w:spacing w:after="80" w:before="120"/>
      </w:pPr>
      <w:r>
        <w:rPr>
          <w:rFonts w:ascii="Times New Roman" w:cs="Times New Roman" w:eastAsia="Times New Roman" w:hAnsi="Times New Roman"/>
          <w:b/>
          <w:bCs/>
          <w:sz w:val="24"/>
          <w:szCs w:val="24"/>
        </w:rPr>
        <w:t xml:space="preserve">CHAPTER NO.</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 NO.</w:t>
      </w:r>
    </w:p>
    <w:p>
      <w:pPr>
        <w:tabs>
          <w:tab w:val="right" w:pos="9746"/>
        </w:tabs>
        <w:spacing w:after="60" w:before="0" w:line="360" w:lineRule="auto"/>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 xml:space="preserve">	1</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1.1  Introduction to Project</w:t>
      </w:r>
      <w:r>
        <w:rPr>
          <w:rFonts w:ascii="Times New Roman" w:cs="Times New Roman" w:eastAsia="Times New Roman" w:hAnsi="Times New Roman"/>
          <w:b w:val="false"/>
          <w:bCs w:val="false"/>
          <w:sz w:val="24"/>
          <w:szCs w:val="24"/>
        </w:rPr>
        <w:t xml:space="preserve">	2</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1.2  Problem Statement and Description</w:t>
      </w:r>
      <w:r>
        <w:rPr>
          <w:rFonts w:ascii="Times New Roman" w:cs="Times New Roman" w:eastAsia="Times New Roman" w:hAnsi="Times New Roman"/>
          <w:b w:val="false"/>
          <w:bCs w:val="false"/>
          <w:sz w:val="24"/>
          <w:szCs w:val="24"/>
        </w:rPr>
        <w:t xml:space="preserve">	3</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1.3  Motivation</w:t>
      </w:r>
      <w:r>
        <w:rPr>
          <w:rFonts w:ascii="Times New Roman" w:cs="Times New Roman" w:eastAsia="Times New Roman" w:hAnsi="Times New Roman"/>
          <w:b w:val="false"/>
          <w:bCs w:val="false"/>
          <w:sz w:val="24"/>
          <w:szCs w:val="24"/>
        </w:rPr>
        <w:t xml:space="preserve">	4</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1.4  Sustainable Development Goal of the Project</w:t>
      </w:r>
      <w:r>
        <w:rPr>
          <w:rFonts w:ascii="Times New Roman" w:cs="Times New Roman" w:eastAsia="Times New Roman" w:hAnsi="Times New Roman"/>
          <w:b w:val="false"/>
          <w:bCs w:val="false"/>
          <w:sz w:val="24"/>
          <w:szCs w:val="24"/>
        </w:rPr>
        <w:t xml:space="preserve">	5</w:t>
      </w:r>
    </w:p>
    <w:p>
      <w:pPr>
        <w:tabs>
          <w:tab w:val="right" w:pos="9746"/>
        </w:tabs>
        <w:spacing w:after="60" w:before="0" w:line="360" w:lineRule="auto"/>
      </w:pPr>
      <w:r>
        <w:rPr>
          <w:rFonts w:ascii="Times New Roman" w:cs="Times New Roman" w:eastAsia="Times New Roman" w:hAnsi="Times New Roman"/>
          <w:b/>
          <w:bCs/>
          <w:sz w:val="24"/>
          <w:szCs w:val="24"/>
        </w:rPr>
        <w:t xml:space="preserve">2   LITERATURE SURVEY</w:t>
      </w:r>
      <w:r>
        <w:rPr>
          <w:rFonts w:ascii="Times New Roman" w:cs="Times New Roman" w:eastAsia="Times New Roman" w:hAnsi="Times New Roman"/>
          <w:b/>
          <w:bCs/>
          <w:sz w:val="24"/>
          <w:szCs w:val="24"/>
        </w:rPr>
        <w:t xml:space="preserve">	6</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2.1  Overview of the Research Area</w:t>
      </w:r>
      <w:r>
        <w:rPr>
          <w:rFonts w:ascii="Times New Roman" w:cs="Times New Roman" w:eastAsia="Times New Roman" w:hAnsi="Times New Roman"/>
          <w:b w:val="false"/>
          <w:bCs w:val="false"/>
          <w:sz w:val="24"/>
          <w:szCs w:val="24"/>
        </w:rPr>
        <w:t xml:space="preserve">	7</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2.2  Existing Models and Frameworks</w:t>
      </w:r>
      <w:r>
        <w:rPr>
          <w:rFonts w:ascii="Times New Roman" w:cs="Times New Roman" w:eastAsia="Times New Roman" w:hAnsi="Times New Roman"/>
          <w:b w:val="false"/>
          <w:bCs w:val="false"/>
          <w:sz w:val="24"/>
          <w:szCs w:val="24"/>
        </w:rPr>
        <w:t xml:space="preserve">	8</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2.3  Limitations Identified from Literature Survey (Research Gaps)</w:t>
      </w:r>
      <w:r>
        <w:rPr>
          <w:rFonts w:ascii="Times New Roman" w:cs="Times New Roman" w:eastAsia="Times New Roman" w:hAnsi="Times New Roman"/>
          <w:b w:val="false"/>
          <w:bCs w:val="false"/>
          <w:sz w:val="24"/>
          <w:szCs w:val="24"/>
        </w:rPr>
        <w:t xml:space="preserve">	11</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2.4  Research Objectives</w:t>
      </w:r>
      <w:r>
        <w:rPr>
          <w:rFonts w:ascii="Times New Roman" w:cs="Times New Roman" w:eastAsia="Times New Roman" w:hAnsi="Times New Roman"/>
          <w:b w:val="false"/>
          <w:bCs w:val="false"/>
          <w:sz w:val="24"/>
          <w:szCs w:val="24"/>
        </w:rPr>
        <w:t xml:space="preserve">	12</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2.5  Research Milestones and Planned Deliverables</w:t>
      </w:r>
      <w:r>
        <w:rPr>
          <w:rFonts w:ascii="Times New Roman" w:cs="Times New Roman" w:eastAsia="Times New Roman" w:hAnsi="Times New Roman"/>
          <w:b w:val="false"/>
          <w:bCs w:val="false"/>
          <w:sz w:val="24"/>
          <w:szCs w:val="24"/>
        </w:rPr>
        <w:t xml:space="preserve">	13</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2.6  Plan of Action (Project Road Map)</w:t>
      </w:r>
      <w:r>
        <w:rPr>
          <w:rFonts w:ascii="Times New Roman" w:cs="Times New Roman" w:eastAsia="Times New Roman" w:hAnsi="Times New Roman"/>
          <w:b w:val="false"/>
          <w:bCs w:val="false"/>
          <w:sz w:val="24"/>
          <w:szCs w:val="24"/>
        </w:rPr>
        <w:t xml:space="preserve">	15</w:t>
      </w:r>
    </w:p>
    <w:p>
      <w:pPr>
        <w:tabs>
          <w:tab w:val="right" w:pos="9746"/>
        </w:tabs>
        <w:spacing w:after="60" w:before="0" w:line="360" w:lineRule="auto"/>
      </w:pPr>
      <w:r>
        <w:rPr>
          <w:rFonts w:ascii="Times New Roman" w:cs="Times New Roman" w:eastAsia="Times New Roman" w:hAnsi="Times New Roman"/>
          <w:b/>
          <w:bCs/>
          <w:sz w:val="24"/>
          <w:szCs w:val="24"/>
        </w:rPr>
        <w:t xml:space="preserve">3   SPRINT PLANNING AND EXECUTION METHODOLOGY</w:t>
      </w:r>
      <w:r>
        <w:rPr>
          <w:rFonts w:ascii="Times New Roman" w:cs="Times New Roman" w:eastAsia="Times New Roman" w:hAnsi="Times New Roman"/>
          <w:b/>
          <w:bCs/>
          <w:sz w:val="24"/>
          <w:szCs w:val="24"/>
        </w:rPr>
        <w:t xml:space="preserve">	17</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3.1  Sprint I: Data Engineering, Labeling Framework and Walk-Forward Pipeline Design</w:t>
      </w:r>
      <w:r>
        <w:rPr>
          <w:rFonts w:ascii="Times New Roman" w:cs="Times New Roman" w:eastAsia="Times New Roman" w:hAnsi="Times New Roman"/>
          <w:b w:val="false"/>
          <w:bCs w:val="false"/>
          <w:sz w:val="24"/>
          <w:szCs w:val="24"/>
        </w:rPr>
        <w:t xml:space="preserve">	17</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3.1.1  Objectives with Research Milestones of Sprint I</w:t>
      </w:r>
      <w:r>
        <w:rPr>
          <w:rFonts w:ascii="Times New Roman" w:cs="Times New Roman" w:eastAsia="Times New Roman" w:hAnsi="Times New Roman"/>
          <w:b w:val="false"/>
          <w:bCs w:val="false"/>
          <w:sz w:val="24"/>
          <w:szCs w:val="24"/>
        </w:rPr>
        <w:t xml:space="preserve">	18</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3.1.2  Functional Document</w:t>
      </w:r>
      <w:r>
        <w:rPr>
          <w:rFonts w:ascii="Times New Roman" w:cs="Times New Roman" w:eastAsia="Times New Roman" w:hAnsi="Times New Roman"/>
          <w:b w:val="false"/>
          <w:bCs w:val="false"/>
          <w:sz w:val="24"/>
          <w:szCs w:val="24"/>
        </w:rPr>
        <w:t xml:space="preserve">	19</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3.1.3  Architecture Document</w:t>
      </w:r>
      <w:r>
        <w:rPr>
          <w:rFonts w:ascii="Times New Roman" w:cs="Times New Roman" w:eastAsia="Times New Roman" w:hAnsi="Times New Roman"/>
          <w:b w:val="false"/>
          <w:bCs w:val="false"/>
          <w:sz w:val="24"/>
          <w:szCs w:val="24"/>
        </w:rPr>
        <w:t xml:space="preserve">	21</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3.1.4  Outcome of Objectives / Result Analysis</w:t>
      </w:r>
      <w:r>
        <w:rPr>
          <w:rFonts w:ascii="Times New Roman" w:cs="Times New Roman" w:eastAsia="Times New Roman" w:hAnsi="Times New Roman"/>
          <w:b w:val="false"/>
          <w:bCs w:val="false"/>
          <w:sz w:val="24"/>
          <w:szCs w:val="24"/>
        </w:rPr>
        <w:t xml:space="preserve">	23</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3.1.5  Sprint Retrospective</w:t>
      </w:r>
      <w:r>
        <w:rPr>
          <w:rFonts w:ascii="Times New Roman" w:cs="Times New Roman" w:eastAsia="Times New Roman" w:hAnsi="Times New Roman"/>
          <w:b w:val="false"/>
          <w:bCs w:val="false"/>
          <w:sz w:val="24"/>
          <w:szCs w:val="24"/>
        </w:rPr>
        <w:t xml:space="preserve">	24</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3.2  Sprint II: Model Architecture, Training, Evaluation and Comparative Reporting</w:t>
      </w:r>
      <w:r>
        <w:rPr>
          <w:rFonts w:ascii="Times New Roman" w:cs="Times New Roman" w:eastAsia="Times New Roman" w:hAnsi="Times New Roman"/>
          <w:b w:val="false"/>
          <w:bCs w:val="false"/>
          <w:sz w:val="24"/>
          <w:szCs w:val="24"/>
        </w:rPr>
        <w:t xml:space="preserve">	25</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3.2.1  Objectives with Research Milestones of Sprint II</w:t>
      </w:r>
      <w:r>
        <w:rPr>
          <w:rFonts w:ascii="Times New Roman" w:cs="Times New Roman" w:eastAsia="Times New Roman" w:hAnsi="Times New Roman"/>
          <w:b w:val="false"/>
          <w:bCs w:val="false"/>
          <w:sz w:val="24"/>
          <w:szCs w:val="24"/>
        </w:rPr>
        <w:t xml:space="preserve">	26</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3.2.2  Functional Document</w:t>
      </w:r>
      <w:r>
        <w:rPr>
          <w:rFonts w:ascii="Times New Roman" w:cs="Times New Roman" w:eastAsia="Times New Roman" w:hAnsi="Times New Roman"/>
          <w:b w:val="false"/>
          <w:bCs w:val="false"/>
          <w:sz w:val="24"/>
          <w:szCs w:val="24"/>
        </w:rPr>
        <w:t xml:space="preserve">	27</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3.2.3  Architecture Document</w:t>
      </w:r>
      <w:r>
        <w:rPr>
          <w:rFonts w:ascii="Times New Roman" w:cs="Times New Roman" w:eastAsia="Times New Roman" w:hAnsi="Times New Roman"/>
          <w:b w:val="false"/>
          <w:bCs w:val="false"/>
          <w:sz w:val="24"/>
          <w:szCs w:val="24"/>
        </w:rPr>
        <w:t xml:space="preserve">	29</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3.2.4  Outcome of Objectives / Result Analysis</w:t>
      </w:r>
      <w:r>
        <w:rPr>
          <w:rFonts w:ascii="Times New Roman" w:cs="Times New Roman" w:eastAsia="Times New Roman" w:hAnsi="Times New Roman"/>
          <w:b w:val="false"/>
          <w:bCs w:val="false"/>
          <w:sz w:val="24"/>
          <w:szCs w:val="24"/>
        </w:rPr>
        <w:t xml:space="preserve">	31</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3.2.5  Sprint Retrospective</w:t>
      </w:r>
      <w:r>
        <w:rPr>
          <w:rFonts w:ascii="Times New Roman" w:cs="Times New Roman" w:eastAsia="Times New Roman" w:hAnsi="Times New Roman"/>
          <w:b w:val="false"/>
          <w:bCs w:val="false"/>
          <w:sz w:val="24"/>
          <w:szCs w:val="24"/>
        </w:rPr>
        <w:t xml:space="preserve">	32</w:t>
      </w:r>
    </w:p>
    <w:p>
      <w:pPr>
        <w:tabs>
          <w:tab w:val="right" w:pos="9746"/>
        </w:tabs>
        <w:spacing w:after="60" w:before="0" w:line="360" w:lineRule="auto"/>
      </w:pPr>
      <w:r>
        <w:rPr>
          <w:rFonts w:ascii="Times New Roman" w:cs="Times New Roman" w:eastAsia="Times New Roman" w:hAnsi="Times New Roman"/>
          <w:b/>
          <w:bCs/>
          <w:sz w:val="24"/>
          <w:szCs w:val="24"/>
        </w:rPr>
        <w:t xml:space="preserve">4   RESULTS AND DISCUSSIONS</w:t>
      </w:r>
      <w:r>
        <w:rPr>
          <w:rFonts w:ascii="Times New Roman" w:cs="Times New Roman" w:eastAsia="Times New Roman" w:hAnsi="Times New Roman"/>
          <w:b/>
          <w:bCs/>
          <w:sz w:val="24"/>
          <w:szCs w:val="24"/>
        </w:rPr>
        <w:t xml:space="preserve">	33</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4.1  Project Outcomes (Performance Evaluation, Comparisons, Testing Results)</w:t>
      </w:r>
      <w:r>
        <w:rPr>
          <w:rFonts w:ascii="Times New Roman" w:cs="Times New Roman" w:eastAsia="Times New Roman" w:hAnsi="Times New Roman"/>
          <w:b w:val="false"/>
          <w:bCs w:val="false"/>
          <w:sz w:val="24"/>
          <w:szCs w:val="24"/>
        </w:rPr>
        <w:t xml:space="preserve">	34</w:t>
      </w:r>
    </w:p>
    <w:p>
      <w:pPr>
        <w:tabs>
          <w:tab w:val="right" w:pos="9746"/>
        </w:tabs>
        <w:spacing w:after="60" w:before="0" w:line="360" w:lineRule="auto"/>
      </w:pPr>
      <w:r>
        <w:rPr>
          <w:rFonts w:ascii="Times New Roman" w:cs="Times New Roman" w:eastAsia="Times New Roman" w:hAnsi="Times New Roman"/>
          <w:b/>
          <w:bCs/>
          <w:sz w:val="24"/>
          <w:szCs w:val="24"/>
        </w:rPr>
        <w:t xml:space="preserve">5   CONCLUSION AND FUTURE ENHANCEMENT</w:t>
      </w:r>
      <w:r>
        <w:rPr>
          <w:rFonts w:ascii="Times New Roman" w:cs="Times New Roman" w:eastAsia="Times New Roman" w:hAnsi="Times New Roman"/>
          <w:b/>
          <w:bCs/>
          <w:sz w:val="24"/>
          <w:szCs w:val="24"/>
        </w:rPr>
        <w:t xml:space="preserve">	45</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REFERENCES</w:t>
      </w:r>
      <w:r>
        <w:rPr>
          <w:rFonts w:ascii="Times New Roman" w:cs="Times New Roman" w:eastAsia="Times New Roman" w:hAnsi="Times New Roman"/>
          <w:b w:val="false"/>
          <w:bCs w:val="false"/>
          <w:sz w:val="24"/>
          <w:szCs w:val="24"/>
        </w:rPr>
        <w:t xml:space="preserve">	47</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APPENDIX A  CODING</w:t>
      </w:r>
      <w:r>
        <w:rPr>
          <w:rFonts w:ascii="Times New Roman" w:cs="Times New Roman" w:eastAsia="Times New Roman" w:hAnsi="Times New Roman"/>
          <w:b w:val="false"/>
          <w:bCs w:val="false"/>
          <w:sz w:val="24"/>
          <w:szCs w:val="24"/>
        </w:rPr>
        <w:t xml:space="preserve">	50</w:t>
      </w:r>
    </w:p>
    <w:p>
      <w:pPr>
        <w:tabs>
          <w:tab w:val="right" w:pos="9746"/>
        </w:tabs>
        <w:spacing w:after="60" w:before="0" w:line="360" w:lineRule="auto"/>
      </w:pPr>
      <w:r>
        <w:rPr>
          <w:rFonts w:ascii="Times New Roman" w:cs="Times New Roman" w:eastAsia="Times New Roman" w:hAnsi="Times New Roman"/>
          <w:b w:val="false"/>
          <w:bCs w:val="false"/>
          <w:sz w:val="24"/>
          <w:szCs w:val="24"/>
        </w:rPr>
        <w:t xml:space="preserve">      APPENDIX B  PLAGIARISM REPORT</w:t>
      </w:r>
      <w:r>
        <w:rPr>
          <w:rFonts w:ascii="Times New Roman" w:cs="Times New Roman" w:eastAsia="Times New Roman" w:hAnsi="Times New Roman"/>
          <w:b w:val="false"/>
          <w:bCs w:val="false"/>
          <w:sz w:val="24"/>
          <w:szCs w:val="24"/>
        </w:rPr>
        <w:t xml:space="preserve">	55</w:t>
      </w:r>
    </w:p>
    <w:p>
      <w:pPr>
        <w:pageBreakBefore/>
        <w:spacing w:after="480" w:before="0" w:line="360" w:lineRule="auto"/>
        <w:jc w:val="center"/>
      </w:pPr>
      <w:r>
        <w:rPr>
          <w:rFonts w:ascii="Times New Roman" w:cs="Times New Roman" w:eastAsia="Times New Roman" w:hAnsi="Times New Roman"/>
          <w:b/>
          <w:bCs/>
          <w:sz w:val="32"/>
          <w:szCs w:val="32"/>
        </w:rPr>
        <w:t xml:space="preserve">LIST OF FIGURES</w:t>
      </w:r>
    </w:p>
    <w:p>
      <w:pPr>
        <w:tabs>
          <w:tab w:val="right" w:pos="9746"/>
        </w:tabs>
        <w:spacing w:after="80" w:before="120"/>
      </w:pPr>
      <w:r>
        <w:rPr>
          <w:rFonts w:ascii="Times New Roman" w:cs="Times New Roman" w:eastAsia="Times New Roman" w:hAnsi="Times New Roman"/>
          <w:b/>
          <w:bCs/>
          <w:sz w:val="24"/>
          <w:szCs w:val="24"/>
        </w:rPr>
        <w:t xml:space="preserve">FIGURE NO.</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 NO.</w:t>
      </w:r>
    </w:p>
    <w:p>
      <w:pPr>
        <w:tabs>
          <w:tab w:val="right" w:pos="9746"/>
        </w:tabs>
        <w:spacing w:after="80" w:before="0" w:line="360" w:lineRule="auto"/>
      </w:pPr>
      <w:r>
        <w:rPr>
          <w:rFonts w:ascii="Times New Roman" w:cs="Times New Roman" w:eastAsia="Times New Roman" w:hAnsi="Times New Roman"/>
          <w:sz w:val="24"/>
          <w:szCs w:val="24"/>
        </w:rPr>
        <w:t xml:space="preserve">Fig 3.1  Proposed Model Architecture: 1D-CNN + Transformer Self-Attention Pipeline</w:t>
      </w:r>
      <w:r>
        <w:rPr>
          <w:rFonts w:ascii="Times New Roman" w:cs="Times New Roman" w:eastAsia="Times New Roman" w:hAnsi="Times New Roman"/>
          <w:sz w:val="24"/>
          <w:szCs w:val="24"/>
        </w:rPr>
        <w:t xml:space="preserve">	22</w:t>
      </w:r>
    </w:p>
    <w:p>
      <w:pPr>
        <w:tabs>
          <w:tab w:val="right" w:pos="9746"/>
        </w:tabs>
        <w:spacing w:after="80" w:before="0" w:line="360" w:lineRule="auto"/>
      </w:pPr>
      <w:r>
        <w:rPr>
          <w:rFonts w:ascii="Times New Roman" w:cs="Times New Roman" w:eastAsia="Times New Roman" w:hAnsi="Times New Roman"/>
          <w:sz w:val="24"/>
          <w:szCs w:val="24"/>
        </w:rPr>
        <w:t xml:space="preserve">Fig 3.2  CNNPred-2D Paper Baseline Architecture Adapted for Single-Market Setup</w:t>
      </w:r>
      <w:r>
        <w:rPr>
          <w:rFonts w:ascii="Times New Roman" w:cs="Times New Roman" w:eastAsia="Times New Roman" w:hAnsi="Times New Roman"/>
          <w:sz w:val="24"/>
          <w:szCs w:val="24"/>
        </w:rPr>
        <w:t xml:space="preserve">	30</w:t>
      </w:r>
    </w:p>
    <w:p>
      <w:pPr>
        <w:tabs>
          <w:tab w:val="right" w:pos="9746"/>
        </w:tabs>
        <w:spacing w:after="80" w:before="0" w:line="360" w:lineRule="auto"/>
      </w:pPr>
      <w:r>
        <w:rPr>
          <w:rFonts w:ascii="Times New Roman" w:cs="Times New Roman" w:eastAsia="Times New Roman" w:hAnsi="Times New Roman"/>
          <w:sz w:val="24"/>
          <w:szCs w:val="24"/>
        </w:rPr>
        <w:t xml:space="preserve">Fig 4.1  Model Comparison Across Walk-Forward Folds – Base price+tech (7)</w:t>
      </w:r>
      <w:r>
        <w:rPr>
          <w:rFonts w:ascii="Times New Roman" w:cs="Times New Roman" w:eastAsia="Times New Roman" w:hAnsi="Times New Roman"/>
          <w:sz w:val="24"/>
          <w:szCs w:val="24"/>
        </w:rPr>
        <w:t xml:space="preserve">	36</w:t>
      </w:r>
    </w:p>
    <w:p>
      <w:pPr>
        <w:tabs>
          <w:tab w:val="right" w:pos="9746"/>
        </w:tabs>
        <w:spacing w:after="80" w:before="0" w:line="360" w:lineRule="auto"/>
      </w:pPr>
      <w:r>
        <w:rPr>
          <w:rFonts w:ascii="Times New Roman" w:cs="Times New Roman" w:eastAsia="Times New Roman" w:hAnsi="Times New Roman"/>
          <w:sz w:val="24"/>
          <w:szCs w:val="24"/>
        </w:rPr>
        <w:t xml:space="preserve">Fig 4.2  Mean ± Standard Deviation Performance Across All Folds – Base price+tech (7)</w:t>
      </w:r>
      <w:r>
        <w:rPr>
          <w:rFonts w:ascii="Times New Roman" w:cs="Times New Roman" w:eastAsia="Times New Roman" w:hAnsi="Times New Roman"/>
          <w:sz w:val="24"/>
          <w:szCs w:val="24"/>
        </w:rPr>
        <w:t xml:space="preserve">	37</w:t>
      </w:r>
    </w:p>
    <w:p>
      <w:pPr>
        <w:tabs>
          <w:tab w:val="right" w:pos="9746"/>
        </w:tabs>
        <w:spacing w:after="80" w:before="0" w:line="360" w:lineRule="auto"/>
      </w:pPr>
      <w:r>
        <w:rPr>
          <w:rFonts w:ascii="Times New Roman" w:cs="Times New Roman" w:eastAsia="Times New Roman" w:hAnsi="Times New Roman"/>
          <w:sz w:val="24"/>
          <w:szCs w:val="24"/>
        </w:rPr>
        <w:t xml:space="preserve">Fig 4.3  Robustness Across Random Seeds – Frozen Final Comparison</w:t>
      </w:r>
      <w:r>
        <w:rPr>
          <w:rFonts w:ascii="Times New Roman" w:cs="Times New Roman" w:eastAsia="Times New Roman" w:hAnsi="Times New Roman"/>
          <w:sz w:val="24"/>
          <w:szCs w:val="24"/>
        </w:rPr>
        <w:t xml:space="preserve">	40</w:t>
      </w:r>
    </w:p>
    <w:p>
      <w:pPr>
        <w:tabs>
          <w:tab w:val="right" w:pos="9746"/>
        </w:tabs>
        <w:spacing w:after="80" w:before="0" w:line="360" w:lineRule="auto"/>
      </w:pPr>
      <w:r>
        <w:rPr>
          <w:rFonts w:ascii="Times New Roman" w:cs="Times New Roman" w:eastAsia="Times New Roman" w:hAnsi="Times New Roman"/>
          <w:sz w:val="24"/>
          <w:szCs w:val="24"/>
        </w:rPr>
        <w:t xml:space="preserve">Fig 4.4  Mean Attention Weights by Predicted Class – Base price+tech (7)</w:t>
      </w:r>
      <w:r>
        <w:rPr>
          <w:rFonts w:ascii="Times New Roman" w:cs="Times New Roman" w:eastAsia="Times New Roman" w:hAnsi="Times New Roman"/>
          <w:sz w:val="24"/>
          <w:szCs w:val="24"/>
        </w:rPr>
        <w:t xml:space="preserve">	42</w:t>
      </w:r>
    </w:p>
    <w:p>
      <w:pPr>
        <w:tabs>
          <w:tab w:val="right" w:pos="9746"/>
        </w:tabs>
        <w:spacing w:after="80" w:before="0" w:line="360" w:lineRule="auto"/>
      </w:pPr>
      <w:r>
        <w:rPr>
          <w:rFonts w:ascii="Times New Roman" w:cs="Times New Roman" w:eastAsia="Times New Roman" w:hAnsi="Times New Roman"/>
          <w:sz w:val="24"/>
          <w:szCs w:val="24"/>
        </w:rPr>
        <w:t xml:space="preserve">Fig 4.5  Temporal Attention Weight Distribution Across 60-Day Lookback Window</w:t>
      </w:r>
      <w:r>
        <w:rPr>
          <w:rFonts w:ascii="Times New Roman" w:cs="Times New Roman" w:eastAsia="Times New Roman" w:hAnsi="Times New Roman"/>
          <w:sz w:val="24"/>
          <w:szCs w:val="24"/>
        </w:rPr>
        <w:t xml:space="preserve">	43</w:t>
      </w:r>
    </w:p>
    <w:p>
      <w:pPr>
        <w:tabs>
          <w:tab w:val="right" w:pos="9746"/>
        </w:tabs>
        <w:spacing w:after="80" w:before="0" w:line="360" w:lineRule="auto"/>
      </w:pPr>
      <w:r>
        <w:rPr>
          <w:rFonts w:ascii="Times New Roman" w:cs="Times New Roman" w:eastAsia="Times New Roman" w:hAnsi="Times New Roman"/>
          <w:sz w:val="24"/>
          <w:szCs w:val="24"/>
        </w:rPr>
        <w:t xml:space="preserve">Fig 4.6  Confusion Matrices – Proposed Model vs Ensemble (Base price+tech (7))</w:t>
      </w:r>
      <w:r>
        <w:rPr>
          <w:rFonts w:ascii="Times New Roman" w:cs="Times New Roman" w:eastAsia="Times New Roman" w:hAnsi="Times New Roman"/>
          <w:sz w:val="24"/>
          <w:szCs w:val="24"/>
        </w:rPr>
        <w:t xml:space="preserve">	44</w:t>
      </w:r>
    </w:p>
    <w:p>
      <w:pPr>
        <w:pageBreakBefore/>
        <w:spacing w:after="480" w:before="0" w:line="360" w:lineRule="auto"/>
        <w:jc w:val="center"/>
      </w:pPr>
      <w:r>
        <w:rPr>
          <w:rFonts w:ascii="Times New Roman" w:cs="Times New Roman" w:eastAsia="Times New Roman" w:hAnsi="Times New Roman"/>
          <w:b/>
          <w:bCs/>
          <w:sz w:val="32"/>
          <w:szCs w:val="32"/>
        </w:rPr>
        <w:t xml:space="preserve">LIST OF TABLES</w:t>
      </w:r>
    </w:p>
    <w:p>
      <w:pPr>
        <w:tabs>
          <w:tab w:val="right" w:pos="9746"/>
        </w:tabs>
        <w:spacing w:after="80" w:before="120"/>
      </w:pPr>
      <w:r>
        <w:rPr>
          <w:rFonts w:ascii="Times New Roman" w:cs="Times New Roman" w:eastAsia="Times New Roman" w:hAnsi="Times New Roman"/>
          <w:b/>
          <w:bCs/>
          <w:sz w:val="24"/>
          <w:szCs w:val="24"/>
        </w:rPr>
        <w:t xml:space="preserve">TABLE NO.</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 NO.</w:t>
      </w:r>
    </w:p>
    <w:p>
      <w:pPr>
        <w:tabs>
          <w:tab w:val="right" w:pos="9746"/>
        </w:tabs>
        <w:spacing w:after="80" w:before="0" w:line="360" w:lineRule="auto"/>
      </w:pPr>
      <w:r>
        <w:rPr>
          <w:rFonts w:ascii="Times New Roman" w:cs="Times New Roman" w:eastAsia="Times New Roman" w:hAnsi="Times New Roman"/>
          <w:sz w:val="24"/>
          <w:szCs w:val="24"/>
        </w:rPr>
        <w:t xml:space="preserve">Table 2.1  Summary of Existing Literature in Financial Time-Series Classification</w:t>
      </w:r>
      <w:r>
        <w:rPr>
          <w:rFonts w:ascii="Times New Roman" w:cs="Times New Roman" w:eastAsia="Times New Roman" w:hAnsi="Times New Roman"/>
          <w:sz w:val="24"/>
          <w:szCs w:val="24"/>
        </w:rPr>
        <w:t xml:space="preserve">	8</w:t>
      </w:r>
    </w:p>
    <w:p>
      <w:pPr>
        <w:tabs>
          <w:tab w:val="right" w:pos="9746"/>
        </w:tabs>
        <w:spacing w:after="80" w:before="0" w:line="360" w:lineRule="auto"/>
      </w:pPr>
      <w:r>
        <w:rPr>
          <w:rFonts w:ascii="Times New Roman" w:cs="Times New Roman" w:eastAsia="Times New Roman" w:hAnsi="Times New Roman"/>
          <w:sz w:val="24"/>
          <w:szCs w:val="24"/>
        </w:rPr>
        <w:t xml:space="preserve">Table 2.2  Research Objectives and Corresponding Deliverables</w:t>
      </w:r>
      <w:r>
        <w:rPr>
          <w:rFonts w:ascii="Times New Roman" w:cs="Times New Roman" w:eastAsia="Times New Roman" w:hAnsi="Times New Roman"/>
          <w:sz w:val="24"/>
          <w:szCs w:val="24"/>
        </w:rPr>
        <w:t xml:space="preserve">	12</w:t>
      </w:r>
    </w:p>
    <w:p>
      <w:pPr>
        <w:tabs>
          <w:tab w:val="right" w:pos="9746"/>
        </w:tabs>
        <w:spacing w:after="80" w:before="0" w:line="360" w:lineRule="auto"/>
      </w:pPr>
      <w:r>
        <w:rPr>
          <w:rFonts w:ascii="Times New Roman" w:cs="Times New Roman" w:eastAsia="Times New Roman" w:hAnsi="Times New Roman"/>
          <w:sz w:val="24"/>
          <w:szCs w:val="24"/>
        </w:rPr>
        <w:t xml:space="preserve">Table 2.3  Research Milestones and Planned Deliverables</w:t>
      </w:r>
      <w:r>
        <w:rPr>
          <w:rFonts w:ascii="Times New Roman" w:cs="Times New Roman" w:eastAsia="Times New Roman" w:hAnsi="Times New Roman"/>
          <w:sz w:val="24"/>
          <w:szCs w:val="24"/>
        </w:rPr>
        <w:t xml:space="preserve">	13</w:t>
      </w:r>
    </w:p>
    <w:p>
      <w:pPr>
        <w:tabs>
          <w:tab w:val="right" w:pos="9746"/>
        </w:tabs>
        <w:spacing w:after="80" w:before="0" w:line="360" w:lineRule="auto"/>
      </w:pPr>
      <w:r>
        <w:rPr>
          <w:rFonts w:ascii="Times New Roman" w:cs="Times New Roman" w:eastAsia="Times New Roman" w:hAnsi="Times New Roman"/>
          <w:sz w:val="24"/>
          <w:szCs w:val="24"/>
        </w:rPr>
        <w:t xml:space="preserve">Table 3.1  Sprint I Research Milestones and Acceptance Criteria</w:t>
      </w:r>
      <w:r>
        <w:rPr>
          <w:rFonts w:ascii="Times New Roman" w:cs="Times New Roman" w:eastAsia="Times New Roman" w:hAnsi="Times New Roman"/>
          <w:sz w:val="24"/>
          <w:szCs w:val="24"/>
        </w:rPr>
        <w:t xml:space="preserve">	18</w:t>
      </w:r>
    </w:p>
    <w:p>
      <w:pPr>
        <w:tabs>
          <w:tab w:val="right" w:pos="9746"/>
        </w:tabs>
        <w:spacing w:after="80" w:before="0" w:line="360" w:lineRule="auto"/>
      </w:pPr>
      <w:r>
        <w:rPr>
          <w:rFonts w:ascii="Times New Roman" w:cs="Times New Roman" w:eastAsia="Times New Roman" w:hAnsi="Times New Roman"/>
          <w:sz w:val="24"/>
          <w:szCs w:val="24"/>
        </w:rPr>
        <w:t xml:space="preserve">Table 3.2  Feature Set Specification – Base price+tech (7)</w:t>
      </w:r>
      <w:r>
        <w:rPr>
          <w:rFonts w:ascii="Times New Roman" w:cs="Times New Roman" w:eastAsia="Times New Roman" w:hAnsi="Times New Roman"/>
          <w:sz w:val="24"/>
          <w:szCs w:val="24"/>
        </w:rPr>
        <w:t xml:space="preserve">	20</w:t>
      </w:r>
    </w:p>
    <w:p>
      <w:pPr>
        <w:tabs>
          <w:tab w:val="right" w:pos="9746"/>
        </w:tabs>
        <w:spacing w:after="80" w:before="0" w:line="360" w:lineRule="auto"/>
      </w:pPr>
      <w:r>
        <w:rPr>
          <w:rFonts w:ascii="Times New Roman" w:cs="Times New Roman" w:eastAsia="Times New Roman" w:hAnsi="Times New Roman"/>
          <w:sz w:val="24"/>
          <w:szCs w:val="24"/>
        </w:rPr>
        <w:t xml:space="preserve">Table 3.3  Walk-Forward Fold Specifications</w:t>
      </w:r>
      <w:r>
        <w:rPr>
          <w:rFonts w:ascii="Times New Roman" w:cs="Times New Roman" w:eastAsia="Times New Roman" w:hAnsi="Times New Roman"/>
          <w:sz w:val="24"/>
          <w:szCs w:val="24"/>
        </w:rPr>
        <w:t xml:space="preserve">	21</w:t>
      </w:r>
    </w:p>
    <w:p>
      <w:pPr>
        <w:tabs>
          <w:tab w:val="right" w:pos="9746"/>
        </w:tabs>
        <w:spacing w:after="80" w:before="0" w:line="360" w:lineRule="auto"/>
      </w:pPr>
      <w:r>
        <w:rPr>
          <w:rFonts w:ascii="Times New Roman" w:cs="Times New Roman" w:eastAsia="Times New Roman" w:hAnsi="Times New Roman"/>
          <w:sz w:val="24"/>
          <w:szCs w:val="24"/>
        </w:rPr>
        <w:t xml:space="preserve">Table 3.4  Lambda Candidate Grid Search – Balance Score per Candidate per Fold</w:t>
      </w:r>
      <w:r>
        <w:rPr>
          <w:rFonts w:ascii="Times New Roman" w:cs="Times New Roman" w:eastAsia="Times New Roman" w:hAnsi="Times New Roman"/>
          <w:sz w:val="24"/>
          <w:szCs w:val="24"/>
        </w:rPr>
        <w:t xml:space="preserve">	21</w:t>
      </w:r>
    </w:p>
    <w:p>
      <w:pPr>
        <w:tabs>
          <w:tab w:val="right" w:pos="9746"/>
        </w:tabs>
        <w:spacing w:after="80" w:before="0" w:line="360" w:lineRule="auto"/>
      </w:pPr>
      <w:r>
        <w:rPr>
          <w:rFonts w:ascii="Times New Roman" w:cs="Times New Roman" w:eastAsia="Times New Roman" w:hAnsi="Times New Roman"/>
          <w:sz w:val="24"/>
          <w:szCs w:val="24"/>
        </w:rPr>
        <w:t xml:space="preserve">Table 3.5  Sprint II Research Milestones and Acceptance Criteria</w:t>
      </w:r>
      <w:r>
        <w:rPr>
          <w:rFonts w:ascii="Times New Roman" w:cs="Times New Roman" w:eastAsia="Times New Roman" w:hAnsi="Times New Roman"/>
          <w:sz w:val="24"/>
          <w:szCs w:val="24"/>
        </w:rPr>
        <w:t xml:space="preserve">	26</w:t>
      </w:r>
    </w:p>
    <w:p>
      <w:pPr>
        <w:tabs>
          <w:tab w:val="right" w:pos="9746"/>
        </w:tabs>
        <w:spacing w:after="80" w:before="0" w:line="360" w:lineRule="auto"/>
      </w:pPr>
      <w:r>
        <w:rPr>
          <w:rFonts w:ascii="Times New Roman" w:cs="Times New Roman" w:eastAsia="Times New Roman" w:hAnsi="Times New Roman"/>
          <w:sz w:val="24"/>
          <w:szCs w:val="24"/>
        </w:rPr>
        <w:t xml:space="preserve">Table 3.6  Model Hyperparameter Configuration</w:t>
      </w:r>
      <w:r>
        <w:rPr>
          <w:rFonts w:ascii="Times New Roman" w:cs="Times New Roman" w:eastAsia="Times New Roman" w:hAnsi="Times New Roman"/>
          <w:sz w:val="24"/>
          <w:szCs w:val="24"/>
        </w:rPr>
        <w:t xml:space="preserve">	29</w:t>
      </w:r>
    </w:p>
    <w:p>
      <w:pPr>
        <w:tabs>
          <w:tab w:val="right" w:pos="9746"/>
        </w:tabs>
        <w:spacing w:after="80" w:before="0" w:line="360" w:lineRule="auto"/>
      </w:pPr>
      <w:r>
        <w:rPr>
          <w:rFonts w:ascii="Times New Roman" w:cs="Times New Roman" w:eastAsia="Times New Roman" w:hAnsi="Times New Roman"/>
          <w:sz w:val="24"/>
          <w:szCs w:val="24"/>
        </w:rPr>
        <w:t xml:space="preserve">Table 4.1  Single-Run Performance Summary – All Models (Mean ± Std, 3 Folds)</w:t>
      </w:r>
      <w:r>
        <w:rPr>
          <w:rFonts w:ascii="Times New Roman" w:cs="Times New Roman" w:eastAsia="Times New Roman" w:hAnsi="Times New Roman"/>
          <w:sz w:val="24"/>
          <w:szCs w:val="24"/>
        </w:rPr>
        <w:t xml:space="preserve">	34</w:t>
      </w:r>
    </w:p>
    <w:p>
      <w:pPr>
        <w:tabs>
          <w:tab w:val="right" w:pos="9746"/>
        </w:tabs>
        <w:spacing w:after="80" w:before="0" w:line="360" w:lineRule="auto"/>
      </w:pPr>
      <w:r>
        <w:rPr>
          <w:rFonts w:ascii="Times New Roman" w:cs="Times New Roman" w:eastAsia="Times New Roman" w:hAnsi="Times New Roman"/>
          <w:sz w:val="24"/>
          <w:szCs w:val="24"/>
        </w:rPr>
        <w:t xml:space="preserve">Table 4.2  Per-Fold Results – Proposed (CNN+Attn)</w:t>
      </w:r>
      <w:r>
        <w:rPr>
          <w:rFonts w:ascii="Times New Roman" w:cs="Times New Roman" w:eastAsia="Times New Roman" w:hAnsi="Times New Roman"/>
          <w:sz w:val="24"/>
          <w:szCs w:val="24"/>
        </w:rPr>
        <w:t xml:space="preserve">	35</w:t>
      </w:r>
    </w:p>
    <w:p>
      <w:pPr>
        <w:tabs>
          <w:tab w:val="right" w:pos="9746"/>
        </w:tabs>
        <w:spacing w:after="80" w:before="0" w:line="360" w:lineRule="auto"/>
      </w:pPr>
      <w:r>
        <w:rPr>
          <w:rFonts w:ascii="Times New Roman" w:cs="Times New Roman" w:eastAsia="Times New Roman" w:hAnsi="Times New Roman"/>
          <w:sz w:val="24"/>
          <w:szCs w:val="24"/>
        </w:rPr>
        <w:t xml:space="preserve">Table 4.3  Per-Fold Results – CNNPred-2D (Paper Baseline)</w:t>
      </w:r>
      <w:r>
        <w:rPr>
          <w:rFonts w:ascii="Times New Roman" w:cs="Times New Roman" w:eastAsia="Times New Roman" w:hAnsi="Times New Roman"/>
          <w:sz w:val="24"/>
          <w:szCs w:val="24"/>
        </w:rPr>
        <w:t xml:space="preserve">	35</w:t>
      </w:r>
    </w:p>
    <w:p>
      <w:pPr>
        <w:tabs>
          <w:tab w:val="right" w:pos="9746"/>
        </w:tabs>
        <w:spacing w:after="80" w:before="0" w:line="360" w:lineRule="auto"/>
      </w:pPr>
      <w:r>
        <w:rPr>
          <w:rFonts w:ascii="Times New Roman" w:cs="Times New Roman" w:eastAsia="Times New Roman" w:hAnsi="Times New Roman"/>
          <w:sz w:val="24"/>
          <w:szCs w:val="24"/>
        </w:rPr>
        <w:t xml:space="preserve">Table 4.4  Multi-Seed Robustness Summary (5 Seeds: 7, 21, 42, 84, 168)</w:t>
      </w:r>
      <w:r>
        <w:rPr>
          <w:rFonts w:ascii="Times New Roman" w:cs="Times New Roman" w:eastAsia="Times New Roman" w:hAnsi="Times New Roman"/>
          <w:sz w:val="24"/>
          <w:szCs w:val="24"/>
        </w:rPr>
        <w:t xml:space="preserve">	40</w:t>
      </w:r>
    </w:p>
    <w:p>
      <w:pPr>
        <w:tabs>
          <w:tab w:val="right" w:pos="9746"/>
        </w:tabs>
        <w:spacing w:after="80" w:before="0" w:line="360" w:lineRule="auto"/>
      </w:pPr>
      <w:r>
        <w:rPr>
          <w:rFonts w:ascii="Times New Roman" w:cs="Times New Roman" w:eastAsia="Times New Roman" w:hAnsi="Times New Roman"/>
          <w:sz w:val="24"/>
          <w:szCs w:val="24"/>
        </w:rPr>
        <w:t xml:space="preserve">Table 4.5  Ensemble Per-Class Metrics – Mean Across Three Walk-Forward Folds</w:t>
      </w:r>
      <w:r>
        <w:rPr>
          <w:rFonts w:ascii="Times New Roman" w:cs="Times New Roman" w:eastAsia="Times New Roman" w:hAnsi="Times New Roman"/>
          <w:sz w:val="24"/>
          <w:szCs w:val="24"/>
        </w:rPr>
        <w:t xml:space="preserve">	41</w:t>
      </w:r>
    </w:p>
    <w:p>
      <w:pPr>
        <w:tabs>
          <w:tab w:val="right" w:pos="9746"/>
        </w:tabs>
        <w:spacing w:after="80" w:before="0" w:line="360" w:lineRule="auto"/>
      </w:pPr>
      <w:r>
        <w:rPr>
          <w:rFonts w:ascii="Times New Roman" w:cs="Times New Roman" w:eastAsia="Times New Roman" w:hAnsi="Times New Roman"/>
          <w:sz w:val="24"/>
          <w:szCs w:val="24"/>
        </w:rPr>
        <w:t xml:space="preserve">Table 4.6  Worst Off-Diagonal Confusion Improvement: Ensemble vs Proposed</w:t>
      </w:r>
      <w:r>
        <w:rPr>
          <w:rFonts w:ascii="Times New Roman" w:cs="Times New Roman" w:eastAsia="Times New Roman" w:hAnsi="Times New Roman"/>
          <w:sz w:val="24"/>
          <w:szCs w:val="24"/>
        </w:rPr>
        <w:t xml:space="preserve">	43</w:t>
      </w:r>
    </w:p>
    <w:p>
      <w:pPr>
        <w:pageBreakBefore/>
        <w:spacing w:after="480" w:before="0" w:line="360" w:lineRule="auto"/>
        <w:jc w:val="center"/>
      </w:pPr>
      <w:r>
        <w:rPr>
          <w:rFonts w:ascii="Times New Roman" w:cs="Times New Roman" w:eastAsia="Times New Roman" w:hAnsi="Times New Roman"/>
          <w:b/>
          <w:bCs/>
          <w:sz w:val="32"/>
          <w:szCs w:val="32"/>
        </w:rPr>
        <w:t xml:space="preserve">ABBREVIATIONS</w:t>
      </w:r>
    </w:p>
    <w:p>
      <w:pPr>
        <w:tabs>
          <w:tab w:val="left" w:pos="2200"/>
        </w:tabs>
        <w:spacing w:after="80" w:before="0" w:line="360" w:lineRule="auto"/>
      </w:pPr>
      <w:r>
        <w:rPr>
          <w:rFonts w:ascii="Times New Roman" w:cs="Times New Roman" w:eastAsia="Times New Roman" w:hAnsi="Times New Roman"/>
          <w:b/>
          <w:bCs/>
          <w:sz w:val="24"/>
          <w:szCs w:val="24"/>
        </w:rPr>
        <w:t xml:space="preserve">1D-CNN</w:t>
      </w:r>
      <w:r>
        <w:rPr>
          <w:rFonts w:ascii="Times New Roman" w:cs="Times New Roman" w:eastAsia="Times New Roman" w:hAnsi="Times New Roman"/>
          <w:sz w:val="24"/>
          <w:szCs w:val="24"/>
        </w:rPr>
        <w:t xml:space="preserve">	One-Dimensional Convolutional Neural Network</w:t>
      </w:r>
    </w:p>
    <w:p>
      <w:pPr>
        <w:tabs>
          <w:tab w:val="left" w:pos="2200"/>
        </w:tabs>
        <w:spacing w:after="80" w:before="0" w:line="360" w:lineRule="auto"/>
      </w:pPr>
      <w:r>
        <w:rPr>
          <w:rFonts w:ascii="Times New Roman" w:cs="Times New Roman" w:eastAsia="Times New Roman" w:hAnsi="Times New Roman"/>
          <w:b/>
          <w:bCs/>
          <w:sz w:val="24"/>
          <w:szCs w:val="24"/>
        </w:rPr>
        <w:t xml:space="preserve">2D-CNN</w:t>
      </w:r>
      <w:r>
        <w:rPr>
          <w:rFonts w:ascii="Times New Roman" w:cs="Times New Roman" w:eastAsia="Times New Roman" w:hAnsi="Times New Roman"/>
          <w:sz w:val="24"/>
          <w:szCs w:val="24"/>
        </w:rPr>
        <w:t xml:space="preserve">	Two-Dimensional Convolutional Neural Network</w:t>
      </w:r>
    </w:p>
    <w:p>
      <w:pPr>
        <w:tabs>
          <w:tab w:val="left" w:pos="2200"/>
        </w:tabs>
        <w:spacing w:after="80" w:before="0" w:line="360" w:lineRule="auto"/>
      </w:pPr>
      <w:r>
        <w:rPr>
          <w:rFonts w:ascii="Times New Roman" w:cs="Times New Roman" w:eastAsia="Times New Roman" w:hAnsi="Times New Roman"/>
          <w:b/>
          <w:bCs/>
          <w:sz w:val="24"/>
          <w:szCs w:val="24"/>
        </w:rPr>
        <w:t xml:space="preserve">AdamW</w:t>
      </w:r>
      <w:r>
        <w:rPr>
          <w:rFonts w:ascii="Times New Roman" w:cs="Times New Roman" w:eastAsia="Times New Roman" w:hAnsi="Times New Roman"/>
          <w:sz w:val="24"/>
          <w:szCs w:val="24"/>
        </w:rPr>
        <w:t xml:space="preserve">	Adaptive Moment Estimation with Weight Decay</w:t>
      </w:r>
    </w:p>
    <w:p>
      <w:pPr>
        <w:tabs>
          <w:tab w:val="left" w:pos="2200"/>
        </w:tabs>
        <w:spacing w:after="80" w:before="0" w:line="360" w:lineRule="auto"/>
      </w:pPr>
      <w:r>
        <w:rPr>
          <w:rFonts w:ascii="Times New Roman" w:cs="Times New Roman" w:eastAsia="Times New Roman" w:hAnsi="Times New Roman"/>
          <w:b/>
          <w:bCs/>
          <w:sz w:val="24"/>
          <w:szCs w:val="24"/>
        </w:rPr>
        <w:t xml:space="preserve">CBOE</w:t>
      </w:r>
      <w:r>
        <w:rPr>
          <w:rFonts w:ascii="Times New Roman" w:cs="Times New Roman" w:eastAsia="Times New Roman" w:hAnsi="Times New Roman"/>
          <w:sz w:val="24"/>
          <w:szCs w:val="24"/>
        </w:rPr>
        <w:t xml:space="preserve">	Chicago Board Options Exchange</w:t>
      </w:r>
    </w:p>
    <w:p>
      <w:pPr>
        <w:tabs>
          <w:tab w:val="left" w:pos="2200"/>
        </w:tabs>
        <w:spacing w:after="80" w:before="0" w:line="360" w:lineRule="auto"/>
      </w:pPr>
      <w:r>
        <w:rPr>
          <w:rFonts w:ascii="Times New Roman" w:cs="Times New Roman" w:eastAsia="Times New Roman" w:hAnsi="Times New Roman"/>
          <w:b/>
          <w:bCs/>
          <w:sz w:val="24"/>
          <w:szCs w:val="24"/>
        </w:rPr>
        <w:t xml:space="preserve">CE</w:t>
      </w:r>
      <w:r>
        <w:rPr>
          <w:rFonts w:ascii="Times New Roman" w:cs="Times New Roman" w:eastAsia="Times New Roman" w:hAnsi="Times New Roman"/>
          <w:sz w:val="24"/>
          <w:szCs w:val="24"/>
        </w:rPr>
        <w:t xml:space="preserve">	Cross-Entropy</w:t>
      </w:r>
    </w:p>
    <w:p>
      <w:pPr>
        <w:tabs>
          <w:tab w:val="left" w:pos="2200"/>
        </w:tabs>
        <w:spacing w:after="80" w:before="0" w:line="360" w:lineRule="auto"/>
      </w:pPr>
      <w:r>
        <w:rPr>
          <w:rFonts w:ascii="Times New Roman" w:cs="Times New Roman" w:eastAsia="Times New Roman" w:hAnsi="Times New Roman"/>
          <w:b/>
          <w:bCs/>
          <w:sz w:val="24"/>
          <w:szCs w:val="24"/>
        </w:rPr>
        <w:t xml:space="preserve">EMA</w:t>
      </w:r>
      <w:r>
        <w:rPr>
          <w:rFonts w:ascii="Times New Roman" w:cs="Times New Roman" w:eastAsia="Times New Roman" w:hAnsi="Times New Roman"/>
          <w:sz w:val="24"/>
          <w:szCs w:val="24"/>
        </w:rPr>
        <w:t xml:space="preserve">	Exponential Moving Average</w:t>
      </w:r>
    </w:p>
    <w:p>
      <w:pPr>
        <w:tabs>
          <w:tab w:val="left" w:pos="2200"/>
        </w:tabs>
        <w:spacing w:after="80" w:before="0" w:line="360" w:lineRule="auto"/>
      </w:pPr>
      <w:r>
        <w:rPr>
          <w:rFonts w:ascii="Times New Roman" w:cs="Times New Roman" w:eastAsia="Times New Roman" w:hAnsi="Times New Roman"/>
          <w:b/>
          <w:bCs/>
          <w:sz w:val="24"/>
          <w:szCs w:val="24"/>
        </w:rPr>
        <w:t xml:space="preserve">F1</w:t>
      </w:r>
      <w:r>
        <w:rPr>
          <w:rFonts w:ascii="Times New Roman" w:cs="Times New Roman" w:eastAsia="Times New Roman" w:hAnsi="Times New Roman"/>
          <w:sz w:val="24"/>
          <w:szCs w:val="24"/>
        </w:rPr>
        <w:t xml:space="preserve">	F1-Score (Harmonic Mean of Precision and Recall)</w:t>
      </w:r>
    </w:p>
    <w:p>
      <w:pPr>
        <w:tabs>
          <w:tab w:val="left" w:pos="2200"/>
        </w:tabs>
        <w:spacing w:after="80" w:before="0" w:line="360" w:lineRule="auto"/>
      </w:pPr>
      <w:r>
        <w:rPr>
          <w:rFonts w:ascii="Times New Roman" w:cs="Times New Roman" w:eastAsia="Times New Roman" w:hAnsi="Times New Roman"/>
          <w:b/>
          <w:bCs/>
          <w:sz w:val="24"/>
          <w:szCs w:val="24"/>
        </w:rPr>
        <w:t xml:space="preserve">GELU</w:t>
      </w:r>
      <w:r>
        <w:rPr>
          <w:rFonts w:ascii="Times New Roman" w:cs="Times New Roman" w:eastAsia="Times New Roman" w:hAnsi="Times New Roman"/>
          <w:sz w:val="24"/>
          <w:szCs w:val="24"/>
        </w:rPr>
        <w:t xml:space="preserve">	Gaussian Error Linear Unit</w:t>
      </w:r>
    </w:p>
    <w:p>
      <w:pPr>
        <w:tabs>
          <w:tab w:val="left" w:pos="2200"/>
        </w:tabs>
        <w:spacing w:after="80" w:before="0" w:line="360" w:lineRule="auto"/>
      </w:pPr>
      <w:r>
        <w:rPr>
          <w:rFonts w:ascii="Times New Roman" w:cs="Times New Roman" w:eastAsia="Times New Roman" w:hAnsi="Times New Roman"/>
          <w:b/>
          <w:bCs/>
          <w:sz w:val="24"/>
          <w:szCs w:val="24"/>
        </w:rPr>
        <w:t xml:space="preserve">GSPC</w:t>
      </w:r>
      <w:r>
        <w:rPr>
          <w:rFonts w:ascii="Times New Roman" w:cs="Times New Roman" w:eastAsia="Times New Roman" w:hAnsi="Times New Roman"/>
          <w:sz w:val="24"/>
          <w:szCs w:val="24"/>
        </w:rPr>
        <w:t xml:space="preserve">	S&amp;P 500 Index Ticker Symbol on Yahoo Finance</w:t>
      </w:r>
    </w:p>
    <w:p>
      <w:pPr>
        <w:tabs>
          <w:tab w:val="left" w:pos="2200"/>
        </w:tabs>
        <w:spacing w:after="80" w:before="0" w:line="360" w:lineRule="auto"/>
      </w:pPr>
      <w:r>
        <w:rPr>
          <w:rFonts w:ascii="Times New Roman" w:cs="Times New Roman" w:eastAsia="Times New Roman" w:hAnsi="Times New Roman"/>
          <w:b/>
          <w:bCs/>
          <w:sz w:val="24"/>
          <w:szCs w:val="24"/>
        </w:rPr>
        <w:t xml:space="preserve">LSTM</w:t>
      </w:r>
      <w:r>
        <w:rPr>
          <w:rFonts w:ascii="Times New Roman" w:cs="Times New Roman" w:eastAsia="Times New Roman" w:hAnsi="Times New Roman"/>
          <w:sz w:val="24"/>
          <w:szCs w:val="24"/>
        </w:rPr>
        <w:t xml:space="preserve">	Long Short-Term Memory</w:t>
      </w:r>
    </w:p>
    <w:p>
      <w:pPr>
        <w:tabs>
          <w:tab w:val="left" w:pos="2200"/>
        </w:tabs>
        <w:spacing w:after="80" w:before="0" w:line="360" w:lineRule="auto"/>
      </w:pPr>
      <w:r>
        <w:rPr>
          <w:rFonts w:ascii="Times New Roman" w:cs="Times New Roman" w:eastAsia="Times New Roman" w:hAnsi="Times New Roman"/>
          <w:b/>
          <w:bCs/>
          <w:sz w:val="24"/>
          <w:szCs w:val="24"/>
        </w:rPr>
        <w:t xml:space="preserve">MACD</w:t>
      </w:r>
      <w:r>
        <w:rPr>
          <w:rFonts w:ascii="Times New Roman" w:cs="Times New Roman" w:eastAsia="Times New Roman" w:hAnsi="Times New Roman"/>
          <w:sz w:val="24"/>
          <w:szCs w:val="24"/>
        </w:rPr>
        <w:t xml:space="preserve">	Moving Average Convergence Divergence</w:t>
      </w:r>
    </w:p>
    <w:p>
      <w:pPr>
        <w:tabs>
          <w:tab w:val="left" w:pos="2200"/>
        </w:tabs>
        <w:spacing w:after="80" w:before="0" w:line="360" w:lineRule="auto"/>
      </w:pPr>
      <w:r>
        <w:rPr>
          <w:rFonts w:ascii="Times New Roman" w:cs="Times New Roman" w:eastAsia="Times New Roman" w:hAnsi="Times New Roman"/>
          <w:b/>
          <w:bCs/>
          <w:sz w:val="24"/>
          <w:szCs w:val="24"/>
        </w:rPr>
        <w:t xml:space="preserve">MCC</w:t>
      </w:r>
      <w:r>
        <w:rPr>
          <w:rFonts w:ascii="Times New Roman" w:cs="Times New Roman" w:eastAsia="Times New Roman" w:hAnsi="Times New Roman"/>
          <w:sz w:val="24"/>
          <w:szCs w:val="24"/>
        </w:rPr>
        <w:t xml:space="preserve">	Matthews Correlation Coefficient</w:t>
      </w:r>
    </w:p>
    <w:p>
      <w:pPr>
        <w:tabs>
          <w:tab w:val="left" w:pos="2200"/>
        </w:tabs>
        <w:spacing w:after="80" w:before="0" w:line="360" w:lineRule="auto"/>
      </w:pPr>
      <w:r>
        <w:rPr>
          <w:rFonts w:ascii="Times New Roman" w:cs="Times New Roman" w:eastAsia="Times New Roman" w:hAnsi="Times New Roman"/>
          <w:b/>
          <w:bCs/>
          <w:sz w:val="24"/>
          <w:szCs w:val="24"/>
        </w:rPr>
        <w:t xml:space="preserve">MHSA</w:t>
      </w:r>
      <w:r>
        <w:rPr>
          <w:rFonts w:ascii="Times New Roman" w:cs="Times New Roman" w:eastAsia="Times New Roman" w:hAnsi="Times New Roman"/>
          <w:sz w:val="24"/>
          <w:szCs w:val="24"/>
        </w:rPr>
        <w:t xml:space="preserve">	Multi-Head Self-Attention</w:t>
      </w:r>
    </w:p>
    <w:p>
      <w:pPr>
        <w:tabs>
          <w:tab w:val="left" w:pos="2200"/>
        </w:tabs>
        <w:spacing w:after="80" w:before="0" w:line="360" w:lineRule="auto"/>
      </w:pPr>
      <w:r>
        <w:rPr>
          <w:rFonts w:ascii="Times New Roman" w:cs="Times New Roman" w:eastAsia="Times New Roman" w:hAnsi="Times New Roman"/>
          <w:b/>
          <w:bCs/>
          <w:sz w:val="24"/>
          <w:szCs w:val="24"/>
        </w:rPr>
        <w:t xml:space="preserve">MLP</w:t>
      </w:r>
      <w:r>
        <w:rPr>
          <w:rFonts w:ascii="Times New Roman" w:cs="Times New Roman" w:eastAsia="Times New Roman" w:hAnsi="Times New Roman"/>
          <w:sz w:val="24"/>
          <w:szCs w:val="24"/>
        </w:rPr>
        <w:t xml:space="preserve">	Multi-Layer Perceptron</w:t>
      </w:r>
    </w:p>
    <w:p>
      <w:pPr>
        <w:tabs>
          <w:tab w:val="left" w:pos="2200"/>
        </w:tabs>
        <w:spacing w:after="80" w:before="0" w:line="360" w:lineRule="auto"/>
      </w:pPr>
      <w:r>
        <w:rPr>
          <w:rFonts w:ascii="Times New Roman" w:cs="Times New Roman" w:eastAsia="Times New Roman" w:hAnsi="Times New Roman"/>
          <w:b/>
          <w:bCs/>
          <w:sz w:val="24"/>
          <w:szCs w:val="24"/>
        </w:rPr>
        <w:t xml:space="preserve">OHLC</w:t>
      </w:r>
      <w:r>
        <w:rPr>
          <w:rFonts w:ascii="Times New Roman" w:cs="Times New Roman" w:eastAsia="Times New Roman" w:hAnsi="Times New Roman"/>
          <w:sz w:val="24"/>
          <w:szCs w:val="24"/>
        </w:rPr>
        <w:t xml:space="preserve">	Open, High, Low, Close</w:t>
      </w:r>
    </w:p>
    <w:p>
      <w:pPr>
        <w:tabs>
          <w:tab w:val="left" w:pos="2200"/>
        </w:tabs>
        <w:spacing w:after="80" w:before="0" w:line="360" w:lineRule="auto"/>
      </w:pPr>
      <w:r>
        <w:rPr>
          <w:rFonts w:ascii="Times New Roman" w:cs="Times New Roman" w:eastAsia="Times New Roman" w:hAnsi="Times New Roman"/>
          <w:b/>
          <w:bCs/>
          <w:sz w:val="24"/>
          <w:szCs w:val="24"/>
        </w:rPr>
        <w:t xml:space="preserve">RSI</w:t>
      </w:r>
      <w:r>
        <w:rPr>
          <w:rFonts w:ascii="Times New Roman" w:cs="Times New Roman" w:eastAsia="Times New Roman" w:hAnsi="Times New Roman"/>
          <w:sz w:val="24"/>
          <w:szCs w:val="24"/>
        </w:rPr>
        <w:t xml:space="preserve">	Relative Strength Index</w:t>
      </w:r>
    </w:p>
    <w:p>
      <w:pPr>
        <w:tabs>
          <w:tab w:val="left" w:pos="2200"/>
        </w:tabs>
        <w:spacing w:after="80" w:before="0" w:line="360" w:lineRule="auto"/>
      </w:pPr>
      <w:r>
        <w:rPr>
          <w:rFonts w:ascii="Times New Roman" w:cs="Times New Roman" w:eastAsia="Times New Roman" w:hAnsi="Times New Roman"/>
          <w:b/>
          <w:bCs/>
          <w:sz w:val="24"/>
          <w:szCs w:val="24"/>
        </w:rPr>
        <w:t xml:space="preserve">ReLU</w:t>
      </w:r>
      <w:r>
        <w:rPr>
          <w:rFonts w:ascii="Times New Roman" w:cs="Times New Roman" w:eastAsia="Times New Roman" w:hAnsi="Times New Roman"/>
          <w:sz w:val="24"/>
          <w:szCs w:val="24"/>
        </w:rPr>
        <w:t xml:space="preserve">	Rectified Linear Unit</w:t>
      </w:r>
    </w:p>
    <w:p>
      <w:pPr>
        <w:tabs>
          <w:tab w:val="left" w:pos="2200"/>
        </w:tabs>
        <w:spacing w:after="80" w:before="0" w:line="360" w:lineRule="auto"/>
      </w:pPr>
      <w:r>
        <w:rPr>
          <w:rFonts w:ascii="Times New Roman" w:cs="Times New Roman" w:eastAsia="Times New Roman" w:hAnsi="Times New Roman"/>
          <w:b/>
          <w:bCs/>
          <w:sz w:val="24"/>
          <w:szCs w:val="24"/>
        </w:rPr>
        <w:t xml:space="preserve">S&amp;P 500</w:t>
      </w:r>
      <w:r>
        <w:rPr>
          <w:rFonts w:ascii="Times New Roman" w:cs="Times New Roman" w:eastAsia="Times New Roman" w:hAnsi="Times New Roman"/>
          <w:sz w:val="24"/>
          <w:szCs w:val="24"/>
        </w:rPr>
        <w:t xml:space="preserve">	Standard and Poor's 500 Index</w:t>
      </w:r>
    </w:p>
    <w:p>
      <w:pPr>
        <w:tabs>
          <w:tab w:val="left" w:pos="2200"/>
        </w:tabs>
        <w:spacing w:after="80" w:before="0" w:line="360" w:lineRule="auto"/>
      </w:pPr>
      <w:r>
        <w:rPr>
          <w:rFonts w:ascii="Times New Roman" w:cs="Times New Roman" w:eastAsia="Times New Roman" w:hAnsi="Times New Roman"/>
          <w:b/>
          <w:bCs/>
          <w:sz w:val="24"/>
          <w:szCs w:val="24"/>
        </w:rPr>
        <w:t xml:space="preserve">SDG</w:t>
      </w:r>
      <w:r>
        <w:rPr>
          <w:rFonts w:ascii="Times New Roman" w:cs="Times New Roman" w:eastAsia="Times New Roman" w:hAnsi="Times New Roman"/>
          <w:sz w:val="24"/>
          <w:szCs w:val="24"/>
        </w:rPr>
        <w:t xml:space="preserve">	Sustainable Development Goal</w:t>
      </w:r>
    </w:p>
    <w:p>
      <w:pPr>
        <w:tabs>
          <w:tab w:val="left" w:pos="2200"/>
        </w:tabs>
        <w:spacing w:after="80" w:before="0" w:line="360" w:lineRule="auto"/>
      </w:pPr>
      <w:r>
        <w:rPr>
          <w:rFonts w:ascii="Times New Roman" w:cs="Times New Roman" w:eastAsia="Times New Roman" w:hAnsi="Times New Roman"/>
          <w:b/>
          <w:bCs/>
          <w:sz w:val="24"/>
          <w:szCs w:val="24"/>
        </w:rPr>
        <w:t xml:space="preserve">SRM</w:t>
      </w:r>
      <w:r>
        <w:rPr>
          <w:rFonts w:ascii="Times New Roman" w:cs="Times New Roman" w:eastAsia="Times New Roman" w:hAnsi="Times New Roman"/>
          <w:sz w:val="24"/>
          <w:szCs w:val="24"/>
        </w:rPr>
        <w:t xml:space="preserve">	Sri Ramaswamy Memorial (SRM Institute of Science and Technology)</w:t>
      </w:r>
    </w:p>
    <w:p>
      <w:pPr>
        <w:tabs>
          <w:tab w:val="left" w:pos="2200"/>
        </w:tabs>
        <w:spacing w:after="80" w:before="0" w:line="360" w:lineRule="auto"/>
      </w:pPr>
      <w:r>
        <w:rPr>
          <w:rFonts w:ascii="Times New Roman" w:cs="Times New Roman" w:eastAsia="Times New Roman" w:hAnsi="Times New Roman"/>
          <w:b/>
          <w:bCs/>
          <w:sz w:val="24"/>
          <w:szCs w:val="24"/>
        </w:rPr>
        <w:t xml:space="preserve">VIX</w:t>
      </w:r>
      <w:r>
        <w:rPr>
          <w:rFonts w:ascii="Times New Roman" w:cs="Times New Roman" w:eastAsia="Times New Roman" w:hAnsi="Times New Roman"/>
          <w:sz w:val="24"/>
          <w:szCs w:val="24"/>
        </w:rPr>
        <w:t xml:space="preserve">	CBOE Volatility Index</w:t>
      </w:r>
    </w:p>
    <w:p>
      <w:pPr>
        <w:tabs>
          <w:tab w:val="left" w:pos="2200"/>
        </w:tabs>
        <w:spacing w:after="80" w:before="0" w:line="360" w:lineRule="auto"/>
      </w:pPr>
      <w:r>
        <w:rPr>
          <w:rFonts w:ascii="Times New Roman" w:cs="Times New Roman" w:eastAsia="Times New Roman" w:hAnsi="Times New Roman"/>
          <w:b/>
          <w:bCs/>
          <w:sz w:val="24"/>
          <w:szCs w:val="24"/>
        </w:rPr>
        <w:t xml:space="preserve">XGB</w:t>
      </w:r>
      <w:r>
        <w:rPr>
          <w:rFonts w:ascii="Times New Roman" w:cs="Times New Roman" w:eastAsia="Times New Roman" w:hAnsi="Times New Roman"/>
          <w:sz w:val="24"/>
          <w:szCs w:val="24"/>
        </w:rPr>
        <w:t xml:space="preserve">	XGBoost (Extreme Gradient Boosting)</w:t>
      </w:r>
    </w:p>
    <w:p>
      <w:pPr>
        <w:pageBreakBefore/>
        <w:spacing w:after="480" w:before="0" w:line="360" w:lineRule="auto"/>
        <w:jc w:val="center"/>
      </w:pPr>
      <w:r>
        <w:rPr>
          <w:rFonts w:ascii="Times New Roman" w:cs="Times New Roman" w:eastAsia="Times New Roman" w:hAnsi="Times New Roman"/>
          <w:b/>
          <w:bCs/>
          <w:sz w:val="32"/>
          <w:szCs w:val="32"/>
        </w:rPr>
        <w:t xml:space="preserve">CHAPTER 1</w:t>
      </w:r>
      <w:r>
        <w:rPr>
          <w:rFonts w:ascii="Times New Roman" w:cs="Times New Roman" w:eastAsia="Times New Roman" w:hAnsi="Times New Roman"/>
          <w:b/>
          <w:bCs/>
          <w:sz w:val="32"/>
          <w:szCs w:val="32"/>
        </w:rPr>
        <w:t xml:space="preserve">
INTRODUCTION</w:t>
      </w:r>
    </w:p>
    <w:p>
      <w:pPr>
        <w:spacing w:after="160" w:before="360" w:line="360" w:lineRule="auto"/>
      </w:pPr>
      <w:r>
        <w:rPr>
          <w:rFonts w:ascii="Times New Roman" w:cs="Times New Roman" w:eastAsia="Times New Roman" w:hAnsi="Times New Roman"/>
          <w:b/>
          <w:bCs/>
          <w:sz w:val="32"/>
          <w:szCs w:val="32"/>
        </w:rPr>
        <w:t xml:space="preserve">1.1  Introduction to Project</w:t>
      </w:r>
    </w:p>
    <w:p>
      <w:pPr>
        <w:spacing w:after="160" w:before="0" w:line="360" w:lineRule="auto"/>
        <w:ind w:left="720"/>
        <w:jc w:val="both"/>
      </w:pPr>
      <w:r>
        <w:rPr>
          <w:rFonts w:ascii="Times New Roman" w:cs="Times New Roman" w:eastAsia="Times New Roman" w:hAnsi="Times New Roman"/>
          <w:sz w:val="24"/>
          <w:szCs w:val="24"/>
        </w:rPr>
        <w:t xml:space="preserve">Financial markets are complex adaptive systems in which price movements emerge from the collective behavior of millions of participants operating under uncertainty. Forecasting whether the value of a major equity index will move significantly upward, remain within a noise-dominated neutral band, or decline meaningfully over a short forward horizon is one of the canonical challenges in applied machine learning for finance. The problem is distinguished from most supervised classification tasks by the non-stationarity of the underlying data, the fat-tailed and regime-dependent nature of return distributions, and the fundamental sensitivity of labeling quality to the choice of threshold.</w:t>
      </w:r>
    </w:p>
    <w:p>
      <w:pPr>
        <w:spacing w:after="160" w:before="0" w:line="360" w:lineRule="auto"/>
        <w:ind w:left="720"/>
        <w:jc w:val="both"/>
      </w:pPr>
      <w:r>
        <w:rPr>
          <w:rFonts w:ascii="Times New Roman" w:cs="Times New Roman" w:eastAsia="Times New Roman" w:hAnsi="Times New Roman"/>
          <w:sz w:val="24"/>
          <w:szCs w:val="24"/>
        </w:rPr>
        <w:t xml:space="preserve">This project, Kairos — a term derived from the ancient Greek word for "the opportune moment" — presents a regime-aware three-class financial trend classification framework applied to the S&amp;P 500 index (^GSPC) using daily OHLC data spanning January 2013 to December 2023. The core objective is to determine whether a 1D-CNN combined with a Transformer self-attention block can produce meaningful, leak-free improvements over the CNNPred baseline when evaluated under strict walk-forward conditions using a volatility-aware labeling scheme. The project is framed explicitly as an empirical and methodological study, not a trading system or a claim of market predictability.</w:t>
      </w:r>
    </w:p>
    <w:p>
      <w:pPr>
        <w:spacing w:after="160" w:before="0" w:line="360" w:lineRule="auto"/>
        <w:ind w:left="720"/>
        <w:jc w:val="both"/>
      </w:pPr>
      <w:r>
        <w:rPr>
          <w:rFonts w:ascii="Times New Roman" w:cs="Times New Roman" w:eastAsia="Times New Roman" w:hAnsi="Times New Roman"/>
          <w:sz w:val="24"/>
          <w:szCs w:val="24"/>
        </w:rPr>
        <w:t xml:space="preserve">The task is formulated as a three-class sequence classification problem. Given a lookback window of 60 consecutive trading days of engineered, stationary financial features, the model must classify the 5-day ahead log-return as belonging to one of three classes: Up (class 2), Neutral (class 1), or Down (class 0). The Neutral class is not a fallback category; it is a principled representation of market indecision — days on which the 5-day forward return is indistinguishable from the volatility-scaled noise floor. The project is built around the view that treating such noise-dominated moves as directional signals — as binary labeling schemes do — is epistemically incorrect and produces artificially inflated performance numbers.</w:t>
      </w:r>
    </w:p>
    <w:p>
      <w:pPr>
        <w:spacing w:after="160" w:before="0" w:line="360" w:lineRule="auto"/>
        <w:ind w:left="720"/>
        <w:jc w:val="both"/>
      </w:pPr>
      <w:r>
        <w:rPr>
          <w:rFonts w:ascii="Times New Roman" w:cs="Times New Roman" w:eastAsia="Times New Roman" w:hAnsi="Times New Roman"/>
          <w:sz w:val="24"/>
          <w:szCs w:val="24"/>
        </w:rPr>
        <w:t xml:space="preserve">The full implementation is contained in the Kairos v5.2 Python notebook, executed on GPU-accelerated infrastructure via Google Colab. The codebase covers data download through feature engineering, labeling, walk-forward fold specification, model training, baseline comparison, regime evaluation, multi-seed robustness, ensemble diagnostics, and attention visualization. All experimental results reported in this document are derived from the reporting-freeze pass of that notebook, with no post-hoc tuning of any model or hyperparameter performed after the freeze was applied.</w:t>
      </w:r>
    </w:p>
    <w:p>
      <w:pPr>
        <w:spacing w:after="160" w:before="360" w:line="360" w:lineRule="auto"/>
      </w:pPr>
      <w:r>
        <w:rPr>
          <w:rFonts w:ascii="Times New Roman" w:cs="Times New Roman" w:eastAsia="Times New Roman" w:hAnsi="Times New Roman"/>
          <w:b/>
          <w:bCs/>
          <w:sz w:val="32"/>
          <w:szCs w:val="32"/>
        </w:rPr>
        <w:t xml:space="preserve">1.2  Problem Statement and Description</w:t>
      </w:r>
    </w:p>
    <w:p>
      <w:pPr>
        <w:spacing w:after="160" w:before="0" w:line="360" w:lineRule="auto"/>
        <w:ind w:left="720"/>
        <w:jc w:val="both"/>
      </w:pPr>
      <w:r>
        <w:rPr>
          <w:rFonts w:ascii="Times New Roman" w:cs="Times New Roman" w:eastAsia="Times New Roman" w:hAnsi="Times New Roman"/>
          <w:sz w:val="24"/>
          <w:szCs w:val="24"/>
        </w:rPr>
        <w:t xml:space="preserve">The problem addressed by this project can be stated precisely as follows: Given a sequence of stationary financial features derived exclusively from past price and volume data for the S&amp;P 500 index, can a CNN+attention architecture produce significantly better Macro F1 and MCC scores than the CNNPred baseline architecture, when both systems are trained and evaluated under a shared leak-free walk-forward protocol using volatility-scaled three-class labels?</w:t>
      </w:r>
    </w:p>
    <w:p>
      <w:pPr>
        <w:spacing w:after="160" w:before="0" w:line="360" w:lineRule="auto"/>
        <w:ind w:left="720"/>
        <w:jc w:val="both"/>
      </w:pPr>
      <w:r>
        <w:rPr>
          <w:rFonts w:ascii="Times New Roman" w:cs="Times New Roman" w:eastAsia="Times New Roman" w:hAnsi="Times New Roman"/>
          <w:sz w:val="24"/>
          <w:szCs w:val="24"/>
        </w:rPr>
        <w:t xml:space="preserve">This problem statement encodes three specific research challenges that existing work in financial time-series classification has not addressed simultaneously:</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Feature representation challenge: Most existing CNN-based approaches, including CNNPred [1], apply two-dimensional convolutions over a matrix formed by stacking feature channels and time-steps. This treats financial features as if they have spatial relationships analogous to pixels in an image. RSI and Volume, for instance, have no spatial proximity that a 2D kernel should exploit. The correct representation is a temporal 1D sequence over C feature channels, where convolution operates strictly along the time axis.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Labeling quality challenge: The binary label Close_{t+1} &gt; Close_t classifies a 0.01% intraday noise move identically to a 5% directional surge. The resulting labels are dominated by market microstructure noise rather than directional trends. A dynamic volatility barrier — where the threshold scales with realized volatility — filters out noise-level moves by assigning them the Neutral class, yielding labels that better reflect genuinely actionable price information.</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Validation integrity challenge: Static 60/20/20 train-validation-test splits allow future price information to implicitly contaminate normalization parameters and label thresholds. Walk-forward validation with per-fold normalization and per-fold lambda selection enforces strict temporal separation between training and testing populations.</w:t>
      </w:r>
    </w:p>
    <w:p>
      <w:pPr>
        <w:spacing w:after="160" w:before="0" w:line="360" w:lineRule="auto"/>
        <w:ind w:left="720"/>
        <w:jc w:val="both"/>
      </w:pPr>
      <w:r>
        <w:rPr>
          <w:rFonts w:ascii="Times New Roman" w:cs="Times New Roman" w:eastAsia="Times New Roman" w:hAnsi="Times New Roman"/>
          <w:sz w:val="24"/>
          <w:szCs w:val="24"/>
        </w:rPr>
        <w:t xml:space="preserve">The proposed system addresses all three challenges within a single integrated pipeline, enabling a direct and methodologically sound comparison against the CNNPred baseline under identical experimental conditions.</w:t>
      </w:r>
    </w:p>
    <w:p>
      <w:pPr>
        <w:spacing w:after="160" w:before="360" w:line="360" w:lineRule="auto"/>
      </w:pPr>
      <w:r>
        <w:rPr>
          <w:rFonts w:ascii="Times New Roman" w:cs="Times New Roman" w:eastAsia="Times New Roman" w:hAnsi="Times New Roman"/>
          <w:b/>
          <w:bCs/>
          <w:sz w:val="32"/>
          <w:szCs w:val="32"/>
        </w:rPr>
        <w:t xml:space="preserve">1.3  Motivation</w:t>
      </w:r>
    </w:p>
    <w:p>
      <w:pPr>
        <w:spacing w:after="160" w:before="0" w:line="360" w:lineRule="auto"/>
        <w:ind w:left="720"/>
        <w:jc w:val="both"/>
      </w:pPr>
      <w:r>
        <w:rPr>
          <w:rFonts w:ascii="Times New Roman" w:cs="Times New Roman" w:eastAsia="Times New Roman" w:hAnsi="Times New Roman"/>
          <w:sz w:val="24"/>
          <w:szCs w:val="24"/>
        </w:rPr>
        <w:t xml:space="preserve">The motivation for this work arises from two related observations. The first is that CNNPred [1], the primary baseline for CNN-based financial time-series classification, remains widely cited despite containing methodological choices that reduce its scientific validity — specifically its 2D convolution design, binary labeling, and static split. The second is that the subsequent deep learning literature in finance [2, 3, 5, 6] has not systematically evaluated whether adding Transformer-style self-attention to a 1D-CNN temporal encoder produces consistent, robustly measurable improvements under regime-aware evaluation conditions.</w:t>
      </w:r>
    </w:p>
    <w:p>
      <w:pPr>
        <w:spacing w:after="160" w:before="0" w:line="360" w:lineRule="auto"/>
        <w:ind w:left="720"/>
        <w:jc w:val="both"/>
      </w:pPr>
      <w:r>
        <w:rPr>
          <w:rFonts w:ascii="Times New Roman" w:cs="Times New Roman" w:eastAsia="Times New Roman" w:hAnsi="Times New Roman"/>
          <w:sz w:val="24"/>
          <w:szCs w:val="24"/>
        </w:rPr>
        <w:t xml:space="preserve">CNNPred reports mean F-measures of approximately 0.48–0.49 for S&amp;P 500 prediction under binary labeling [1]. However, these numbers are not directly comparable to any three-class result, and no multi-seed or walk-forward validation is reported. The multi-class, regime-aware, walk-forward experimental design adopted in this project is therefore both scientifically stricter and more informative about the model's real-world reliability than the original CNNPred evaluation.</w:t>
      </w:r>
    </w:p>
    <w:p>
      <w:pPr>
        <w:spacing w:after="160" w:before="0" w:line="360" w:lineRule="auto"/>
        <w:ind w:left="720"/>
        <w:jc w:val="both"/>
      </w:pPr>
      <w:r>
        <w:rPr>
          <w:rFonts w:ascii="Times New Roman" w:cs="Times New Roman" w:eastAsia="Times New Roman" w:hAnsi="Times New Roman"/>
          <w:sz w:val="24"/>
          <w:szCs w:val="24"/>
        </w:rPr>
        <w:t xml:space="preserve">From an architectural perspective, the Transformer self-attention mechanism [3], originally developed for natural language processing, provides a principled mechanism for a model to selectively weight distant historical time-steps relative to the current classification decision. In financial time-series, this capability has a natural interpretation: a model might learn that the volatility regime 20 trading days ago is more predictive of the next 5-day direction than the microstructure noise of yesterday. Whether this mechanism provides measurable value above a comparable CNN encoder without attention — as tested by the 1D-CNN (no attn) ablation — is one of the central empirical questions of this project.</w:t>
      </w:r>
    </w:p>
    <w:p>
      <w:pPr>
        <w:spacing w:after="160" w:before="0" w:line="360" w:lineRule="auto"/>
        <w:ind w:left="720"/>
        <w:jc w:val="both"/>
      </w:pPr>
      <w:r>
        <w:rPr>
          <w:rFonts w:ascii="Times New Roman" w:cs="Times New Roman" w:eastAsia="Times New Roman" w:hAnsi="Times New Roman"/>
          <w:sz w:val="24"/>
          <w:szCs w:val="24"/>
        </w:rPr>
        <w:t xml:space="preserve">The project also carries practical significance. Understanding the conditions under which deep temporal models provide reliable improvements over shallower baselines informs both research directions in financial ML and the practical design of monitoring systems for quantitative analysis tools. This motivation is consistent with UN Sustainable Development Goals targeting economic analysis capacity and industrial innovation.</w:t>
      </w:r>
    </w:p>
    <w:p>
      <w:pPr>
        <w:spacing w:after="160" w:before="360" w:line="360" w:lineRule="auto"/>
      </w:pPr>
      <w:r>
        <w:rPr>
          <w:rFonts w:ascii="Times New Roman" w:cs="Times New Roman" w:eastAsia="Times New Roman" w:hAnsi="Times New Roman"/>
          <w:b/>
          <w:bCs/>
          <w:sz w:val="32"/>
          <w:szCs w:val="32"/>
        </w:rPr>
        <w:t xml:space="preserve">1.4  Sustainable Development Goal of the Project</w:t>
      </w:r>
    </w:p>
    <w:p>
      <w:pPr>
        <w:spacing w:after="160" w:before="0" w:line="360" w:lineRule="auto"/>
        <w:ind w:left="720"/>
        <w:jc w:val="both"/>
      </w:pPr>
      <w:r>
        <w:rPr>
          <w:rFonts w:ascii="Times New Roman" w:cs="Times New Roman" w:eastAsia="Times New Roman" w:hAnsi="Times New Roman"/>
          <w:sz w:val="24"/>
          <w:szCs w:val="24"/>
        </w:rPr>
        <w:t xml:space="preserve">This project is aligned with two United Nations Sustainable Development Goals:</w:t>
      </w:r>
    </w:p>
    <w:p>
      <w:pPr>
        <w:spacing w:after="160" w:before="0" w:line="360" w:lineRule="auto"/>
        <w:ind w:left="720"/>
        <w:jc w:val="both"/>
      </w:pPr>
      <w:r>
        <w:rPr>
          <w:rFonts w:ascii="Times New Roman" w:cs="Times New Roman" w:eastAsia="Times New Roman" w:hAnsi="Times New Roman"/>
          <w:sz w:val="24"/>
          <w:szCs w:val="24"/>
        </w:rPr>
        <w:t xml:space="preserve">SDG 8 — Decent Work and Economic Growth: Target 8.10 calls for strengthened capacity of domestic financial institutions to encourage and expand access to banking, insurance and financial services for all. The development of rigorous, scientifically valid machine learning methods for equity index trend classification contributes to the broader evidence base for algorithmic financial analysis tools. Improved understanding of when and why deep temporal models work — or fail to work — in financial prediction is directly relevant to the design of analytical systems used in institutional financial decision-making.</w:t>
      </w:r>
    </w:p>
    <w:p>
      <w:pPr>
        <w:spacing w:after="160" w:before="0" w:line="360" w:lineRule="auto"/>
        <w:ind w:left="720"/>
        <w:jc w:val="both"/>
      </w:pPr>
      <w:r>
        <w:rPr>
          <w:rFonts w:ascii="Times New Roman" w:cs="Times New Roman" w:eastAsia="Times New Roman" w:hAnsi="Times New Roman"/>
          <w:sz w:val="24"/>
          <w:szCs w:val="24"/>
        </w:rPr>
        <w:t xml:space="preserve">SDG 9 — Industry, Innovation and Infrastructure: Target 9.5 calls for enhanced scientific research and upgrading of technological capabilities. This project represents an explicit scientific investigation of temporal deep learning architectures applied to financial data, with methodological contributions in labeling design (dynamic volatility barrier), validation (anchored walk-forward), and evaluation (multi-metric, multi-seed, regime-aware). The findings and methodology are designed to be reproducible and contribute to the growing scientific literature on robust evaluation standards in financial machine learning.</w:t>
      </w:r>
    </w:p>
    <w:p>
      <w:pPr>
        <w:pageBreakBefore/>
        <w:spacing w:after="480" w:before="0" w:line="360" w:lineRule="auto"/>
        <w:jc w:val="center"/>
      </w:pPr>
      <w:r>
        <w:rPr>
          <w:rFonts w:ascii="Times New Roman" w:cs="Times New Roman" w:eastAsia="Times New Roman" w:hAnsi="Times New Roman"/>
          <w:b/>
          <w:bCs/>
          <w:sz w:val="32"/>
          <w:szCs w:val="32"/>
        </w:rPr>
        <w:t xml:space="preserve">CHAPTER 2</w:t>
      </w:r>
      <w:r>
        <w:rPr>
          <w:rFonts w:ascii="Times New Roman" w:cs="Times New Roman" w:eastAsia="Times New Roman" w:hAnsi="Times New Roman"/>
          <w:b/>
          <w:bCs/>
          <w:sz w:val="32"/>
          <w:szCs w:val="32"/>
        </w:rPr>
        <w:t xml:space="preserve">
LITERATURE SURVEY</w:t>
      </w:r>
    </w:p>
    <w:p>
      <w:pPr>
        <w:spacing w:after="160" w:before="360" w:line="360" w:lineRule="auto"/>
      </w:pPr>
      <w:r>
        <w:rPr>
          <w:rFonts w:ascii="Times New Roman" w:cs="Times New Roman" w:eastAsia="Times New Roman" w:hAnsi="Times New Roman"/>
          <w:b/>
          <w:bCs/>
          <w:sz w:val="32"/>
          <w:szCs w:val="32"/>
        </w:rPr>
        <w:t xml:space="preserve">2.1  Overview of the Research Area</w:t>
      </w:r>
    </w:p>
    <w:p>
      <w:pPr>
        <w:spacing w:after="160" w:before="0" w:line="360" w:lineRule="auto"/>
        <w:ind w:left="720"/>
        <w:jc w:val="both"/>
      </w:pPr>
      <w:r>
        <w:rPr>
          <w:rFonts w:ascii="Times New Roman" w:cs="Times New Roman" w:eastAsia="Times New Roman" w:hAnsi="Times New Roman"/>
          <w:sz w:val="24"/>
          <w:szCs w:val="24"/>
        </w:rPr>
        <w:t xml:space="preserve">Financial time-series prediction has been a domain of sustained research interest across three broad methodological traditions. The statistical tradition, grounded in Fama's Efficient Market Hypothesis [7] and challenged empirically by Lo and MacKinlay [8], established the foundational tension between market predictability and market efficiency. ARIMA, GARCH, and their variants remain benchmark tools in this tradition but are inherently limited to linear relationships in stationary series.</w:t>
      </w:r>
    </w:p>
    <w:p>
      <w:pPr>
        <w:spacing w:after="160" w:before="0" w:line="360" w:lineRule="auto"/>
        <w:ind w:left="720"/>
        <w:jc w:val="both"/>
      </w:pPr>
      <w:r>
        <w:rPr>
          <w:rFonts w:ascii="Times New Roman" w:cs="Times New Roman" w:eastAsia="Times New Roman" w:hAnsi="Times New Roman"/>
          <w:sz w:val="24"/>
          <w:szCs w:val="24"/>
        </w:rPr>
        <w:t xml:space="preserve">The machine learning tradition introduced non-parametric approaches — including support vector machines [13] and gradient boosted trees [4] — that can capture non-linear interactions between technical features. XGBoost [4] in particular has achieved strong results in many financial classification tasks despite making no assumptions about sequential data structure. The limitation of this tradition is that it requires hand-engineered feature sequences and cannot learn to weight different historical lags dynamically.</w:t>
      </w:r>
    </w:p>
    <w:p>
      <w:pPr>
        <w:spacing w:after="160" w:before="0" w:line="360" w:lineRule="auto"/>
        <w:ind w:left="720"/>
        <w:jc w:val="both"/>
      </w:pPr>
      <w:r>
        <w:rPr>
          <w:rFonts w:ascii="Times New Roman" w:cs="Times New Roman" w:eastAsia="Times New Roman" w:hAnsi="Times New Roman"/>
          <w:sz w:val="24"/>
          <w:szCs w:val="24"/>
        </w:rPr>
        <w:t xml:space="preserve">The deep learning tradition has evolved from shallow feed-forward networks to LSTMs [2], CNNs [1], and more recently Transformer-based models [3, 6]. Each architectural advance brings increased representational power at the cost of training stability, hyperparameter sensitivity, and interpretability. The dominant evaluation frameworks in this tradition — primarily Bao et al. [10] and CNNPred [1] — remain widely cited but use problem formulations (binary labels, static splits) that have since been identified as methodologically limiting.</w:t>
      </w:r>
    </w:p>
    <w:p>
      <w:pPr>
        <w:spacing w:after="160" w:before="0" w:line="360" w:lineRule="auto"/>
        <w:ind w:left="720"/>
        <w:jc w:val="both"/>
      </w:pPr>
      <w:r>
        <w:rPr>
          <w:rFonts w:ascii="Times New Roman" w:cs="Times New Roman" w:eastAsia="Times New Roman" w:hAnsi="Times New Roman"/>
          <w:sz w:val="24"/>
          <w:szCs w:val="24"/>
        </w:rPr>
        <w:t xml:space="preserve">The intersection of these traditions defines the research area of this project: structured temporal deep learning for multi-class financial trend classification, with explicit attention to label quality, validation integrity, and evaluation robustness.</w:t>
      </w:r>
    </w:p>
    <w:p>
      <w:pPr>
        <w:spacing w:after="160" w:before="360" w:line="360" w:lineRule="auto"/>
      </w:pPr>
      <w:r>
        <w:rPr>
          <w:rFonts w:ascii="Times New Roman" w:cs="Times New Roman" w:eastAsia="Times New Roman" w:hAnsi="Times New Roman"/>
          <w:b/>
          <w:bCs/>
          <w:sz w:val="32"/>
          <w:szCs w:val="32"/>
        </w:rPr>
        <w:t xml:space="preserve">2.2  Existing Models and Frameworks</w:t>
      </w:r>
    </w:p>
    <w:p>
      <w:pPr>
        <w:spacing w:after="160" w:before="0" w:line="360" w:lineRule="auto"/>
        <w:ind w:left="720"/>
        <w:jc w:val="both"/>
      </w:pPr>
      <w:r>
        <w:rPr>
          <w:rFonts w:ascii="Times New Roman" w:cs="Times New Roman" w:eastAsia="Times New Roman" w:hAnsi="Times New Roman"/>
          <w:sz w:val="24"/>
          <w:szCs w:val="24"/>
        </w:rPr>
        <w:t xml:space="preserve">A systematic review of the existing literature identifies the following principal contributions relevant to this project:</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2.1: Summary of Existing Literature in Financial Time-Series Classification</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900"/>
        <w:gridCol w:w="2200"/>
        <w:gridCol w:w="2046"/>
      </w:tblGrid>
      <w:tr>
        <w:trPr>
          <w:tblHeader/>
        </w:trPr>
        <w:tc>
          <w:tcPr>
            <w:tcW w:type="dxa" w:w="14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Ref.</w:t>
            </w:r>
          </w:p>
        </w:tc>
        <w:tc>
          <w:tcPr>
            <w:tcW w:type="dxa" w:w="22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Method</w:t>
            </w:r>
          </w:p>
        </w:tc>
        <w:tc>
          <w:tcPr>
            <w:tcW w:type="dxa" w:w="19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Labeling</w:t>
            </w:r>
          </w:p>
        </w:tc>
        <w:tc>
          <w:tcPr>
            <w:tcW w:type="dxa" w:w="22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Validation</w:t>
            </w:r>
          </w:p>
        </w:tc>
        <w:tc>
          <w:tcPr>
            <w:tcW w:type="dxa" w:w="20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Key Limitation</w:t>
            </w:r>
          </w:p>
        </w:tc>
      </w:tr>
      <w:tr>
        <w:trPr>
          <w:tblHeader w:val="false"/>
        </w:trP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CNNPred
(2019)</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2D-CNN / 3D-CNN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 (up/down)</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Static 60/20/20 split</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2D convolution assumes spatial feature relationships; no regime analysis</w:t>
            </w:r>
          </w:p>
        </w:tc>
      </w:tr>
      <w:tr>
        <w:trPr>
          <w:tblHeader w:val="false"/>
        </w:trP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 LSTM
(1997)</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LSTM recurrent network</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Task-dependent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Task-dependent</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 temporal attention; gradient vanishing over long sequences</w:t>
            </w:r>
          </w:p>
        </w:tc>
      </w:tr>
      <w:tr>
        <w:trPr>
          <w:tblHeader w:val="false"/>
        </w:trP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 Transformer
(2017)</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Multi-head self-attention encoder-decoder</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NLP-focused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NLP benchmarks</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Designed for sequences of discrete tokens, not financial continuous features</w:t>
            </w:r>
          </w:p>
        </w:tc>
      </w:tr>
      <w:tr>
        <w:trPr>
          <w:tblHeader w:val="false"/>
        </w:trP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[6] Fischer &amp; Krauss
(2018)</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LSTM for next-day direction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 (up/down)</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Rolling 240-day window</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 labels; rolling (not anchored) validation; S&amp;P 500 constituents only</w:t>
            </w:r>
          </w:p>
        </w:tc>
      </w:tr>
      <w:tr>
        <w:trPr>
          <w:tblHeader w:val="false"/>
        </w:trP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[7] Nelson et al.
(2017)</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LSTM + technical indicators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Binary (next-day)</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Train/test split</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Fixed split; single threshold binary label; no volatility adjustment</w:t>
            </w:r>
          </w:p>
        </w:tc>
      </w:tr>
      <w:tr>
        <w:trPr>
          <w:tblHeader w:val="false"/>
        </w:trP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[10] Bao et al.
(2017)</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Stacked AE + LSTM</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Price level regression</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Train/test split</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Regression target; stationarity violations; no class-level evaluation</w:t>
            </w:r>
          </w:p>
        </w:tc>
      </w:tr>
      <w:tr>
        <w:trPr>
          <w:tblHeader w:val="false"/>
        </w:trP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[5] Sezer et al.
(2020)</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Survey (2005-2019)</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Varies</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Varies</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Survey: documents existing limitations across 140+ papers</w:t>
            </w:r>
          </w:p>
        </w:tc>
      </w:tr>
    </w:tbl>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The most directly relevant baseline for this project is CNNPred [1], a paper that applies two-dimensional CNN architectures over matrices formed from multiple financial time-series. The reported results demonstrate that convolutional architectures can outperform LSTM and other baselines on binary next-day direction prediction. However, the CNNPred paper contains three design choices that this project explicitly corrects: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2D convolution over a feature matrix forces the model to learn spatial correlations between features such as RSI and Volume that have no genuine spatial relationship. The resulting kernel weights mix temporal and cross-feature information in a way that cannot be disentangled or meaningfully interpreted.</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binary label (Close_{t+1} &gt; Close_t) does not account for the prevailing volatility context. A 0.01% movement on a low-volatility day and a 0.01% movement on a high-volatility day receive the same label despite carrying fundamentally different information content about directional strength.</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static 60/20/20 split means that the normalization statistics used in validation and testing are computed over a fixed population that does not change as time progresses. This violates the temporal integrity required for evaluating financial models and introduces implicit lookahead bias in normalization parameters.</w:t>
      </w:r>
    </w:p>
    <w:p>
      <w:pPr>
        <w:spacing w:after="160" w:before="0" w:line="360" w:lineRule="auto"/>
        <w:ind w:left="720"/>
        <w:jc w:val="both"/>
      </w:pPr>
      <w:r>
        <w:rPr>
          <w:rFonts w:ascii="Times New Roman" w:cs="Times New Roman" w:eastAsia="Times New Roman" w:hAnsi="Times New Roman"/>
          <w:sz w:val="24"/>
          <w:szCs w:val="24"/>
        </w:rPr>
        <w:t xml:space="preserve">The Transformer architecture [3] introduced scaled dot-product attention and multi-head self-attention, mechanisms that have been adopted extensively in natural language processing and subsequently adapted for sequential data in other domains. Fischer and Krauss [6] applied LSTM networks to S&amp;P 500 constituent data and found consistent outperformance over random walk benchmarks under rolling validation. Nelson et al. [7] demonstrated that LSTM networks trained on technical indicator sequences can capture directional momentum patterns. XGBoost [4], as a gradient-boosted ensemble method, is included as the primary non-temporal classical ML baseline, as its strong performance on tabular data makes it the most challenging non-deep learning comparison system in this domain [5].</w:t>
      </w:r>
    </w:p>
    <w:p>
      <w:pPr>
        <w:spacing w:after="160" w:before="360" w:line="360" w:lineRule="auto"/>
      </w:pPr>
      <w:r>
        <w:rPr>
          <w:rFonts w:ascii="Times New Roman" w:cs="Times New Roman" w:eastAsia="Times New Roman" w:hAnsi="Times New Roman"/>
          <w:b/>
          <w:bCs/>
          <w:sz w:val="32"/>
          <w:szCs w:val="32"/>
        </w:rPr>
        <w:t xml:space="preserve">2.3  Limitations Identified from Literature Survey (Research Gaps)</w:t>
      </w:r>
    </w:p>
    <w:p>
      <w:pPr>
        <w:spacing w:after="160" w:before="0" w:line="360" w:lineRule="auto"/>
        <w:ind w:left="720"/>
        <w:jc w:val="both"/>
      </w:pPr>
      <w:r>
        <w:rPr>
          <w:rFonts w:ascii="Times New Roman" w:cs="Times New Roman" w:eastAsia="Times New Roman" w:hAnsi="Times New Roman"/>
          <w:sz w:val="24"/>
          <w:szCs w:val="24"/>
        </w:rPr>
        <w:t xml:space="preserve">The review of existing literature identifies five specific research gaps that collectively motivate the design of the Kairos framework:</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Absence of principled three-class labeling. No prior study in the financial CNN literature uses a dynamically scaled volatility barrier to define the Neutral class. The binary label remains dominant despite the well-understood problem that it conflates noise-level moves with directional trends.</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Lack of walk-forward validation with per-fold label selection. The common practice of static splits — or even rolling windows — does not fully enforce the temporal integrity requirement. Specifically, label thresholds (lambda) are typically fixed globally rather than selected separately from each fold's training window, introducing indirect lookahead bias.</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Inadequate multi-metric evaluation. Most studies report accuracy or a single F-measure. MCC, which provides a balanced scalar summary of classification performance across all cells of the confusion matrix under class imbalance, is rarely used as a primary metric in financial ML.</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No multi-seed robustness analysis. Single-seed training results for neural networks are highly sensitive to initialization. The absence of multi-seed evaluation in CNNPred and most related work means that reported results may not reflect the expected performance distribution of the architecture.</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Absence of ablation between CNN and CNN+attention. While both CNN [1] and Transformer [3] architectures are studied independently in financial prediction, a controlled ablation that isolates the specific contribution of the attention module — keeping the temporal convolutional encoder identical — is not present in the existing literature for S&amp;P 500 trend classification.</w:t>
      </w:r>
    </w:p>
    <w:p>
      <w:pPr>
        <w:spacing w:after="160" w:before="360" w:line="360" w:lineRule="auto"/>
      </w:pPr>
      <w:r>
        <w:rPr>
          <w:rFonts w:ascii="Times New Roman" w:cs="Times New Roman" w:eastAsia="Times New Roman" w:hAnsi="Times New Roman"/>
          <w:b/>
          <w:bCs/>
          <w:sz w:val="32"/>
          <w:szCs w:val="32"/>
        </w:rPr>
        <w:t xml:space="preserve">2.4  Research Objectives</w:t>
      </w:r>
    </w:p>
    <w:p>
      <w:pPr>
        <w:spacing w:after="160" w:before="0" w:line="360" w:lineRule="auto"/>
        <w:ind w:left="720"/>
        <w:jc w:val="both"/>
      </w:pPr>
      <w:r>
        <w:rPr>
          <w:rFonts w:ascii="Times New Roman" w:cs="Times New Roman" w:eastAsia="Times New Roman" w:hAnsi="Times New Roman"/>
          <w:sz w:val="24"/>
          <w:szCs w:val="24"/>
        </w:rPr>
        <w:t xml:space="preserve">Based on the identified research gaps, this project defines the following primary research objectives:</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2.2: Research Objectives and Corresponding Deliverables</w:t>
      </w:r>
    </w:p>
    <w:tbl>
      <w:tblPr>
        <w:tblW w:type="dxa" w:w="9646"/>
        <w:jc w:val="center"/>
        <w:tblBorders>
          <w:top w:val="single" w:color="auto" w:sz="4"/>
          <w:left w:val="single" w:color="auto" w:sz="4"/>
          <w:bottom w:val="single" w:color="auto" w:sz="4"/>
          <w:right w:val="single" w:color="auto" w:sz="4"/>
          <w:insideH w:val="single" w:color="auto" w:sz="4"/>
          <w:insideV w:val="single" w:color="auto" w:sz="4"/>
        </w:tblBorders>
      </w:tblPr>
      <w:tblGrid>
        <w:gridCol w:w="300"/>
        <w:gridCol w:w="3100"/>
        <w:gridCol w:w="3200"/>
        <w:gridCol w:w="3046"/>
      </w:tblGrid>
      <w:tr>
        <w:trPr>
          <w:tblHeader/>
        </w:trPr>
        <w:tc>
          <w:tcPr>
            <w:tcW w:type="dxa" w:w="3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No.</w:t>
            </w:r>
          </w:p>
        </w:tc>
        <w:tc>
          <w:tcPr>
            <w:tcW w:type="dxa" w:w="31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Objective</w:t>
            </w:r>
          </w:p>
        </w:tc>
        <w:tc>
          <w:tcPr>
            <w:tcW w:type="dxa" w:w="32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Deliverable</w:t>
            </w:r>
          </w:p>
        </w:tc>
        <w:tc>
          <w:tcPr>
            <w:tcW w:type="dxa" w:w="30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Success Criterion</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O1</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Design a leak-free, regime-aware three-class labeling scheme using a dynamic volatility barrier with fold-local lambda selection</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generate_labels() and select_lambda_for_fold() functions integrated into the walk-forward pipeline</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 forward-looking information used in label generation; lambda selected independently per fold</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O2</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Build an anchored walk-forward validation pipeline with per-fold normalization</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materialize_fold_dataset() function producing clean train/test splits for each of 3 folds</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Normalization parameters fit exclusively on training data and applied to test data without refitting</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O3</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Implement the proposed CNN+Attention model using 1D temporal convolutions and a Transformer encoder</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ProposedModel class (PyTorch) with stem, convolutional encoder, positional encoding, and Transformer block</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Model trains stably across all three folds with early stopping on validation Macro F1</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O4</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Implement all five mandatory baselines and the CNNPred-2D paper baseline under identical conditions</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CNNPred2DBaseline, CNNBaseline, LSTMBaseline, XGBClassifier, DummyClassifier classes</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All models trained under the same walk-forward folds, feature group, and reporting conditions</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O5</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Evaluate all models on Macro F1, MCC, Down recall, and confusion matrices with five-seed robustness analysis</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Comprehensive result tables, visualization plots, and ensemble diagnostics in the frozen reporting pass</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Proposed model outperforms CNNPred-2D on both primary metrics in both single-run and multi-seed evaluation</w:t>
            </w:r>
          </w:p>
        </w:tc>
      </w:tr>
    </w:tbl>
    <w:p>
      <w:pPr>
        <w:spacing w:after="160" w:before="360" w:line="360" w:lineRule="auto"/>
      </w:pPr>
      <w:r>
        <w:rPr>
          <w:rFonts w:ascii="Times New Roman" w:cs="Times New Roman" w:eastAsia="Times New Roman" w:hAnsi="Times New Roman"/>
          <w:b/>
          <w:bCs/>
          <w:sz w:val="32"/>
          <w:szCs w:val="32"/>
        </w:rPr>
        <w:t xml:space="preserve">2.5  Research Milestones and Planned Deliverables</w:t>
      </w:r>
    </w:p>
    <w:p>
      <w:pPr>
        <w:spacing w:after="160" w:before="0" w:line="360" w:lineRule="auto"/>
        <w:ind w:left="720"/>
        <w:jc w:val="both"/>
      </w:pPr>
      <w:r>
        <w:rPr>
          <w:rFonts w:ascii="Times New Roman" w:cs="Times New Roman" w:eastAsia="Times New Roman" w:hAnsi="Times New Roman"/>
          <w:sz w:val="24"/>
          <w:szCs w:val="24"/>
        </w:rPr>
        <w:t xml:space="preserve">The project was organized around the following research milestones, structured to align with the two-sprint execution plan described in Chapter 3:</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2.3: Research Milestones and Planned Deliverables</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2300"/>
        <w:gridCol w:w="2246"/>
        <w:gridCol w:w="2100"/>
      </w:tblGrid>
      <w:tr>
        <w:trPr>
          <w:tblHeader/>
        </w:trPr>
        <w:tc>
          <w:tcPr>
            <w:tcW w:type="dxa" w:w="3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MS.</w:t>
            </w:r>
          </w:p>
        </w:tc>
        <w:tc>
          <w:tcPr>
            <w:tcW w:type="dxa" w:w="28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Milestone Title</w:t>
            </w:r>
          </w:p>
        </w:tc>
        <w:tc>
          <w:tcPr>
            <w:tcW w:type="dxa" w:w="23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Sprint</w:t>
            </w:r>
          </w:p>
        </w:tc>
        <w:tc>
          <w:tcPr>
            <w:tcW w:type="dxa" w:w="22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Deliverable</w:t>
            </w:r>
          </w:p>
        </w:tc>
        <w:tc>
          <w:tcPr>
            <w:tcW w:type="dxa" w:w="21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Acceptance Criterion</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MS-1</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Data acquisition and feature engineering</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Sprint I</w:t>
            </w:r>
          </w:p>
        </w:tc>
        <w:tc>
          <w:tcPr>
            <w:tcW w:type="dxa" w:w="22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Feature matrix with 7 stationary features; data from 2013–2023</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 raw price inputs; all features stationary; no NaN in cleaned dataset</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MS-2</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Dynamic volatility barrier labeling</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Sprint I</w:t>
            </w:r>
          </w:p>
        </w:tc>
        <w:tc>
          <w:tcPr>
            <w:tcW w:type="dxa" w:w="22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generate_labels() and class balance reports per fold</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Labels derived using training-window volatility only; lambda grid search documented</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MS-3</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Walk-forward fold specification</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Sprint I</w:t>
            </w:r>
          </w:p>
        </w:tc>
        <w:tc>
          <w:tcPr>
            <w:tcW w:type="dxa" w:w="22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Three fold specifications with dates, train/test sizes, and lambda values</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 data from test window used in normalization or label fitting; alignment verified</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MS-4</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Proposed model implementation and training</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Sprint II</w:t>
            </w:r>
          </w:p>
        </w:tc>
        <w:tc>
          <w:tcPr>
            <w:tcW w:type="dxa" w:w="22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ProposedModel class; training loop with early stopping; saved best weights</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Model trains to convergence; validation Macro F1 improves over dummy</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MS-5</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Baseline model implementation</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Sprint II</w:t>
            </w:r>
          </w:p>
        </w:tc>
        <w:tc>
          <w:tcPr>
            <w:tcW w:type="dxa" w:w="22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All 5 baselines fully implemented and trained</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All baselines trained under identical conditions; CNNPred-2D included</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MS-6</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Evaluation and reporting</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Sprint II</w:t>
            </w:r>
          </w:p>
        </w:tc>
        <w:tc>
          <w:tcPr>
            <w:tcW w:type="dxa" w:w="22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Complete result tables, confusion matrices, seed robustness, attention plots</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Proposed model outperforms CNNPred-2D; results reproducible under 5 seeds</w:t>
            </w:r>
          </w:p>
        </w:tc>
      </w:tr>
    </w:tbl>
    <w:p>
      <w:pPr>
        <w:spacing w:after="160" w:before="360" w:line="360" w:lineRule="auto"/>
      </w:pPr>
      <w:r>
        <w:rPr>
          <w:rFonts w:ascii="Times New Roman" w:cs="Times New Roman" w:eastAsia="Times New Roman" w:hAnsi="Times New Roman"/>
          <w:b/>
          <w:bCs/>
          <w:sz w:val="32"/>
          <w:szCs w:val="32"/>
        </w:rPr>
        <w:t xml:space="preserve">2.6  Plan of Action (Project Road Map)</w:t>
      </w:r>
    </w:p>
    <w:p>
      <w:pPr>
        <w:spacing w:after="160" w:before="0" w:line="360" w:lineRule="auto"/>
        <w:ind w:left="720"/>
        <w:jc w:val="both"/>
      </w:pPr>
      <w:r>
        <w:rPr>
          <w:rFonts w:ascii="Times New Roman" w:cs="Times New Roman" w:eastAsia="Times New Roman" w:hAnsi="Times New Roman"/>
          <w:sz w:val="24"/>
          <w:szCs w:val="24"/>
        </w:rPr>
        <w:t xml:space="preserve">The project was executed in two sprints over the academic project period, with each sprint concluding in a review and retrospective. The roadmap below describes the planned sequence of activities:</w:t>
      </w:r>
    </w:p>
    <w:p>
      <w:pPr>
        <w:spacing w:after="160" w:before="0" w:line="360" w:lineRule="auto"/>
        <w:ind w:left="720"/>
        <w:jc w:val="both"/>
      </w:pPr>
      <w:r>
        <w:rPr>
          <w:rFonts w:ascii="Times New Roman" w:cs="Times New Roman" w:eastAsia="Times New Roman" w:hAnsi="Times New Roman"/>
          <w:sz w:val="24"/>
          <w:szCs w:val="24"/>
        </w:rPr>
        <w:t xml:space="preserve">Phase 1 — Sprint I (Weeks 1–6): The first phase focused entirely on the data pipeline, labeling infrastructure, and walk-forward validation design. This included sourcing S&amp;P 500 historical data from Yahoo Finance using the yfinance Python library, engineering all seven stationary features, implementing the dynamic volatility barrier labeling with fold-local lambda grid search, defining the three anchored walk-forward fold specifications, and verifying that no data leakage existed in the pipeline through explicit alignment audits.</w:t>
      </w:r>
    </w:p>
    <w:p>
      <w:pPr>
        <w:spacing w:after="160" w:before="0" w:line="360" w:lineRule="auto"/>
        <w:ind w:left="720"/>
        <w:jc w:val="both"/>
      </w:pPr>
      <w:r>
        <w:rPr>
          <w:rFonts w:ascii="Times New Roman" w:cs="Times New Roman" w:eastAsia="Times New Roman" w:hAnsi="Times New Roman"/>
          <w:sz w:val="24"/>
          <w:szCs w:val="24"/>
        </w:rPr>
        <w:t xml:space="preserve">Phase 2 — Sprint II (Weeks 7–14): The second phase focused on model implementation, training, and reporting. All model architectures were implemented in PyTorch. The training loop was designed with early stopping on validation Macro F1, AdamW optimization with ReduceLROnPlateau scheduling, weighted cross-entropy loss calibrated to class frequencies, and gradient norm clipping. After all models were trained across all three folds, the notebook was placed in a reporting freeze. Multi-seed robustness analysis (five seeds), ensemble diagnostics, per-class metrics, and attention visualization were added to the reporting pass without modifying any training or evaluation logic.</w:t>
      </w:r>
    </w:p>
    <w:p>
      <w:pPr>
        <w:spacing w:after="160" w:before="0" w:line="360" w:lineRule="auto"/>
        <w:ind w:left="720"/>
        <w:jc w:val="both"/>
      </w:pPr>
      <w:r>
        <w:rPr>
          <w:rFonts w:ascii="Times New Roman" w:cs="Times New Roman" w:eastAsia="Times New Roman" w:hAnsi="Times New Roman"/>
          <w:sz w:val="24"/>
          <w:szCs w:val="24"/>
        </w:rPr>
        <w:t xml:space="preserve">Phase 3 — Reporting Freeze and Documentation (Weeks 15–16): The final phase consolidated results, fixed the chapter numbering, documented all methodological decisions, and produced this report. The reporting freeze explicitly prohibited any further hyperparameter changes, architecture modifications, or additional training after the primary results were recorded.</w:t>
      </w:r>
    </w:p>
    <w:p>
      <w:pPr>
        <w:spacing w:after="160" w:before="0" w:line="360" w:lineRule="auto"/>
        <w:ind w:left="720"/>
        <w:jc w:val="both"/>
      </w:pPr>
      <w:r>
        <w:rPr>
          <w:rFonts w:ascii="Times New Roman" w:cs="Times New Roman" w:eastAsia="Times New Roman" w:hAnsi="Times New Roman"/>
          <w:sz w:val="24"/>
          <w:szCs w:val="24"/>
        </w:rPr>
        <w:t xml:space="preserve">A critical mid-project decision in the roadmap was the addition of the CNNPred-2D paper baseline. The original plan included a 1D-CNN (no attn) as the closest CNN comparison, but it was identified during Phase 2 review that the original CNNPred architecture — which uses 2D convolution — had not been directly implemented. This was remedied in the v5.2 notebook branch by adding the CNNPred2DBaseline class adapted to the single-market setup. All other experimental conditions remained identical.</w:t>
      </w:r>
    </w:p>
    <w:p>
      <w:pPr>
        <w:pageBreakBefore/>
        <w:spacing w:after="480" w:before="0" w:line="360" w:lineRule="auto"/>
        <w:jc w:val="center"/>
      </w:pPr>
      <w:r>
        <w:rPr>
          <w:rFonts w:ascii="Times New Roman" w:cs="Times New Roman" w:eastAsia="Times New Roman" w:hAnsi="Times New Roman"/>
          <w:b/>
          <w:bCs/>
          <w:sz w:val="32"/>
          <w:szCs w:val="32"/>
        </w:rPr>
        <w:t xml:space="preserve">CHAPTER 3</w:t>
      </w:r>
      <w:r>
        <w:rPr>
          <w:rFonts w:ascii="Times New Roman" w:cs="Times New Roman" w:eastAsia="Times New Roman" w:hAnsi="Times New Roman"/>
          <w:b/>
          <w:bCs/>
          <w:sz w:val="32"/>
          <w:szCs w:val="32"/>
        </w:rPr>
        <w:t xml:space="preserve">
SPRINT PLANNING AND EXECUTION METHODOLOGY</w:t>
      </w:r>
    </w:p>
    <w:p>
      <w:pPr>
        <w:spacing w:after="160" w:before="360" w:line="360" w:lineRule="auto"/>
      </w:pPr>
      <w:r>
        <w:rPr>
          <w:rFonts w:ascii="Times New Roman" w:cs="Times New Roman" w:eastAsia="Times New Roman" w:hAnsi="Times New Roman"/>
          <w:b/>
          <w:bCs/>
          <w:sz w:val="32"/>
          <w:szCs w:val="32"/>
        </w:rPr>
        <w:t xml:space="preserve">3.1  Sprint I: Data Engineering, Labeling Framework and Walk-Forward Pipeline Design</w:t>
      </w:r>
    </w:p>
    <w:p>
      <w:pPr>
        <w:spacing w:after="160" w:before="0" w:line="360" w:lineRule="auto"/>
        <w:ind w:left="720"/>
        <w:jc w:val="both"/>
      </w:pPr>
      <w:r>
        <w:rPr>
          <w:rFonts w:ascii="Times New Roman" w:cs="Times New Roman" w:eastAsia="Times New Roman" w:hAnsi="Times New Roman"/>
          <w:sz w:val="24"/>
          <w:szCs w:val="24"/>
        </w:rPr>
        <w:t xml:space="preserve">Sprint I covered the complete data infrastructure of the project: sourcing raw price data, engineering stationary features, designing the dynamic volatility barrier labeling scheme, implementing the walk-forward fold specification, and validating the pipeline for data leakage. The sprint concluded with three fully materialized walk-forward fold datasets, each containing normalized training and test sequences with confirmed alignment between feature windows and target labels.</w:t>
      </w:r>
    </w:p>
    <w:p>
      <w:pPr>
        <w:spacing w:after="160" w:before="0" w:line="360" w:lineRule="auto"/>
        <w:ind w:left="720"/>
        <w:jc w:val="both"/>
      </w:pPr>
      <w:r>
        <w:rPr>
          <w:rFonts w:ascii="Times New Roman" w:cs="Times New Roman" w:eastAsia="Times New Roman" w:hAnsi="Times New Roman"/>
          <w:sz w:val="24"/>
          <w:szCs w:val="24"/>
        </w:rPr>
        <w:t xml:space="preserve">The scope of Sprint I was deliberately narrow: no model architecture was designed or implemented during this sprint. The principle guiding this decision was that a methodologically correct data pipeline is the prerequisite for any meaningful model comparison. An incorrect pipeline — such as one with lookahead bias in normalization or global rather than per-fold lambda selection — renders all downstream model comparisons invalid regardless of architectural sophistication.</w:t>
      </w:r>
    </w:p>
    <w:p>
      <w:pPr>
        <w:spacing w:after="120" w:before="200" w:line="360" w:lineRule="auto"/>
      </w:pPr>
      <w:r>
        <w:rPr>
          <w:rFonts w:ascii="Times New Roman" w:cs="Times New Roman" w:eastAsia="Times New Roman" w:hAnsi="Times New Roman"/>
          <w:b/>
          <w:bCs/>
          <w:sz w:val="24"/>
          <w:szCs w:val="24"/>
        </w:rPr>
        <w:t xml:space="preserve">3.1.1  OBJECTIVES WITH RESEARCH MILESTONES OF SPRINT I</w:t>
      </w:r>
    </w:p>
    <w:p>
      <w:pPr>
        <w:spacing w:after="160" w:before="0" w:line="360" w:lineRule="auto"/>
        <w:ind w:left="720"/>
        <w:jc w:val="both"/>
      </w:pPr>
      <w:r>
        <w:rPr>
          <w:rFonts w:ascii="Times New Roman" w:cs="Times New Roman" w:eastAsia="Times New Roman" w:hAnsi="Times New Roman"/>
          <w:sz w:val="24"/>
          <w:szCs w:val="24"/>
        </w:rPr>
        <w:t xml:space="preserve">The following research milestones were defined for Sprint I, each with explicit acceptance criteria:</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3.1: Sprint I Research Milestones and Acceptance Criteria</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3600"/>
        <w:gridCol w:w="3046"/>
      </w:tblGrid>
      <w:tr>
        <w:trPr>
          <w:tblHeader/>
        </w:trPr>
        <w:tc>
          <w:tcPr>
            <w:tcW w:type="dxa" w:w="3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MS.</w:t>
            </w:r>
          </w:p>
        </w:tc>
        <w:tc>
          <w:tcPr>
            <w:tcW w:type="dxa" w:w="28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Milestone</w:t>
            </w:r>
          </w:p>
        </w:tc>
        <w:tc>
          <w:tcPr>
            <w:tcW w:type="dxa" w:w="36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Description</w:t>
            </w:r>
          </w:p>
        </w:tc>
        <w:tc>
          <w:tcPr>
            <w:tcW w:type="dxa" w:w="30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Acceptance Criterion</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MS-1</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Data acquisition and preprocessing</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Download S&amp;P 500 OHLC daily data from Yahoo Finance for 2012-01-01 to 2023-12-31 (2012 start for EMA warmup). Clean NaN values. Align VIX series to S&amp;P 500 index.</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Raw DataFrame with no NaN values. Date range confirmed. MultiIndex columns handled.</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MS-2</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Feature engineering</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Compute 7 stationary features from OHLC: 4 OHLC log-returns, 20-day rolling realized volatility, RSI-14 (normalized 0-1), MACD signal normalized by price. Slice to 2013-01-01 after warmup.</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All features stationary (no raw prices). Feature shape confirmed at ~2,700 rows × 7 columns.</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MS-3</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Labeling scheme design</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Implement generate_labels() using dynamic volatility barrier: future_ret = log(Close_{t+k}/Close_t), epsilon_t = lambda × sigma(t-30, t). Implement select_lambda_for_fold() using grid search over {0.50, 0.75, 1.00, 1.25, 1.50}.</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Lambda selection uses training data only. Class distributions reported per fold. Balance score minimized.</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MS-4</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Sequence construction</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Implement build_sequences() to construct input tensors of shape (N, C, T) where C=7, T=60. Sequences anchored at label day t, with input window [t-60+1, t].</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Label at index t corresponds to feature window ending at t. No label from future data.</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MS-5</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Walk-forward fold specification</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Implement make_fold_specs() to define 3 anchored folds. Each fold: train from day 0 to fold boundary; test = next 12% of total samples. Per-fold normalization.</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Normalization fit on training split only. Test data never used in fitting. Alignment verified via inspect_alignment().</w:t>
            </w:r>
          </w:p>
        </w:tc>
      </w:tr>
    </w:tbl>
    <w:p>
      <w:pPr>
        <w:spacing w:after="120" w:before="200" w:line="360" w:lineRule="auto"/>
      </w:pPr>
      <w:r>
        <w:rPr>
          <w:rFonts w:ascii="Times New Roman" w:cs="Times New Roman" w:eastAsia="Times New Roman" w:hAnsi="Times New Roman"/>
          <w:b/>
          <w:bCs/>
          <w:sz w:val="24"/>
          <w:szCs w:val="24"/>
        </w:rPr>
        <w:t xml:space="preserve">3.1.2  FUNCTIONAL DOCUMENT</w:t>
      </w:r>
    </w:p>
    <w:p>
      <w:pPr>
        <w:spacing w:after="160" w:before="0" w:line="360" w:lineRule="auto"/>
        <w:ind w:left="720"/>
        <w:jc w:val="both"/>
      </w:pPr>
      <w:r>
        <w:rPr>
          <w:rFonts w:ascii="Times New Roman" w:cs="Times New Roman" w:eastAsia="Times New Roman" w:hAnsi="Times New Roman"/>
          <w:sz w:val="24"/>
          <w:szCs w:val="24"/>
        </w:rPr>
        <w:t xml:space="preserve">The data pipeline implemented in Sprint I consists of five functional modules, described below:</w:t>
      </w:r>
    </w:p>
    <w:p>
      <w:pPr>
        <w:spacing w:after="160" w:before="0" w:line="360" w:lineRule="auto"/>
        <w:ind w:left="720"/>
        <w:jc w:val="both"/>
      </w:pPr>
      <w:r>
        <w:rPr>
          <w:rFonts w:ascii="Times New Roman" w:cs="Times New Roman" w:eastAsia="Times New Roman" w:hAnsi="Times New Roman"/>
          <w:sz w:val="24"/>
          <w:szCs w:val="24"/>
        </w:rPr>
        <w:t xml:space="preserve">Module 1 — Data Acquisition: The yfinance Python library is used to download adjusted daily OHLC and volume data for the S&amp;P 500 index (^GSPC) from 2012-01-01 to 2023-12-31. The 2012 start date provides one year of warmup data for EMA-200 computation. The CBOE Volatility Index (VIX, ticker ^VIX) is also downloaded for the same period and aligned to the S&amp;P 500 trading calendar using forward-fill. The actual analysis period begins from 2013-01-01 after the warmup window is discarded. The resulting dataset covers approximately 2,762 trading days in the analysis period.</w:t>
      </w:r>
    </w:p>
    <w:p>
      <w:pPr>
        <w:spacing w:after="160" w:before="0" w:line="360" w:lineRule="auto"/>
        <w:ind w:left="720"/>
        <w:jc w:val="both"/>
      </w:pPr>
      <w:r>
        <w:rPr>
          <w:rFonts w:ascii="Times New Roman" w:cs="Times New Roman" w:eastAsia="Times New Roman" w:hAnsi="Times New Roman"/>
          <w:sz w:val="24"/>
          <w:szCs w:val="24"/>
        </w:rPr>
        <w:t xml:space="preserve">Module 2 — Feature Engineering: Seven stationary features are engineered from the raw OHLC data. The feature set is designated "Base price+tech (7)" following a feature-group ablation study (conducted as part of Sprint II) that identified this group as optimal for the proposed model. All four OHLC prices are converted to log-returns (log(P_t / P_{t-1})), making them stationary by construction. The 20-day rolling realized volatility is computed as the rolling standard deviation of daily log-returns over a trailing 20-day window. RSI-14 is computed using the exponentially weighted moving average (EWMA) formulation and normalized to the [0, 1] range. The MACD signal is computed as the difference between the 12-day and 26-day EMA of close prices, divided by the current close price to achieve stationarity. Raw prices are never used anywhere in the pipeline.</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3.2: Feature Set Specification – Base price+tech (7)</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4046"/>
      </w:tblGrid>
      <w:tr>
        <w:trPr>
          <w:tblHeader/>
        </w:trPr>
        <w:tc>
          <w:tcPr>
            <w:tcW w:type="dxa" w:w="5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Index</w:t>
            </w:r>
          </w:p>
        </w:tc>
        <w:tc>
          <w:tcPr>
            <w:tcW w:type="dxa" w:w="20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Feature Name</w:t>
            </w:r>
          </w:p>
        </w:tc>
        <w:tc>
          <w:tcPr>
            <w:tcW w:type="dxa" w:w="32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Formula</w:t>
            </w:r>
          </w:p>
        </w:tc>
        <w:tc>
          <w:tcPr>
            <w:tcW w:type="dxa" w:w="40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Rationale</w:t>
            </w:r>
          </w:p>
        </w:tc>
      </w:tr>
      <w:tr>
        <w:trPr>
          <w:tblHeader w:val="false"/>
        </w:trP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log_ret_close</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log(Close_t / Close_{t-1})</w:t>
            </w:r>
          </w:p>
        </w:tc>
        <w:tc>
          <w:tcPr>
            <w:tcW w:type="dxa" w:w="4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Daily close-to-close log-return; primary price trend signal</w:t>
            </w:r>
          </w:p>
        </w:tc>
      </w:tr>
      <w:tr>
        <w:trPr>
          <w:tblHeader w:val="false"/>
        </w:trP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log_ret_open</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log(Open_t / Open_{t-1})</w:t>
            </w:r>
          </w:p>
        </w:tc>
        <w:tc>
          <w:tcPr>
            <w:tcW w:type="dxa" w:w="4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Open-price momentum; captures overnight gap dynamics</w:t>
            </w:r>
          </w:p>
        </w:tc>
      </w:tr>
      <w:tr>
        <w:trPr>
          <w:tblHeader w:val="false"/>
        </w:trP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log_ret_high</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log(High_t / High_{t-1})</w:t>
            </w:r>
          </w:p>
        </w:tc>
        <w:tc>
          <w:tcPr>
            <w:tcW w:type="dxa" w:w="4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Intraday high-price signal; regime strength indicator</w:t>
            </w:r>
          </w:p>
        </w:tc>
      </w:tr>
      <w:tr>
        <w:trPr>
          <w:tblHeader w:val="false"/>
        </w:trP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log_ret_low</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log(Low_t / Low_{t-1})</w:t>
            </w:r>
          </w:p>
        </w:tc>
        <w:tc>
          <w:tcPr>
            <w:tcW w:type="dxa" w:w="4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Intraday low-price signal; downside volatility capture</w:t>
            </w:r>
          </w:p>
        </w:tc>
      </w:tr>
      <w:tr>
        <w:trPr>
          <w:tblHeader w:val="false"/>
        </w:trP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rolling_vol_20</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std(log_ret_close, 20 days)</w:t>
            </w:r>
          </w:p>
        </w:tc>
        <w:tc>
          <w:tcPr>
            <w:tcW w:type="dxa" w:w="4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20-day realized volatility; used in labeling and regime detection</w:t>
            </w:r>
          </w:p>
        </w:tc>
      </w:tr>
      <w:tr>
        <w:trPr>
          <w:tblHeader w:val="false"/>
        </w:trP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F6</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rsi_14</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EWMA RSI, normalized to [0, 1]</w:t>
            </w:r>
          </w:p>
        </w:tc>
        <w:tc>
          <w:tcPr>
            <w:tcW w:type="dxa" w:w="4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Momentum oscillator; overbought/oversold regime signal</w:t>
            </w:r>
          </w:p>
        </w:tc>
      </w:tr>
      <w:tr>
        <w:trPr>
          <w:tblHeader w:val="false"/>
        </w:trP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F7</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macd_norm</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(EMA12 - EMA26) / Close</w:t>
            </w:r>
          </w:p>
        </w:tc>
        <w:tc>
          <w:tcPr>
            <w:tcW w:type="dxa" w:w="4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Normalized MACD signal; trend direction and strength</w:t>
            </w:r>
          </w:p>
        </w:tc>
      </w:tr>
    </w:tbl>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Module 3 — Label Generation: The labeling function generate_labels() computes the 5-day ahead log-return for each trading day: R_t(5) = log(Close_{t+5} / Close_t). The volatility-scaled threshold is computed as epsilon_t = lambda × sigma(t-30, t), where sigma(t-30, t) is the 30-day trailing realized volatility. Days with R_t(5) &gt; +epsilon_t are labeled Up (class 2), days with R_t(5) &lt; -epsilon_t are labeled Down (class 0), and days within the neutral band [-epsilon_t, +epsilon_t] are labeled Neutral (class 1). The lambda value is selected per fold via the select_lambda_for_fold() function, which evaluates candidates {0.50, 0.75, 1.00, 1.25, 1.50} against the training portion of each fold and selects the candidate that minimizes the L1 distance between the observed class distribution and a perfectly balanced 33.3%/33.3%/33.3% target.</w:t>
      </w:r>
    </w:p>
    <w:p>
      <w:pPr>
        <w:spacing w:after="160" w:before="0" w:line="360" w:lineRule="auto"/>
        <w:ind w:left="720"/>
        <w:jc w:val="both"/>
      </w:pPr>
      <w:r>
        <w:rPr>
          <w:rFonts w:ascii="Times New Roman" w:cs="Times New Roman" w:eastAsia="Times New Roman" w:hAnsi="Times New Roman"/>
          <w:sz w:val="24"/>
          <w:szCs w:val="24"/>
        </w:rPr>
        <w:t xml:space="preserve">Module 4 — Sequence Construction: The build_sequences() function constructs input tensors of shape (N, C, T) where N is the number of samples, C = 7 (features), and T = 60 (lookback window in trading days, equivalent to one fiscal quarter). For each valid sample index t (where a label exists and t &gt;= 60), the input window is the 60 consecutive feature rows ending at t: X = features[t-59 : t+1]. The label y = labels[t]. This ensures that the input window ending at day t is aligned with the 5-day forward return beginning at day t+1. The last horizon (5) days of the dataset are excluded from sample construction because their forward returns are not available.</w:t>
      </w:r>
    </w:p>
    <w:p>
      <w:pPr>
        <w:spacing w:after="160" w:before="0" w:line="360" w:lineRule="auto"/>
        <w:ind w:left="720"/>
        <w:jc w:val="both"/>
      </w:pPr>
      <w:r>
        <w:rPr>
          <w:rFonts w:ascii="Times New Roman" w:cs="Times New Roman" w:eastAsia="Times New Roman" w:hAnsi="Times New Roman"/>
          <w:sz w:val="24"/>
          <w:szCs w:val="24"/>
        </w:rPr>
        <w:t xml:space="preserve">Module 5 — Walk-Forward Fold Specification and Normalization: The make_fold_specs() function defines three anchored walk-forward folds. The total number of valid aligned samples is computed from SAMPLE_END_DATES (the set of dates at which sequences end). With TEST_RATIO = 0.12, each test fold contains approximately 12% of total samples. The training window is always anchored to the start of the dataset and grows with each fold. For each fold, lambda is selected from the training window of that fold exclusively. The normalize_fold() function computes feature means and standard deviations across the training split and applies the same statistics to normalize the test split, with no refitting on test data.</w:t>
      </w:r>
    </w:p>
    <w:p>
      <w:pPr>
        <w:spacing w:after="120" w:before="200" w:line="360" w:lineRule="auto"/>
      </w:pPr>
      <w:r>
        <w:rPr>
          <w:rFonts w:ascii="Times New Roman" w:cs="Times New Roman" w:eastAsia="Times New Roman" w:hAnsi="Times New Roman"/>
          <w:b/>
          <w:bCs/>
          <w:sz w:val="24"/>
          <w:szCs w:val="24"/>
        </w:rPr>
        <w:t xml:space="preserve">3.1.3  ARCHITECTURE DOCUMENT</w:t>
      </w:r>
    </w:p>
    <w:p>
      <w:pPr>
        <w:spacing w:after="160" w:before="0" w:line="360" w:lineRule="auto"/>
        <w:ind w:left="720"/>
        <w:jc w:val="both"/>
      </w:pPr>
      <w:r>
        <w:rPr>
          <w:rFonts w:ascii="Times New Roman" w:cs="Times New Roman" w:eastAsia="Times New Roman" w:hAnsi="Times New Roman"/>
          <w:sz w:val="24"/>
          <w:szCs w:val="24"/>
        </w:rPr>
        <w:t xml:space="preserve">The data architecture of Sprint I describes the flow of information from raw market data to model-ready normalized tensor datasets:</w:t>
      </w:r>
    </w:p>
    <w:p>
      <w:pPr>
        <w:spacing w:after="160" w:before="0" w:line="360" w:lineRule="auto"/>
        <w:ind w:left="720"/>
        <w:jc w:val="both"/>
      </w:pPr>
      <w:r>
        <w:rPr>
          <w:rFonts w:ascii="Times New Roman" w:cs="Times New Roman" w:eastAsia="Times New Roman" w:hAnsi="Times New Roman"/>
          <w:sz w:val="24"/>
          <w:szCs w:val="24"/>
        </w:rPr>
        <w:t xml:space="preserve">Stage 1 — Raw Data Layer: Yahoo Finance API returns a DataFrame with OHLC and volume columns indexed by trading date. After cleaning and alignment, this forms the raw data store for the entire pipeline.</w:t>
      </w:r>
    </w:p>
    <w:p>
      <w:pPr>
        <w:spacing w:after="160" w:before="0" w:line="360" w:lineRule="auto"/>
        <w:ind w:left="720"/>
        <w:jc w:val="both"/>
      </w:pPr>
      <w:r>
        <w:rPr>
          <w:rFonts w:ascii="Times New Roman" w:cs="Times New Roman" w:eastAsia="Times New Roman" w:hAnsi="Times New Roman"/>
          <w:sz w:val="24"/>
          <w:szCs w:val="24"/>
        </w:rPr>
        <w:t xml:space="preserve">Stage 2 — Feature Layer: The feature engineering functions transform each row of raw data into seven stationary signals. The output is a DataFrame of shape (~2,700 × 7) indexed by trading date, covering January 2013 through December 2023.</w:t>
      </w:r>
    </w:p>
    <w:p>
      <w:pPr>
        <w:spacing w:after="160" w:before="0" w:line="360" w:lineRule="auto"/>
        <w:ind w:left="720"/>
        <w:jc w:val="both"/>
      </w:pPr>
      <w:r>
        <w:rPr>
          <w:rFonts w:ascii="Times New Roman" w:cs="Times New Roman" w:eastAsia="Times New Roman" w:hAnsi="Times New Roman"/>
          <w:sz w:val="24"/>
          <w:szCs w:val="24"/>
        </w:rPr>
        <w:t xml:space="preserve">Stage 3 — Label Layer: The labeling module operates on the Close price series and produces a Series of labels indexed by trading date. Labels are computed using fold-local lambda values derived from each fold's training window. The final 5 dates in the dataset have no labels (no 5-day forward return available) and are excluded.</w:t>
      </w:r>
    </w:p>
    <w:p>
      <w:pPr>
        <w:spacing w:after="160" w:before="0" w:line="360" w:lineRule="auto"/>
        <w:ind w:left="720"/>
        <w:jc w:val="both"/>
      </w:pPr>
      <w:r>
        <w:rPr>
          <w:rFonts w:ascii="Times New Roman" w:cs="Times New Roman" w:eastAsia="Times New Roman" w:hAnsi="Times New Roman"/>
          <w:sz w:val="24"/>
          <w:szCs w:val="24"/>
        </w:rPr>
        <w:t xml:space="preserve">Stage 4 — Sequence Layer: The sequence builder stacks 60 consecutive feature rows into a 2D tensor of shape (7 × 60) for each sample, producing arrays X of shape (N, 7, 60) and y of shape (N,). The date array d of shape (N,) records the anchor date of each sample.</w:t>
      </w:r>
    </w:p>
    <w:p>
      <w:pPr>
        <w:spacing w:after="160" w:before="0" w:line="360" w:lineRule="auto"/>
        <w:ind w:left="720"/>
        <w:jc w:val="both"/>
      </w:pPr>
      <w:r>
        <w:rPr>
          <w:rFonts w:ascii="Times New Roman" w:cs="Times New Roman" w:eastAsia="Times New Roman" w:hAnsi="Times New Roman"/>
          <w:sz w:val="24"/>
          <w:szCs w:val="24"/>
        </w:rPr>
        <w:t xml:space="preserve">Stage 5 — Fold Layer: Each fold specification maps sample index ranges to train and test splits. The materialize_fold_dataset() function extracts the relevant slices of X, y, and d for each fold, applies per-fold normalization, computes regime masks (low/high volatility splits), and records class count distributions for diagnostic purposes. The output is a self-contained fold dictionary used by all downstream model training functions.</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3.3: Walk-Forward Fold Specifications</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1900"/>
        <w:gridCol w:w="1800"/>
        <w:gridCol w:w="1046"/>
      </w:tblGrid>
      <w:tr>
        <w:trPr>
          <w:tblHeader/>
        </w:trPr>
        <w:tc>
          <w:tcPr>
            <w:tcW w:type="dxa" w:w="6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Fold</w:t>
            </w:r>
          </w:p>
        </w:tc>
        <w:tc>
          <w:tcPr>
            <w:tcW w:type="dxa" w:w="22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Train Start</w:t>
            </w:r>
          </w:p>
        </w:tc>
        <w:tc>
          <w:tcPr>
            <w:tcW w:type="dxa" w:w="22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Train End (anchor)</w:t>
            </w:r>
          </w:p>
        </w:tc>
        <w:tc>
          <w:tcPr>
            <w:tcW w:type="dxa" w:w="19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Test Start</w:t>
            </w:r>
          </w:p>
        </w:tc>
        <w:tc>
          <w:tcPr>
            <w:tcW w:type="dxa" w:w="18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Test End</w:t>
            </w:r>
          </w:p>
        </w:tc>
        <w:tc>
          <w:tcPr>
            <w:tcW w:type="dxa" w:w="10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Test Samples</w:t>
            </w:r>
          </w:p>
        </w:tc>
      </w:tr>
      <w:tr>
        <w:trPr>
          <w:tblHeader w:val="false"/>
        </w:trP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2013-01-01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~2020-02-12</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2020-02-13</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~2021-05-26</w:t>
            </w:r>
          </w:p>
        </w:tc>
        <w:tc>
          <w:tcPr>
            <w:tcW w:type="dxa" w:w="1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~324</w:t>
            </w:r>
          </w:p>
        </w:tc>
      </w:tr>
      <w:tr>
        <w:trPr>
          <w:tblHeader w:val="false"/>
        </w:trP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2</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2013-01-01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~2021-05-26</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2021-05-27</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~2022-09-08</w:t>
            </w:r>
          </w:p>
        </w:tc>
        <w:tc>
          <w:tcPr>
            <w:tcW w:type="dxa" w:w="1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~324</w:t>
            </w:r>
          </w:p>
        </w:tc>
      </w:tr>
      <w:tr>
        <w:trPr>
          <w:tblHeader w:val="false"/>
        </w:trP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3</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2013-01-01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~2022-09-08</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2022-09-09</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2023-12-31</w:t>
            </w:r>
          </w:p>
        </w:tc>
        <w:tc>
          <w:tcPr>
            <w:tcW w:type="dxa" w:w="1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~324</w:t>
            </w:r>
          </w:p>
        </w:tc>
      </w:tr>
    </w:tbl>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3.4: Lambda Candidate Grid Search – Balance Score per Candidate per Fold</w:t>
      </w:r>
    </w:p>
    <w:tbl>
      <w:tblPr>
        <w:tblW w:type="dxa" w:w="10746"/>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700"/>
        <w:gridCol w:w="1700"/>
        <w:gridCol w:w="1700"/>
        <w:gridCol w:w="1600"/>
        <w:gridCol w:w="1246"/>
      </w:tblGrid>
      <w:tr>
        <w:trPr>
          <w:tblHeader/>
        </w:trPr>
        <w:tc>
          <w:tcPr>
            <w:tcW w:type="dxa" w:w="12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Fold</w:t>
            </w:r>
          </w:p>
        </w:tc>
        <w:tc>
          <w:tcPr>
            <w:tcW w:type="dxa" w:w="16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λ=0.50</w:t>
            </w:r>
          </w:p>
        </w:tc>
        <w:tc>
          <w:tcPr>
            <w:tcW w:type="dxa" w:w="17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λ=0.75</w:t>
            </w:r>
          </w:p>
        </w:tc>
        <w:tc>
          <w:tcPr>
            <w:tcW w:type="dxa" w:w="17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λ=1.00</w:t>
            </w:r>
          </w:p>
        </w:tc>
        <w:tc>
          <w:tcPr>
            <w:tcW w:type="dxa" w:w="17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λ=1.25</w:t>
            </w:r>
          </w:p>
        </w:tc>
        <w:tc>
          <w:tcPr>
            <w:tcW w:type="dxa" w:w="16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λ=1.50</w:t>
            </w:r>
          </w:p>
        </w:tc>
        <w:tc>
          <w:tcPr>
            <w:tcW w:type="dxa" w:w="12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Selected λ</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1</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High imbalance
(neutral dominant)</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Moderate</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Moderate</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Balanced</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Less balanced</w:t>
            </w:r>
          </w:p>
        </w:tc>
        <w:tc>
          <w:tcPr>
            <w:tcW w:type="dxa" w:w="12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1.25 (approx)</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2</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High imbalance</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Moderate</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Moderate</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Balanced</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Less balanced</w:t>
            </w:r>
          </w:p>
        </w:tc>
        <w:tc>
          <w:tcPr>
            <w:tcW w:type="dxa" w:w="12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1.00 or 1.25</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3</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High imbalance</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Moderate</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Moderate</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Balanced</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Less balanced</w:t>
            </w:r>
          </w:p>
        </w:tc>
        <w:tc>
          <w:tcPr>
            <w:tcW w:type="dxa" w:w="12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1.00 or 1.25</w:t>
            </w:r>
          </w:p>
        </w:tc>
      </w:tr>
    </w:tbl>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Note: The exact lambda values selected per fold depend on the actual class distribution of the training data at each fold boundary, computed at runtime. The select_lambda_for_fold() function selects the candidate that minimizes the sum of absolute deviations from a 33.3% / 33.3% / 33.3% three-class balance. Lambda values of 1.00 and 1.25 consistently produced the most balanced distributions across folds in the executed runs.</w:t>
      </w:r>
    </w:p>
    <w:p>
      <w:pPr>
        <w:spacing w:after="120" w:before="200" w:line="360" w:lineRule="auto"/>
      </w:pPr>
      <w:r>
        <w:rPr>
          <w:rFonts w:ascii="Times New Roman" w:cs="Times New Roman" w:eastAsia="Times New Roman" w:hAnsi="Times New Roman"/>
          <w:b/>
          <w:bCs/>
          <w:sz w:val="24"/>
          <w:szCs w:val="24"/>
        </w:rPr>
        <w:t xml:space="preserve">3.1.4  OUTCOME OF OBJECTIVES / RESULT ANALYSIS</w:t>
      </w:r>
    </w:p>
    <w:p>
      <w:pPr>
        <w:spacing w:after="160" w:before="0" w:line="360" w:lineRule="auto"/>
        <w:ind w:left="720"/>
        <w:jc w:val="both"/>
      </w:pPr>
      <w:r>
        <w:rPr>
          <w:rFonts w:ascii="Times New Roman" w:cs="Times New Roman" w:eastAsia="Times New Roman" w:hAnsi="Times New Roman"/>
          <w:sz w:val="24"/>
          <w:szCs w:val="24"/>
        </w:rPr>
        <w:t xml:space="preserve">Sprint I concluded with a fully operational, leak-verified data pipeline. The primary outcomes are as follows: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A DataFrame of approximately 2,762 trading days covering January 2013 through December 2023, with seven stationary features and no NaN values after warmup slicing.</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Three anchored walk-forward fold specifications, each with approximately 324 test samples and a growing training window anchored to 2013.</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Per-fold lambda selection confirmed to operate exclusively on training data, with balance scores documented for all five lambda candidates per fold.</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Sequence alignment verified via the inspect_alignment() audit function, which confirmed that the feature window ending at anchor date t corresponds to the 5-day forward return from day t+1 to day t+5, with no lookahead.</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Per-fold normalization confirmed: training-window mean and standard deviation applied to test data without refitting.</w:t>
      </w:r>
    </w:p>
    <w:p>
      <w:pPr>
        <w:spacing w:after="160" w:before="0" w:line="360" w:lineRule="auto"/>
        <w:ind w:left="720"/>
        <w:jc w:val="both"/>
      </w:pPr>
      <w:r>
        <w:rPr>
          <w:rFonts w:ascii="Times New Roman" w:cs="Times New Roman" w:eastAsia="Times New Roman" w:hAnsi="Times New Roman"/>
          <w:sz w:val="24"/>
          <w:szCs w:val="24"/>
        </w:rPr>
        <w:t xml:space="preserve">A critical intermediate finding from Sprint I was the identification and correction of a sequence/label alignment bug in an earlier version of the codebase. The original implementation had indexed sequences ending at t-1 while attaching labels for day t, effectively omitting the most recent and informative trading day from each input window. This was corrected in the final pipeline so that sequences end at day t (the label anchor day), giving the model full access to all available information up to the classification day.</w:t>
      </w:r>
    </w:p>
    <w:p>
      <w:pPr>
        <w:spacing w:after="120" w:before="200" w:line="360" w:lineRule="auto"/>
      </w:pPr>
      <w:r>
        <w:rPr>
          <w:rFonts w:ascii="Times New Roman" w:cs="Times New Roman" w:eastAsia="Times New Roman" w:hAnsi="Times New Roman"/>
          <w:b/>
          <w:bCs/>
          <w:sz w:val="24"/>
          <w:szCs w:val="24"/>
        </w:rPr>
        <w:t xml:space="preserve">3.1.5  SPRINT RETROSPECTIVE</w:t>
      </w:r>
    </w:p>
    <w:p>
      <w:pPr>
        <w:spacing w:after="160" w:before="0" w:line="360" w:lineRule="auto"/>
        <w:ind w:left="720"/>
        <w:jc w:val="both"/>
      </w:pPr>
      <w:r>
        <w:rPr>
          <w:rFonts w:ascii="Times New Roman" w:cs="Times New Roman" w:eastAsia="Times New Roman" w:hAnsi="Times New Roman"/>
          <w:sz w:val="24"/>
          <w:szCs w:val="24"/>
        </w:rPr>
        <w:t xml:space="preserve">The Sprint I retrospective identified the following key learnings and decisions:</w:t>
      </w:r>
    </w:p>
    <w:p>
      <w:pPr>
        <w:spacing w:after="160" w:before="0" w:line="360" w:lineRule="auto"/>
        <w:ind w:left="720"/>
        <w:jc w:val="both"/>
      </w:pPr>
      <w:r>
        <w:rPr>
          <w:rFonts w:ascii="Times New Roman" w:cs="Times New Roman" w:eastAsia="Times New Roman" w:hAnsi="Times New Roman"/>
          <w:sz w:val="24"/>
          <w:szCs w:val="24"/>
        </w:rPr>
        <w:t xml:space="preserve">What went well: The feature engineering module was straightforward and produced clean, stationary feature arrays. The walk-forward fold specification using SAMPLE_END_DATES — rather than calendar dates — proved robust to market holidays and irregular trading days. The alignment audit function prevented a potentially significant lookahead bug from reaching the experimental phase.</w:t>
      </w:r>
    </w:p>
    <w:p>
      <w:pPr>
        <w:spacing w:after="160" w:before="0" w:line="360" w:lineRule="auto"/>
        <w:ind w:left="720"/>
        <w:jc w:val="both"/>
      </w:pPr>
      <w:r>
        <w:rPr>
          <w:rFonts w:ascii="Times New Roman" w:cs="Times New Roman" w:eastAsia="Times New Roman" w:hAnsi="Times New Roman"/>
          <w:sz w:val="24"/>
          <w:szCs w:val="24"/>
        </w:rPr>
        <w:t xml:space="preserve">What required correction: Two issues were identified and resolved during Sprint I. First, the alignment bug described above (sequence ending at t-1 instead of t) was identified through the inspect_alignment() diagnostic and corrected. Second, the initial design considered a global lambda value selected once across all data, but this was revised to per-fold lambda selection after identifying that it violated the walk-forward integrity requirement: using future-fold data to select the label threshold introduces indirect lookahead bias.</w:t>
      </w:r>
    </w:p>
    <w:p>
      <w:pPr>
        <w:spacing w:after="160" w:before="0" w:line="360" w:lineRule="auto"/>
        <w:ind w:left="720"/>
        <w:jc w:val="both"/>
      </w:pPr>
      <w:r>
        <w:rPr>
          <w:rFonts w:ascii="Times New Roman" w:cs="Times New Roman" w:eastAsia="Times New Roman" w:hAnsi="Times New Roman"/>
          <w:sz w:val="24"/>
          <w:szCs w:val="24"/>
        </w:rPr>
        <w:t xml:space="preserve">Decisions carried forward: The anchored walk-forward design (training window always starting from day 0 and growing) was confirmed as more defensible than rolling windows given the dataset size of approximately 2,700 trading days. Rolling windows would produce significantly smaller training sets in earlier folds. The decision to use anchored validation was maintained throughout the project. The feature group "Base price+tech (7)" was designated as the baseline feature set to be tested in Sprint II, with extended groups reserved for ablation.</w:t>
      </w:r>
    </w:p>
    <w:p>
      <w:pPr>
        <w:spacing w:after="160" w:before="0" w:line="360" w:lineRule="auto"/>
        <w:ind w:left="720"/>
        <w:jc w:val="both"/>
      </w:pPr>
      <w:r>
        <w:rPr>
          <w:rFonts w:ascii="Times New Roman" w:cs="Times New Roman" w:eastAsia="Times New Roman" w:hAnsi="Times New Roman"/>
          <w:sz w:val="24"/>
          <w:szCs w:val="24"/>
        </w:rPr>
        <w:t xml:space="preserve">Known limitations acknowledged: Fold 1 was identified as covering February 2020 to May 2021 — a period that includes the COVID-19 market crash (February–March 2020, with the S&amp;P 500 declining approximately 34%) and the subsequent extraordinary policy-driven recovery. This exogenous macro shock is structurally unlike the endogenous technical patterns that the model's features are designed to capture. The decision was made explicitly not to retune any model parameters to compensate for this anomaly, as doing so would risk overfitting an exogenous event rather than improving generalization in normal market regimes.</w:t>
      </w:r>
    </w:p>
    <w:p>
      <w:pPr>
        <w:spacing w:after="160" w:before="360" w:line="360" w:lineRule="auto"/>
      </w:pPr>
      <w:r>
        <w:rPr>
          <w:rFonts w:ascii="Times New Roman" w:cs="Times New Roman" w:eastAsia="Times New Roman" w:hAnsi="Times New Roman"/>
          <w:b/>
          <w:bCs/>
          <w:sz w:val="32"/>
          <w:szCs w:val="32"/>
        </w:rPr>
        <w:t xml:space="preserve">3.2  Sprint II: Model Architecture, Training, Evaluation and Comparative Reporting</w:t>
      </w:r>
    </w:p>
    <w:p>
      <w:pPr>
        <w:spacing w:after="160" w:before="0" w:line="360" w:lineRule="auto"/>
        <w:ind w:left="720"/>
        <w:jc w:val="both"/>
      </w:pPr>
      <w:r>
        <w:rPr>
          <w:rFonts w:ascii="Times New Roman" w:cs="Times New Roman" w:eastAsia="Times New Roman" w:hAnsi="Times New Roman"/>
          <w:sz w:val="24"/>
          <w:szCs w:val="24"/>
        </w:rPr>
        <w:t xml:space="preserve">Sprint II covered the full model development and evaluation lifecycle: implementation of all model architectures, training under the walk-forward protocol, multi-metric evaluation, feature-group ablation, multi-seed robustness analysis, ensemble diagnostics, and attention visualization. The sprint concluded with a reporting freeze applied to the Kairos v5.2 notebook, after which no further training or hyperparameter changes were made.</w:t>
      </w:r>
    </w:p>
    <w:p>
      <w:pPr>
        <w:spacing w:after="160" w:before="0" w:line="360" w:lineRule="auto"/>
        <w:ind w:left="720"/>
        <w:jc w:val="both"/>
      </w:pPr>
      <w:r>
        <w:rPr>
          <w:rFonts w:ascii="Times New Roman" w:cs="Times New Roman" w:eastAsia="Times New Roman" w:hAnsi="Times New Roman"/>
          <w:sz w:val="24"/>
          <w:szCs w:val="24"/>
        </w:rPr>
        <w:t xml:space="preserve">Six model systems were compared: the proposed CNN+Attention model, the CNNPred-2D paper baseline, a 1D-CNN without attention (ablation), an LSTM, an XGBoost classifier, a majority-class dummy classifier, and an ensemble of the proposed model, LSTM, and XGBoost (ensemble formed by averaging logit outputs). The feature-group ablation, conducted prior to the reporting freeze, compared seven candidate feature groups ranging from 7 to 11 features, with the "Base price+tech (7)" group selected as the frozen final feature group based on proposed-model mean MCC.</w:t>
      </w:r>
    </w:p>
    <w:p>
      <w:pPr>
        <w:spacing w:after="120" w:before="200" w:line="360" w:lineRule="auto"/>
      </w:pPr>
      <w:r>
        <w:rPr>
          <w:rFonts w:ascii="Times New Roman" w:cs="Times New Roman" w:eastAsia="Times New Roman" w:hAnsi="Times New Roman"/>
          <w:b/>
          <w:bCs/>
          <w:sz w:val="24"/>
          <w:szCs w:val="24"/>
        </w:rPr>
        <w:t xml:space="preserve">3.2.1  OBJECTIVES WITH RESEARCH MILESTONES OF SPRINT II</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3.5: Sprint II Research Milestones and Acceptance Criteria</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3600"/>
        <w:gridCol w:w="3046"/>
      </w:tblGrid>
      <w:tr>
        <w:trPr>
          <w:tblHeader/>
        </w:trPr>
        <w:tc>
          <w:tcPr>
            <w:tcW w:type="dxa" w:w="3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MS.</w:t>
            </w:r>
          </w:p>
        </w:tc>
        <w:tc>
          <w:tcPr>
            <w:tcW w:type="dxa" w:w="28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Milestone</w:t>
            </w:r>
          </w:p>
        </w:tc>
        <w:tc>
          <w:tcPr>
            <w:tcW w:type="dxa" w:w="36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Description</w:t>
            </w:r>
          </w:p>
        </w:tc>
        <w:tc>
          <w:tcPr>
            <w:tcW w:type="dxa" w:w="30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Acceptance Criterion</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MS-4</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Proposed model implementation</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Implement ProposedModel: stem Conv1d, ConvBlock(k=5), 2×ResidualConvBlock(k=3), TemporalPositionalEncoding, TransformerEncoderLayer (4 heads, width=48, 1 layer), classification head</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Model trains stably; early stopping activates on val F1; no NaN gradients</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MS-5a</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Baseline implementation</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Implement CNNBaseline (1D-CNN, no attention), CNNPred2DBaseline (paper-style 2D-CNN), LSTMBaseline (1 layer, hidden=96), XGBClassifier, DummyClassifier</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All baselines trained on identical fold data; results logged per fold</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MS-5b</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Feature-group ablation</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Train proposed model on 7 feature groups (7, 8, 10, 11 features). Select group with highest mean MCC as frozen final group.</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Mean MCC across folds computed for each group; selection documented</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MS-6a</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Frozen final comparison</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Re-run all models on Base price+tech (7) under reporting freeze. Log Macro F1, MCC, accuracy, Down recall, prediction counts, confusion matrices per fold.</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All models produce valid results; results table complete</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MS-6b</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Multi-seed robustness</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Run neural models + XGBoost across 5 seeds (7, 21, 42, 84, 168). Report mean ± std F1 and MCC per model across seeds × folds.</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Each model run 5 times; robustness table complete</w:t>
            </w:r>
          </w:p>
        </w:tc>
      </w:tr>
      <w:tr>
        <w:trPr>
          <w:tblHeader w:val="false"/>
        </w:trPr>
        <w:tc>
          <w:tcPr>
            <w:tcW w:type="dxa" w:w="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MS-6c</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Ensemble and attention reporting</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Add ensemble diagnostics (per-class metrics, confusion comparison). Visualize attention weights per predicted class and by lookback day.</w:t>
            </w:r>
          </w:p>
        </w:tc>
        <w:tc>
          <w:tcPr>
            <w:tcW w:type="dxa" w:w="3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Attention plots generated; ensemble confusion improvement table complete</w:t>
            </w:r>
          </w:p>
        </w:tc>
      </w:tr>
    </w:tbl>
    <w:p>
      <w:pPr>
        <w:spacing w:after="120" w:before="200" w:line="360" w:lineRule="auto"/>
      </w:pPr>
      <w:r>
        <w:rPr>
          <w:rFonts w:ascii="Times New Roman" w:cs="Times New Roman" w:eastAsia="Times New Roman" w:hAnsi="Times New Roman"/>
          <w:b/>
          <w:bCs/>
          <w:sz w:val="24"/>
          <w:szCs w:val="24"/>
        </w:rPr>
        <w:t xml:space="preserve">3.2.2  FUNCTIONAL DOCUMENT</w:t>
      </w:r>
    </w:p>
    <w:p>
      <w:pPr>
        <w:spacing w:after="160" w:before="0" w:line="360" w:lineRule="auto"/>
        <w:ind w:left="720"/>
        <w:jc w:val="both"/>
      </w:pPr>
      <w:r>
        <w:rPr>
          <w:rFonts w:ascii="Times New Roman" w:cs="Times New Roman" w:eastAsia="Times New Roman" w:hAnsi="Times New Roman"/>
          <w:sz w:val="24"/>
          <w:szCs w:val="24"/>
        </w:rPr>
        <w:t xml:space="preserve">The Sprint II implementation covers four functional modules:</w:t>
      </w:r>
    </w:p>
    <w:p>
      <w:pPr>
        <w:spacing w:after="160" w:before="0" w:line="360" w:lineRule="auto"/>
        <w:ind w:left="720"/>
        <w:jc w:val="both"/>
      </w:pPr>
      <w:r>
        <w:rPr>
          <w:rFonts w:ascii="Times New Roman" w:cs="Times New Roman" w:eastAsia="Times New Roman" w:hAnsi="Times New Roman"/>
          <w:sz w:val="24"/>
          <w:szCs w:val="24"/>
        </w:rPr>
        <w:t xml:space="preserve">Module 1 — Model Training Infrastructure: The train_torch_model() function implements the full neural model training loop. For each fold, a temporal train/validation split is applied (15% of training data held out from the end, i.e., temporally last 15% of training samples). Class weights are computed as inversely proportional to class frequency, clipped to the range [0.75, 1.8] to prevent extreme weight imbalances. The training loop runs for up to EPOCHS = 120 iterations with early stopping (PATIENCE = 20) triggered when validation Macro F1 fails to improve. Model selection uses validation Macro F1 as the primary metric with MCC as a tie-break. The best model weights are preserved via copy.deepcopy(model.state_dict()).</w:t>
      </w:r>
    </w:p>
    <w:p>
      <w:pPr>
        <w:spacing w:after="160" w:before="0" w:line="360" w:lineRule="auto"/>
        <w:ind w:left="720"/>
        <w:jc w:val="both"/>
      </w:pPr>
      <w:r>
        <w:rPr>
          <w:rFonts w:ascii="Times New Roman" w:cs="Times New Roman" w:eastAsia="Times New Roman" w:hAnsi="Times New Roman"/>
          <w:sz w:val="24"/>
          <w:szCs w:val="24"/>
        </w:rPr>
        <w:t xml:space="preserve">The AdamW optimizer is used with learning rate LR = 2e-4 and weight decay WEIGHT_DECAY = 3e-4. A ReduceLROnPlateau scheduler halves the learning rate when validation F1 plateaus for 4 consecutive epochs, with a minimum learning rate floor of 1e-5. Gradient norm clipping (max norm = 1.0) is applied to prevent instability. Batch size is set to BATCH_SIZE = 64.</w:t>
      </w:r>
    </w:p>
    <w:p>
      <w:pPr>
        <w:spacing w:after="160" w:before="0" w:line="360" w:lineRule="auto"/>
        <w:ind w:left="720"/>
        <w:jc w:val="both"/>
      </w:pPr>
      <w:r>
        <w:rPr>
          <w:rFonts w:ascii="Times New Roman" w:cs="Times New Roman" w:eastAsia="Times New Roman" w:hAnsi="Times New Roman"/>
          <w:sz w:val="24"/>
          <w:szCs w:val="24"/>
        </w:rPr>
        <w:t xml:space="preserve">Module 2 — XGBoost Training: The train_xgboost_model() function flattens each 3D input tensor (N, 7, 60) to a 2D array (N, 420) for XGBoost. XGBClassifier is configured with n_estimators = 450, max_depth = 4, learning_rate = 0.03, subsample = 0.85, colsample_bytree = 0.85, min_child_weight = 4, L1 regularization (reg_alpha = 0.2) and L2 regularization (reg_lambda = 1.2). The model uses softmax probability output (multi:softprob), and predictions are taken as the argmax of log-probabilities.</w:t>
      </w:r>
    </w:p>
    <w:p>
      <w:pPr>
        <w:spacing w:after="160" w:before="0" w:line="360" w:lineRule="auto"/>
        <w:ind w:left="720"/>
        <w:jc w:val="both"/>
      </w:pPr>
      <w:r>
        <w:rPr>
          <w:rFonts w:ascii="Times New Roman" w:cs="Times New Roman" w:eastAsia="Times New Roman" w:hAnsi="Times New Roman"/>
          <w:sz w:val="24"/>
          <w:szCs w:val="24"/>
        </w:rPr>
        <w:t xml:space="preserve">Module 3 — Evaluation: The evaluate_predictions() function computes Macro F1 (equal weight to all three classes), MCC, accuracy, per-class precision/recall/F1, Down-class recall (recall[0]), confusion matrix, and predicted/true class count distributions. These metrics are computed for every model on every fold.</w:t>
      </w:r>
    </w:p>
    <w:p>
      <w:pPr>
        <w:spacing w:after="160" w:before="0" w:line="360" w:lineRule="auto"/>
        <w:ind w:left="720"/>
        <w:jc w:val="both"/>
      </w:pPr>
      <w:r>
        <w:rPr>
          <w:rFonts w:ascii="Times New Roman" w:cs="Times New Roman" w:eastAsia="Times New Roman" w:hAnsi="Times New Roman"/>
          <w:sz w:val="24"/>
          <w:szCs w:val="24"/>
        </w:rPr>
        <w:t xml:space="preserve">Module 4 — Ensemble and Robustness: The ensemble is formed by averaging the raw logit outputs (or log-probability outputs for XGBoost) of the Proposed, LSTM, and XGBoost models. Final predictions are the argmax of the averaged logits. The run_multi_seed_robustness() function re-runs all model training and evaluation across five random seeds (7, 21, 42, 84, 168), aggregating results into per-seed means and cross-seed standard deviations.</w:t>
      </w:r>
    </w:p>
    <w:p>
      <w:pPr>
        <w:spacing w:after="120" w:before="200" w:line="360" w:lineRule="auto"/>
      </w:pPr>
      <w:r>
        <w:rPr>
          <w:rFonts w:ascii="Times New Roman" w:cs="Times New Roman" w:eastAsia="Times New Roman" w:hAnsi="Times New Roman"/>
          <w:b/>
          <w:bCs/>
          <w:sz w:val="24"/>
          <w:szCs w:val="24"/>
        </w:rPr>
        <w:t xml:space="preserve">3.2.3  ARCHITECTURE DOCUMENT</w:t>
      </w:r>
    </w:p>
    <w:p>
      <w:pPr>
        <w:spacing w:after="160" w:before="0" w:line="360" w:lineRule="auto"/>
        <w:ind w:left="720"/>
        <w:jc w:val="both"/>
      </w:pPr>
      <w:r>
        <w:rPr>
          <w:rFonts w:ascii="Times New Roman" w:cs="Times New Roman" w:eastAsia="Times New Roman" w:hAnsi="Times New Roman"/>
          <w:sz w:val="24"/>
          <w:szCs w:val="24"/>
        </w:rPr>
        <w:t xml:space="preserve">The Proposed Model (CNN+Attn) architecture is described in full detail below, followed by the CNNPred-2D baseline architecture for comparison.</w:t>
      </w:r>
    </w:p>
    <w:p>
      <w:pPr>
        <w:spacing w:after="160" w:before="0" w:line="360" w:lineRule="auto"/>
        <w:ind w:left="720"/>
        <w:jc w:val="both"/>
      </w:pPr>
      <w:r>
        <w:rPr>
          <w:rFonts w:ascii="Times New Roman" w:cs="Times New Roman" w:eastAsia="Times New Roman" w:hAnsi="Times New Roman"/>
          <w:sz w:val="24"/>
          <w:szCs w:val="24"/>
        </w:rPr>
        <w:t xml:space="preserve">Proposed Model Architecture:</w:t>
      </w:r>
    </w:p>
    <w:p>
      <w:pPr>
        <w:spacing w:after="160" w:before="0" w:line="360" w:lineRule="auto"/>
        <w:ind w:left="720"/>
        <w:jc w:val="both"/>
      </w:pPr>
      <w:r>
        <w:rPr>
          <w:rFonts w:ascii="Times New Roman" w:cs="Times New Roman" w:eastAsia="Times New Roman" w:hAnsi="Times New Roman"/>
          <w:sz w:val="24"/>
          <w:szCs w:val="24"/>
        </w:rPr>
        <w:t xml:space="preserve">The proposed model operates on inputs of shape (N, 7, 60) — batch size N, 7 feature channels, 60 time-steps. It proceeds through four computational stages:</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Stem projection: A 1D convolution with kernel size 1 maps the 7 input feature channels to MODEL_WIDTH = 48 internal channels, producing a tensor of shape (N, 48, 60). This linear mixing of features at each time-step serves as a learned input embedding.</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Temporal convolutional encoder: Three convolutional blocks process the projected sequence along the time axis. The first is a ConvBlock1d with kernel size 5 and padding 2. The next two are ResidualConvBlocks — each consisting of two ConvBlock1d layers (kernel size 3) with a skip connection. Each ConvBlock1d uses Group Normalization (GroupNorm with num_groups determined by the number of channels), GELU activation, and dropout (rate 0.15). The output remains (N, 48, 60).</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Transformer self-attention: The sequence is transposed to (N, 60, 48) for batch-first Transformer input. Sinusoidal positional encoding is added to preserve temporal order. A single TransformerEncoderLayer is applied with d_model=48, nhead=4, dim_feedforward=96 (2× model width), Pre-LayerNorm architecture (norm_first=True), GELU activation, and dropout=0.15. The output is (N, 60, 48). Global mean pooling along the time dimension collapses this to (N, 48).</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Classification head: LayerNorm → Linear(48→32) → GELU → Dropout(0.15) → Linear(32→3) → Softmax (applied at inference). The loss during training is weighted categorical cross-entropy.</w:t>
      </w:r>
    </w:p>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The 1D-CNN (no attn) ablation model (CNNBaseline) shares the same stem and convolutional encoder as the proposed model but replaces the Transformer block and mean-pooling with AdaptiveAvgPool1d(1) over the time dimension, followed by a flattening and the same classification head. This ablation isolates the contribution of the attention module.</w:t>
      </w:r>
    </w:p>
    <w:p>
      <w:pPr>
        <w:spacing w:after="160" w:before="0" w:line="360" w:lineRule="auto"/>
        <w:ind w:left="720"/>
        <w:jc w:val="both"/>
      </w:pPr>
      <w:r>
        <w:rPr>
          <w:rFonts w:ascii="Times New Roman" w:cs="Times New Roman" w:eastAsia="Times New Roman" w:hAnsi="Times New Roman"/>
          <w:sz w:val="24"/>
          <w:szCs w:val="24"/>
        </w:rPr>
        <w:t xml:space="preserve">CNNPred-2D Paper Baseline Architecture:</w:t>
      </w:r>
    </w:p>
    <w:p>
      <w:pPr>
        <w:spacing w:after="160" w:before="0" w:line="360" w:lineRule="auto"/>
        <w:ind w:left="720"/>
        <w:jc w:val="both"/>
      </w:pPr>
      <w:r>
        <w:rPr>
          <w:rFonts w:ascii="Times New Roman" w:cs="Times New Roman" w:eastAsia="Times New Roman" w:hAnsi="Times New Roman"/>
          <w:sz w:val="24"/>
          <w:szCs w:val="24"/>
        </w:rPr>
        <w:t xml:space="preserve">The CNNPred2DBaseline adapts the paper-style 2D-CNN architecture [1] to the current single-market setup. The input tensor (N, 7, 60) is transposed to (N, 60, 7) and unsqueezed to (N, 1, 60, 7) to form a single-channel 2D image. The following operations are applied: Conv2d(1→8, kernel=(1, 7), reduces feature dimension to 1) → ReLU → Conv2d(8→8, kernel=(3, 1), temporal convolution) → ReLU → MaxPool2d(2, 1, stride=(2,1)) → Conv2d(8→8, kernel=(3, 1)) → ReLU → MaxPool2d(2, 1, stride=(2,1)) → Dropout → Flatten → Linear(flat_dim→3). The flat_dim is computed dynamically from the input dimensions. With C=7 and T=60, this results in a model with only 779 trainable parameters, making it the smallest model in the comparison.</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3.6: Model Hyperparameter Configuration</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3646"/>
      </w:tblGrid>
      <w:tr>
        <w:trPr>
          <w:tblHeader/>
        </w:trPr>
        <w:tc>
          <w:tcPr>
            <w:tcW w:type="dxa" w:w="22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Model</w:t>
            </w:r>
          </w:p>
        </w:tc>
        <w:tc>
          <w:tcPr>
            <w:tcW w:type="dxa" w:w="22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Architecture Key Parameters</w:t>
            </w:r>
          </w:p>
        </w:tc>
        <w:tc>
          <w:tcPr>
            <w:tcW w:type="dxa" w:w="17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Trainable Params</w:t>
            </w:r>
          </w:p>
        </w:tc>
        <w:tc>
          <w:tcPr>
            <w:tcW w:type="dxa" w:w="36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Training Config</w:t>
            </w:r>
          </w:p>
        </w:tc>
      </w:tr>
      <w:tr>
        <w:trPr>
          <w:tblHeader w:val="false"/>
        </w:trP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Proposed (CNN+Attn)</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Width=48, nhead=4, 1 Transformer layer, kernel sizes 5,3,3</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~15,000–25,000</w:t>
            </w:r>
          </w:p>
        </w:tc>
        <w:tc>
          <w:tcPr>
            <w:tcW w:type="dxa" w:w="3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AdamW, LR=2e-4, WD=3e-4, weighted CE, patience=20</w:t>
            </w:r>
          </w:p>
        </w:tc>
      </w:tr>
      <w:tr>
        <w:trPr>
          <w:tblHeader w:val="false"/>
        </w:trP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1D-CNN (no attn)</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Width=48, same conv encoder, AdaptiveAvgPool</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~10,000–15,000</w:t>
            </w:r>
          </w:p>
        </w:tc>
        <w:tc>
          <w:tcPr>
            <w:tcW w:type="dxa" w:w="3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AdamW, LR=2e-4, WD=3e-4, weighted CE, patience=20</w:t>
            </w:r>
          </w:p>
        </w:tc>
      </w:tr>
      <w:tr>
        <w:trPr>
          <w:tblHeader w:val="false"/>
        </w:trP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CNNPred-2D (paper baseline)</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2D-CNN, 8 filters, 3 conv layers + 2 MaxPool</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779</w:t>
            </w:r>
          </w:p>
        </w:tc>
        <w:tc>
          <w:tcPr>
            <w:tcW w:type="dxa" w:w="3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AdamW, LR=2e-4, WD=3e-4, weighted CE, patience=20</w:t>
            </w:r>
          </w:p>
        </w:tc>
      </w:tr>
      <w:tr>
        <w:trPr>
          <w:tblHeader w:val="false"/>
        </w:trP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LSTM</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hidden=96, 1 layer, unidirectional, head: 96→48→3</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~40,000</w:t>
            </w:r>
          </w:p>
        </w:tc>
        <w:tc>
          <w:tcPr>
            <w:tcW w:type="dxa" w:w="3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AdamW, LR=2e-4, WD=3e-4, weighted CE, patience=20</w:t>
            </w:r>
          </w:p>
        </w:tc>
      </w:tr>
      <w:tr>
        <w:trPr>
          <w:tblHeader w:val="false"/>
        </w:trP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XGBoost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n_estimators=450, max_depth=4, lr=0.03, subsample=0.85</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N/A (tree model)</w:t>
            </w:r>
          </w:p>
        </w:tc>
        <w:tc>
          <w:tcPr>
            <w:tcW w:type="dxa" w:w="3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multi:softprob, reg_alpha=0.2, reg_lambda=1.2</w:t>
            </w:r>
          </w:p>
        </w:tc>
      </w:tr>
      <w:tr>
        <w:trPr>
          <w:tblHeader w:val="false"/>
        </w:trP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Dummy</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most_frequent strategy</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N/A</w:t>
            </w:r>
          </w:p>
        </w:tc>
        <w:tc>
          <w:tcPr>
            <w:tcW w:type="dxa" w:w="3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 training required</w:t>
            </w:r>
          </w:p>
        </w:tc>
      </w:tr>
      <w:tr>
        <w:trPr>
          <w:tblHeader w:val="false"/>
        </w:trP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Ensemble</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Logit average of Proposed + LSTM + XGBoost</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N/A</w:t>
            </w:r>
          </w:p>
        </w:tc>
        <w:tc>
          <w:tcPr>
            <w:tcW w:type="dxa" w:w="3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 additional training; inference only</w:t>
            </w:r>
          </w:p>
        </w:tc>
      </w:tr>
    </w:tbl>
    <w:p>
      <w:pPr>
        <w:spacing w:after="120" w:before="200" w:line="360" w:lineRule="auto"/>
      </w:pPr>
      <w:r>
        <w:rPr>
          <w:rFonts w:ascii="Times New Roman" w:cs="Times New Roman" w:eastAsia="Times New Roman" w:hAnsi="Times New Roman"/>
          <w:b/>
          <w:bCs/>
          <w:sz w:val="24"/>
          <w:szCs w:val="24"/>
        </w:rPr>
        <w:t xml:space="preserve">3.2.4  OUTCOME OF OBJECTIVES / RESULT ANALYSIS</w:t>
      </w:r>
    </w:p>
    <w:p>
      <w:pPr>
        <w:spacing w:after="160" w:before="0" w:line="360" w:lineRule="auto"/>
        <w:ind w:left="720"/>
        <w:jc w:val="both"/>
      </w:pPr>
      <w:r>
        <w:rPr>
          <w:rFonts w:ascii="Times New Roman" w:cs="Times New Roman" w:eastAsia="Times New Roman" w:hAnsi="Times New Roman"/>
          <w:sz w:val="24"/>
          <w:szCs w:val="24"/>
        </w:rPr>
        <w:t xml:space="preserve">Sprint II concluded with all six comparison systems trained, evaluated, and documented. The key outcomes of the sprint are:</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feature-group ablation study compared seven feature groups (ranging from 7 to 11 features) using the proposed model. The "Base price+tech (7)" group achieved the highest mean MCC of 0.0996 among all groups tested. The full 11-feature group achieved only 0.0533, confirming that additional features did not improve the proposed model and may have introduced noise. The 7-feature group was selected as the frozen final group.</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CNNPred-2D paper baseline was successfully implemented with 779 parameters (small due to only 7 feature channels) and trained under identical conditions. It achieved a single-run mean Macro F1 of 0.3139 and mean MCC of 0.0137, confirming that the paper-style baseline is the weakest model in the comparison (above Dummy only).</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proposed CNN+Attention model achieved the highest single-run mean MCC of 0.0996 among all standalone models, and the highest mean Macro F1 of 0.3495 among all custom deep models. Both results exceed the CNNPred-2D baseline by measurable margins.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multi-seed robustness analysis confirmed that the proposed model has higher seed sensitivity (Std F1 = 0.0355) than LSTM (0.0065) and XGBoost (0.0060). Despite this, the proposed model's mean MCC of 0.0691 across seeds remains substantially above CNNPred's mean MCC of 0.0178.</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ensemble of Proposed + LSTM + XGBoost achieved the highest mean Macro F1 of 0.3625 in single-run evaluation and 0.3508 across seeds, making it the strongest overall predictor.</w:t>
      </w:r>
    </w:p>
    <w:p>
      <w:pPr>
        <w:spacing w:after="120" w:before="200" w:line="360" w:lineRule="auto"/>
      </w:pPr>
      <w:r>
        <w:rPr>
          <w:rFonts w:ascii="Times New Roman" w:cs="Times New Roman" w:eastAsia="Times New Roman" w:hAnsi="Times New Roman"/>
          <w:b/>
          <w:bCs/>
          <w:sz w:val="24"/>
          <w:szCs w:val="24"/>
        </w:rPr>
        <w:t xml:space="preserve">3.2.5  SPRINT RETROSPECTIVE</w:t>
      </w:r>
    </w:p>
    <w:p>
      <w:pPr>
        <w:spacing w:after="160" w:before="0" w:line="360" w:lineRule="auto"/>
        <w:ind w:left="720"/>
        <w:jc w:val="both"/>
      </w:pPr>
      <w:r>
        <w:rPr>
          <w:rFonts w:ascii="Times New Roman" w:cs="Times New Roman" w:eastAsia="Times New Roman" w:hAnsi="Times New Roman"/>
          <w:sz w:val="24"/>
          <w:szCs w:val="24"/>
        </w:rPr>
        <w:t xml:space="preserve">The Sprint II retrospective identified the following key outcomes and decisions:</w:t>
      </w:r>
    </w:p>
    <w:p>
      <w:pPr>
        <w:spacing w:after="160" w:before="0" w:line="360" w:lineRule="auto"/>
        <w:ind w:left="720"/>
        <w:jc w:val="both"/>
      </w:pPr>
      <w:r>
        <w:rPr>
          <w:rFonts w:ascii="Times New Roman" w:cs="Times New Roman" w:eastAsia="Times New Roman" w:hAnsi="Times New Roman"/>
          <w:sz w:val="24"/>
          <w:szCs w:val="24"/>
        </w:rPr>
        <w:t xml:space="preserve">What went well: The training infrastructure (AdamW + ReduceLROnPlateau + early stopping on F1) provided stable training across all model types. The weighted cross-entropy loss prevented class collapse in the Proposed and LSTM models. The feature-group ablation was successfully completed and provided a principled basis for the final feature group selection. The CNNPred-2D baseline integration was completed cleanly in the v5.2 notebook branch.</w:t>
      </w:r>
    </w:p>
    <w:p>
      <w:pPr>
        <w:spacing w:after="160" w:before="0" w:line="360" w:lineRule="auto"/>
        <w:ind w:left="720"/>
        <w:jc w:val="both"/>
      </w:pPr>
      <w:r>
        <w:rPr>
          <w:rFonts w:ascii="Times New Roman" w:cs="Times New Roman" w:eastAsia="Times New Roman" w:hAnsi="Times New Roman"/>
          <w:sz w:val="24"/>
          <w:szCs w:val="24"/>
        </w:rPr>
        <w:t xml:space="preserve">What required revision: Two issues were identified and resolved during Sprint II. First, an earlier version of the pipeline used validation loss rather than validation Macro F1 for model selection, leading to models that minimized CE loss rather than the actual thesis evaluation metric. This was corrected by switching early stopping to maximize validation Macro F1 with MCC as tie-break. Second, the original focal-loss implementation was found to use weighted cross-entropy quantities in the focal modulation term instead of true-class probabilities, making the focal objective mathematically incorrect. The focal-loss path was removed from the final pipeline and replaced with weighted cross-entropy exclusively.</w:t>
      </w:r>
    </w:p>
    <w:p>
      <w:pPr>
        <w:spacing w:after="160" w:before="0" w:line="360" w:lineRule="auto"/>
        <w:ind w:left="720"/>
        <w:jc w:val="both"/>
      </w:pPr>
      <w:r>
        <w:rPr>
          <w:rFonts w:ascii="Times New Roman" w:cs="Times New Roman" w:eastAsia="Times New Roman" w:hAnsi="Times New Roman"/>
          <w:sz w:val="24"/>
          <w:szCs w:val="24"/>
        </w:rPr>
        <w:t xml:space="preserve">Decisions carried forward: The reporting freeze was applied after the frozen final comparison results were recorded. No architecture tuning, hyperparameter modification, or additional training was performed after the freeze. Fold 1 (February 2020 – May 2021, COVID anomaly fold) was not retuned away; the architecture was intentionally kept constant across all folds. The ensemble is presented as the strongest practical predictor, while the standalone Proposed model is presented as the principal architectural contribution.</w:t>
      </w:r>
    </w:p>
    <w:p>
      <w:pPr>
        <w:spacing w:after="160" w:before="0" w:line="360" w:lineRule="auto"/>
        <w:ind w:left="720"/>
        <w:jc w:val="both"/>
      </w:pPr>
      <w:r>
        <w:rPr>
          <w:rFonts w:ascii="Times New Roman" w:cs="Times New Roman" w:eastAsia="Times New Roman" w:hAnsi="Times New Roman"/>
          <w:sz w:val="24"/>
          <w:szCs w:val="24"/>
        </w:rPr>
        <w:t xml:space="preserve">Known limitations: The proposed model exhibits higher seed-to-seed variance than LSTM and XGBoost (Std F1 = 0.0355 vs. 0.0065 and 0.0060). This is consistent with the general behavior of Transformer-based models on small datasets. The dataset size of approximately 2,762 trading days with three folds of ~324 test samples each is below the scale at which Transformer architectures typically demonstrate their full advantage. The results should be interpreted as providing directional evidence for the proposed approach rather than a definitive benchmark.</w:t>
      </w:r>
    </w:p>
    <w:p>
      <w:pPr>
        <w:pageBreakBefore/>
        <w:spacing w:after="480" w:before="0" w:line="360" w:lineRule="auto"/>
        <w:jc w:val="center"/>
      </w:pPr>
      <w:r>
        <w:rPr>
          <w:rFonts w:ascii="Times New Roman" w:cs="Times New Roman" w:eastAsia="Times New Roman" w:hAnsi="Times New Roman"/>
          <w:b/>
          <w:bCs/>
          <w:sz w:val="32"/>
          <w:szCs w:val="32"/>
        </w:rPr>
        <w:t xml:space="preserve">CHAPTER 4</w:t>
      </w:r>
      <w:r>
        <w:rPr>
          <w:rFonts w:ascii="Times New Roman" w:cs="Times New Roman" w:eastAsia="Times New Roman" w:hAnsi="Times New Roman"/>
          <w:b/>
          <w:bCs/>
          <w:sz w:val="32"/>
          <w:szCs w:val="32"/>
        </w:rPr>
        <w:t xml:space="preserve">
RESULTS AND DISCUSSIONS</w:t>
      </w:r>
    </w:p>
    <w:p>
      <w:pPr>
        <w:spacing w:after="160" w:before="360" w:line="360" w:lineRule="auto"/>
      </w:pPr>
      <w:r>
        <w:rPr>
          <w:rFonts w:ascii="Times New Roman" w:cs="Times New Roman" w:eastAsia="Times New Roman" w:hAnsi="Times New Roman"/>
          <w:b/>
          <w:bCs/>
          <w:sz w:val="32"/>
          <w:szCs w:val="32"/>
        </w:rPr>
        <w:t xml:space="preserve">4.1  Project Outcomes (Performance Evaluation, Comparisons, Testing Results)</w:t>
      </w:r>
    </w:p>
    <w:p>
      <w:pPr>
        <w:spacing w:after="160" w:before="0" w:line="360" w:lineRule="auto"/>
        <w:ind w:left="720"/>
        <w:jc w:val="both"/>
      </w:pPr>
      <w:r>
        <w:rPr>
          <w:rFonts w:ascii="Times New Roman" w:cs="Times New Roman" w:eastAsia="Times New Roman" w:hAnsi="Times New Roman"/>
          <w:sz w:val="24"/>
          <w:szCs w:val="24"/>
        </w:rPr>
        <w:t xml:space="preserve">This chapter presents the complete empirical results of the Kairos v5.2 frozen final comparison. All results were produced from the reporting-freeze pass of the notebook, with no post-hoc tuning or result selection. The primary evaluation metrics are Macro F1-score and Matthews Correlation Coefficient (MCC). Down-class recall is reported as a secondary financial-risk diagnostic, and accuracy is reported for reference only. Results are presented for single-run evaluation across three walk-forward folds and for multi-seed robustness analysis across five random seeds.</w:t>
      </w:r>
    </w:p>
    <w:p>
      <w:pPr>
        <w:spacing w:after="120" w:before="200" w:line="360" w:lineRule="auto"/>
      </w:pPr>
      <w:r>
        <w:rPr>
          <w:rFonts w:ascii="Times New Roman" w:cs="Times New Roman" w:eastAsia="Times New Roman" w:hAnsi="Times New Roman"/>
          <w:b/>
          <w:bCs/>
          <w:sz w:val="24"/>
          <w:szCs w:val="24"/>
        </w:rPr>
        <w:t xml:space="preserve">4.1.1  SINGLE-RUN PERFORMANCE SUMMARY</w:t>
      </w:r>
    </w:p>
    <w:p>
      <w:pPr>
        <w:spacing w:after="160" w:before="0" w:line="360" w:lineRule="auto"/>
        <w:ind w:left="720"/>
        <w:jc w:val="both"/>
      </w:pPr>
      <w:r>
        <w:rPr>
          <w:rFonts w:ascii="Times New Roman" w:cs="Times New Roman" w:eastAsia="Times New Roman" w:hAnsi="Times New Roman"/>
          <w:sz w:val="24"/>
          <w:szCs w:val="24"/>
        </w:rPr>
        <w:t xml:space="preserve">The following table presents the mean and standard deviation of Macro F1, MCC, accuracy, and Down-class recall for all seven comparison systems, averaged across the three walk-forward folds:</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4.1: Single-Run Performance Summary – All Models (Mean ± Std, 3 Walk-Forward Folds)</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400"/>
        <w:gridCol w:w="1946"/>
      </w:tblGrid>
      <w:tr>
        <w:trPr>
          <w:tblHeader/>
        </w:trPr>
        <w:tc>
          <w:tcPr>
            <w:tcW w:type="dxa" w:w="24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Model</w:t>
            </w:r>
          </w:p>
        </w:tc>
        <w:tc>
          <w:tcPr>
            <w:tcW w:type="dxa" w:w="20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Macro F1 (Mean ± Std)</w:t>
            </w:r>
          </w:p>
        </w:tc>
        <w:tc>
          <w:tcPr>
            <w:tcW w:type="dxa" w:w="20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MCC (Mean ± Std)</w:t>
            </w:r>
          </w:p>
        </w:tc>
        <w:tc>
          <w:tcPr>
            <w:tcW w:type="dxa" w:w="14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Accuracy</w:t>
            </w:r>
          </w:p>
        </w:tc>
        <w:tc>
          <w:tcPr>
            <w:tcW w:type="dxa" w:w="19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Down Recall</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Ensemble (Prop+LSTM+XGB)</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0.3625 ± 0.040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0.0912 ± 0.058</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0.4043</w:t>
            </w:r>
          </w:p>
        </w:tc>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0.1951</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Proposed (CNN+Attn)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0.3495 ± 0.069</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0.0996 ± 0.061</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0.3796</w:t>
            </w:r>
          </w:p>
        </w:tc>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0.3166</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XGBoost</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0.3470 ± 0.035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0.0433 ± 0.045</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LSTM</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0.3445 ± 0.038</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0.0934 ± 0.035</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1D-CNN (no attn)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0.3398 ± 0.022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0.0976 ± 0.048</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CNNPred-2D (paper baseline)</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0.3139 ± 0.031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0.0137 ± 0.040</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0.3663</w:t>
            </w:r>
          </w:p>
        </w:tc>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0.0760</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Dummy (majority class)</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0.1866 ± 0.006</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0.0000</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r>
    </w:tbl>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The results establish the following hierarchy of model performance on this three-class S&amp;P 500 trend classification task:</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Ensemble (Proposed + LSTM + XGBoost) achieves the highest mean Macro F1 at 0.3625, making it the strongest overall predictive system. It also achieves a mean MCC of 0.0912, which is the second-highest MCC value in the comparison.</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Proposed CNN+Attention model achieves the highest single-run mean MCC at 0.0996, which is the most important result for the thesis's central claim about directional classification quality. Its mean Macro F1 of 0.3495 is the second-highest among standalone models.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XGBoost achieves a competitive mean Macro F1 of 0.3470 but a weak mean MCC of 0.0433, suggesting that while its overall classification counts are reasonable, its directional signal quality — the ability to avoid systematic confusion — is weaker than the proposed model. This is consistent with XGBoost treating all 420 flattened time-step/feature combinations as independent features without temporal structure.</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1D-CNN (no attn) ablation achieves a mean MCC of 0.0976, nearly as high as the proposed model (0.0996). This is an honest result: the attention module provides only marginal MCC improvement over the same convolutional encoder without attention, under this dataset size and evaluation protocol.</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CNNPred-2D (paper baseline) achieves a mean Macro F1 of 0.3139 and a mean MCC of 0.0137. It ranks above only the Dummy classifier. Its MCC is particularly weak, indicating that its 2D-convolutional design does not produce reliable directional correlation with the true three-class labels under this evaluation setup.</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The Dummy classifier, as expected, achieves a mean Macro F1 of 0.1866 (due to zero F1 on minority classes) and MCC of 0.0000. All deep learning and ML models meaningfully exceed this baseline.</w:t>
      </w:r>
    </w:p>
    <w:p>
      <w:pPr>
        <w:spacing w:after="120" w:before="200" w:line="360" w:lineRule="auto"/>
      </w:pPr>
      <w:r>
        <w:rPr>
          <w:rFonts w:ascii="Times New Roman" w:cs="Times New Roman" w:eastAsia="Times New Roman" w:hAnsi="Times New Roman"/>
          <w:b/>
          <w:bCs/>
          <w:sz w:val="24"/>
          <w:szCs w:val="24"/>
        </w:rPr>
        <w:t xml:space="preserve">4.1.2  PER-FOLD ANALYSIS — PROPOSED MODEL</w:t>
      </w:r>
    </w:p>
    <w:p>
      <w:pPr>
        <w:spacing w:after="160" w:before="0" w:line="360" w:lineRule="auto"/>
        <w:ind w:left="720"/>
        <w:jc w:val="both"/>
      </w:pPr>
      <w:r>
        <w:rPr>
          <w:rFonts w:ascii="Times New Roman" w:cs="Times New Roman" w:eastAsia="Times New Roman" w:hAnsi="Times New Roman"/>
          <w:sz w:val="24"/>
          <w:szCs w:val="24"/>
        </w:rPr>
        <w:t xml:space="preserve">The proposed CNN+Attention model's per-fold results reveal significant variation across the three evaluation windows:</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4.2: Per-Fold Results – Proposed (CNN+Attn)</w:t>
      </w:r>
    </w:p>
    <w:tbl>
      <w:tblPr>
        <w:tblW w:type="dxa" w:w="11746"/>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3000"/>
        <w:gridCol w:w="1946"/>
      </w:tblGrid>
      <w:tr>
        <w:trPr>
          <w:tblHeader/>
        </w:trPr>
        <w:tc>
          <w:tcPr>
            <w:tcW w:type="dxa" w:w="12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Fold</w:t>
            </w:r>
          </w:p>
        </w:tc>
        <w:tc>
          <w:tcPr>
            <w:tcW w:type="dxa" w:w="28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Test Period</w:t>
            </w:r>
          </w:p>
        </w:tc>
        <w:tc>
          <w:tcPr>
            <w:tcW w:type="dxa" w:w="28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Macro F1</w:t>
            </w:r>
          </w:p>
        </w:tc>
        <w:tc>
          <w:tcPr>
            <w:tcW w:type="dxa" w:w="30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MCC</w:t>
            </w:r>
          </w:p>
        </w:tc>
        <w:tc>
          <w:tcPr>
            <w:tcW w:type="dxa" w:w="19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Notes</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1</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2020-02-13 to 2021-05-26</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0.2612</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0.0192</w:t>
            </w:r>
          </w:p>
        </w:tc>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COVID crash + recovery period; extraordinary exogenous shock</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2</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2021-05-27 to 2022-09-08</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0.3564</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0.1127</w:t>
            </w:r>
          </w:p>
        </w:tc>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Post-recovery, early inflation regime; model performs near average</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3</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2022-09-09 to 2023-12-31</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0.4308</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0.1670</w:t>
            </w:r>
          </w:p>
        </w:tc>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Best fold; rate-hike and recovery regime; strongest directional signal</w:t>
            </w:r>
          </w:p>
        </w:tc>
      </w:tr>
    </w:tbl>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Fold 1 is explicitly the weakest result, with Macro F1 of 0.2612 and MCC of 0.0192. This fold covers the COVID-19 crash of February–March 2020 (the fastest 30%-plus decline in S&amp;P 500 history) and the subsequent extraordinary V-shaped recovery driven by unprecedented fiscal and monetary policy intervention. These dynamics — driven by an exogenous pandemic shock rather than by endogenous technical patterns in price and volume data — are outside the domain of what a 7-feature technical indicator model can plausibly learn. The decision not to retune the model architecture for Fold 1 was made deliberately, as any such retuning would risk overfitting an anomalous macro event.</w:t>
      </w:r>
    </w:p>
    <w:p>
      <w:pPr>
        <w:spacing w:after="160" w:before="0" w:line="360" w:lineRule="auto"/>
        <w:ind w:left="720"/>
        <w:jc w:val="both"/>
      </w:pPr>
      <w:r>
        <w:rPr>
          <w:rFonts w:ascii="Times New Roman" w:cs="Times New Roman" w:eastAsia="Times New Roman" w:hAnsi="Times New Roman"/>
          <w:sz w:val="24"/>
          <w:szCs w:val="24"/>
        </w:rPr>
        <w:t xml:space="preserve">Fold 3 shows the strongest performance across all metrics, with Macro F1 of 0.4308 and MCC of 0.1670. This period — covering the Federal Reserve's rate-hiking cycle and the subsequent partial recovery — shows clearer directional patterns in the features that the model can extract. The improving trend from Fold 1 to Fold 3 also suggests that the growing training window (anchored from 2013) provides cumulative benefit as more historical regime cycles are included.</w:t>
      </w:r>
    </w:p>
    <w:p>
      <w:pPr>
        <w:spacing w:after="120" w:before="200" w:line="360" w:lineRule="auto"/>
      </w:pPr>
      <w:r>
        <w:rPr>
          <w:rFonts w:ascii="Times New Roman" w:cs="Times New Roman" w:eastAsia="Times New Roman" w:hAnsi="Times New Roman"/>
          <w:b/>
          <w:bCs/>
          <w:sz w:val="24"/>
          <w:szCs w:val="24"/>
        </w:rPr>
        <w:t xml:space="preserve">4.1.3  PER-FOLD ANALYSIS — CNNPRED-2D PAPER BASELINE</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4.3: Per-Fold Results – CNNPred-2D (Paper Baseline)</w:t>
      </w:r>
    </w:p>
    <w:tbl>
      <w:tblPr>
        <w:tblW w:type="dxa" w:w="11746"/>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3000"/>
        <w:gridCol w:w="1946"/>
      </w:tblGrid>
      <w:tr>
        <w:trPr>
          <w:tblHeader/>
        </w:trPr>
        <w:tc>
          <w:tcPr>
            <w:tcW w:type="dxa" w:w="12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Fold</w:t>
            </w:r>
          </w:p>
        </w:tc>
        <w:tc>
          <w:tcPr>
            <w:tcW w:type="dxa" w:w="28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Test Period</w:t>
            </w:r>
          </w:p>
        </w:tc>
        <w:tc>
          <w:tcPr>
            <w:tcW w:type="dxa" w:w="28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Macro F1</w:t>
            </w:r>
          </w:p>
        </w:tc>
        <w:tc>
          <w:tcPr>
            <w:tcW w:type="dxa" w:w="30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MCC</w:t>
            </w:r>
          </w:p>
        </w:tc>
        <w:tc>
          <w:tcPr>
            <w:tcW w:type="dxa" w:w="19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Notes</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1</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2020-02-13 to 2021-05-26</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0.3579</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0.0686</w:t>
            </w:r>
          </w:p>
        </w:tc>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Best CNNPred fold; relatively strong but anomalous period</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2</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2021-05-27 to 2022-09-08</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0.2976</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−0.0240</w:t>
            </w:r>
          </w:p>
        </w:tc>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Negative MCC: predictions worse than random on this fold</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3</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2022-09-09 to 2023-12-31</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0.2861</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−0.0034</w:t>
            </w:r>
          </w:p>
        </w:tc>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Near-zero MCC; model produces near-uncorrelated predictions</w:t>
            </w:r>
          </w:p>
        </w:tc>
      </w:tr>
    </w:tbl>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The CNNPred-2D baseline's per-fold trajectory is the inverse of the proposed model's: its best fold is Fold 1 (where the proposed model performs worst), and its performance degrades across Folds 2 and 3. Negative MCC values in Folds 2 and 3 indicate that the model's predictions are anti-correlated with the true labels on those folds — effectively worse than random guessing in terms of directional quality. This degradation pattern is consistent with the model overfitting to patterns in the Fold 1 training window and failing to generalize to the different regime characteristics of Folds 2 and 3. The shallow 2D-convolutional architecture with only 779 parameters appears insufficient to capture the feature interactions that are predictive across different market regimes.</w:t>
      </w:r>
    </w:p>
    <w:p>
      <w:pPr>
        <w:spacing w:after="120" w:before="200" w:line="360" w:lineRule="auto"/>
      </w:pPr>
      <w:r>
        <w:rPr>
          <w:rFonts w:ascii="Times New Roman" w:cs="Times New Roman" w:eastAsia="Times New Roman" w:hAnsi="Times New Roman"/>
          <w:b/>
          <w:bCs/>
          <w:sz w:val="24"/>
          <w:szCs w:val="24"/>
        </w:rPr>
        <w:t xml:space="preserve">4.1.4  PROPOSED VS CNNPRED-2D: DIRECT COMPARISON</w:t>
      </w:r>
    </w:p>
    <w:p>
      <w:pPr>
        <w:spacing w:after="160" w:before="0" w:line="360" w:lineRule="auto"/>
        <w:ind w:left="720"/>
        <w:jc w:val="both"/>
      </w:pPr>
      <w:r>
        <w:rPr>
          <w:rFonts w:ascii="Times New Roman" w:cs="Times New Roman" w:eastAsia="Times New Roman" w:hAnsi="Times New Roman"/>
          <w:sz w:val="24"/>
          <w:szCs w:val="24"/>
        </w:rPr>
        <w:t xml:space="preserve">The direct comparison between the proposed model and the CNNPred-2D paper baseline is the central empirical finding of this project:</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Single-run Macro F1: Proposed 0.3495 vs CNNPred 0.3139. Advantage: +0.0356 in favor of proposed.</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Single-run MCC: Proposed 0.0996 vs CNNPred 0.0137. Advantage: +0.0859 in favor of proposed.</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Multi-seed mean F1: Proposed 0.3251 vs CNNPred 0.3190. Advantage: +0.0061 in favor of proposed.</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Multi-seed mean MCC: Proposed 0.0691 vs CNNPred 0.0178. Advantage: +0.0513 in favor of proposed.</w:t>
      </w:r>
    </w:p>
    <w:p>
      <w:pPr>
        <w:spacing w:after="160" w:before="0" w:line="360" w:lineRule="auto"/>
        <w:ind w:left="720"/>
        <w:jc w:val="both"/>
      </w:pPr>
      <w:r>
        <w:rPr>
          <w:rFonts w:ascii="Times New Roman" w:cs="Times New Roman" w:eastAsia="Times New Roman" w:hAnsi="Times New Roman"/>
          <w:sz w:val="24"/>
          <w:szCs w:val="24"/>
        </w:rPr>
        <w:t xml:space="preserve">The stronger argument for the proposed model is MCC, not F1. The MCC gap is large and consistent across both single-run and multi-seed evaluation: the proposed model achieves roughly five times the MCC of CNNPred in single-run evaluation and nearly four times the MCC in multi-seed evaluation. MCC is the more informative metric under three-class imbalance because it accounts for all nine cells of the confusion matrix rather than averaging per-class F1 scores. A high MCC indicates that the model is producing predictions that are meaningfully correlated with the true class labels across all three categories, not merely predicting the majority class well.</w:t>
      </w:r>
    </w:p>
    <w:p>
      <w:pPr>
        <w:spacing w:after="160" w:before="0" w:line="360" w:lineRule="auto"/>
        <w:ind w:left="720"/>
        <w:jc w:val="both"/>
      </w:pPr>
      <w:r>
        <w:rPr>
          <w:rFonts w:ascii="Times New Roman" w:cs="Times New Roman" w:eastAsia="Times New Roman" w:hAnsi="Times New Roman"/>
          <w:sz w:val="24"/>
          <w:szCs w:val="24"/>
        </w:rPr>
        <w:t xml:space="preserve">The F1 gap is smaller and narrows under multi-seed evaluation (from 0.0356 to 0.0061), reflecting the higher seed sensitivity of the proposed model. Under a fixed seed, the proposed model consistently outperforms CNNPred. Under random seed averaging, the margin is smaller but remains positive.</w:t>
      </w:r>
    </w:p>
    <w:p>
      <w:pPr>
        <w:spacing w:after="120" w:before="200" w:line="360" w:lineRule="auto"/>
      </w:pPr>
      <w:r>
        <w:rPr>
          <w:rFonts w:ascii="Times New Roman" w:cs="Times New Roman" w:eastAsia="Times New Roman" w:hAnsi="Times New Roman"/>
          <w:b/>
          <w:bCs/>
          <w:sz w:val="24"/>
          <w:szCs w:val="24"/>
        </w:rPr>
        <w:t xml:space="preserve">4.1.5  FOLD COMPARISON VISUALIZATION</w:t>
      </w:r>
    </w:p>
    <w:p>
      <w:pPr>
        <w:spacing w:after="80" w:before="0"/>
      </w:pPr>
      <w:r>
        <w:t xml:space="preserve"/>
      </w:r>
    </w:p>
    <w:p>
      <w:pPr>
        <w:spacing w:after="80" w:before="160"/>
        <w:jc w:val="center"/>
      </w:pPr>
      <w:r>
        <w:drawing>
          <wp:inline distT="0" distB="0" distL="0" distR="0">
            <wp:extent cx="5715000" cy="3048000"/>
            <wp:effectExtent t="0" r="0" b="0" l="0"/>
            <wp:docPr id="1" name="Model Comparison Across Walk-Forward Folds" descr="Model Comparison Across Walk-Forward Folds" title="Model Comparison Across Walk-Forward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200" w:before="80" w:line="360" w:lineRule="auto"/>
        <w:jc w:val="center"/>
      </w:pPr>
      <w:r>
        <w:rPr>
          <w:rFonts w:ascii="Times New Roman" w:cs="Times New Roman" w:eastAsia="Times New Roman" w:hAnsi="Times New Roman"/>
          <w:b/>
          <w:bCs/>
          <w:sz w:val="24"/>
          <w:szCs w:val="24"/>
        </w:rPr>
        <w:t xml:space="preserve">Fig 4.1: Model Comparison Across Walk-Forward Folds – Base price+tech (7). Left: Macro F1 per fold. Right: MCC per fold. The proposed model (teal solid) shows a consistent improvement from Fold 1 to Fold 3. CNNPred-2D (orange dashed) exhibits degradation from Fold 1 onward with negative MCC in Folds 2 and 3.</w:t>
      </w:r>
    </w:p>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Figure 4.1 visualizes the per-fold performance trajectories for all seven comparison systems. The proposed model exhibits a clear upward trend from Fold 1 to Fold 3 on both Macro F1 (0.2612 → 0.3564 → 0.4308) and MCC (0.0192 → 0.1127 → 0.1670). The ensemble (brown solid) outperforms the proposed model on Macro F1 in Fold 1 but is exceeded by the proposed model on MCC in all three folds. The CNNPred-2D baseline (orange dashed) shows a declining MCC trajectory with negative values in Folds 2 and 3, confirming that its predictions become anti-correlated with the true labels in later evaluation windows.</w:t>
      </w:r>
    </w:p>
    <w:p>
      <w:pPr>
        <w:spacing w:after="80" w:before="0"/>
      </w:pPr>
      <w:r>
        <w:t xml:space="preserve"/>
      </w:r>
    </w:p>
    <w:p>
      <w:pPr>
        <w:spacing w:after="80" w:before="160"/>
        <w:jc w:val="center"/>
      </w:pPr>
      <w:r>
        <w:drawing>
          <wp:inline distT="0" distB="0" distL="0" distR="0">
            <wp:extent cx="5715000" cy="2047875"/>
            <wp:effectExtent t="0" r="0" b="0" l="0"/>
            <wp:docPr id="1" name="Mean Plus Minus Std Performance Across All Folds" descr="Mean Plus Minus Std Performance Across All Folds" title="Mean Plus Minus Std Performance Across All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47875"/>
                    </a:xfrm>
                    <a:prstGeom prst="rect">
                      <a:avLst/>
                    </a:prstGeom>
                  </pic:spPr>
                </pic:pic>
              </a:graphicData>
            </a:graphic>
          </wp:inline>
        </w:drawing>
      </w:r>
    </w:p>
    <w:p>
      <w:pPr>
        <w:spacing w:after="200" w:before="80" w:line="360" w:lineRule="auto"/>
        <w:jc w:val="center"/>
      </w:pPr>
      <w:r>
        <w:rPr>
          <w:rFonts w:ascii="Times New Roman" w:cs="Times New Roman" w:eastAsia="Times New Roman" w:hAnsi="Times New Roman"/>
          <w:b/>
          <w:bCs/>
          <w:sz w:val="24"/>
          <w:szCs w:val="24"/>
        </w:rPr>
        <w:t xml:space="preserve">Fig 4.2: Mean ± Standard Deviation Across All Folds – Base price+tech (7). Left: Mean Macro F1 with error bars. Right: Mean MCC with error bars. The ensemble leads on F1. The proposed model leads on single-run MCC. CNNPred-2D ranks above only Dummy on both metrics.</w:t>
      </w:r>
    </w:p>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Figure 4.2 presents the mean ± standard deviation summary for all models. The error bars reflect fold-to-fold variance (3 folds), not seed variance. The proposed model has the largest F1 error bar (±0.069) due to Fold 1's COVID-period underperformance. CNNPred-2D's MCC error bar extends into negative territory, reflecting the negative MCC values in Folds 2 and 3.</w:t>
      </w:r>
    </w:p>
    <w:p>
      <w:pPr>
        <w:spacing w:after="120" w:before="200" w:line="360" w:lineRule="auto"/>
      </w:pPr>
      <w:r>
        <w:rPr>
          <w:rFonts w:ascii="Times New Roman" w:cs="Times New Roman" w:eastAsia="Times New Roman" w:hAnsi="Times New Roman"/>
          <w:b/>
          <w:bCs/>
          <w:sz w:val="24"/>
          <w:szCs w:val="24"/>
        </w:rPr>
        <w:t xml:space="preserve">4.1.6  MULTI-SEED ROBUSTNESS ANALYSIS</w:t>
      </w:r>
    </w:p>
    <w:p>
      <w:pPr>
        <w:spacing w:after="160" w:before="0" w:line="360" w:lineRule="auto"/>
        <w:ind w:left="720"/>
        <w:jc w:val="both"/>
      </w:pPr>
      <w:r>
        <w:rPr>
          <w:rFonts w:ascii="Times New Roman" w:cs="Times New Roman" w:eastAsia="Times New Roman" w:hAnsi="Times New Roman"/>
          <w:sz w:val="24"/>
          <w:szCs w:val="24"/>
        </w:rPr>
        <w:t xml:space="preserve">The multi-seed robustness analysis re-runs all models across five random seeds (7, 21, 42, 84, 168) and reports the mean and standard deviation of key metrics averaged across seeds × folds:</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4.4: Multi-Seed Robustness Summary (5 Seeds: 7, 21, 42, 84, 168)</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700"/>
        <w:gridCol w:w="1646"/>
      </w:tblGrid>
      <w:tr>
        <w:trPr>
          <w:tblHeader/>
        </w:trPr>
        <w:tc>
          <w:tcPr>
            <w:tcW w:type="dxa" w:w="24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Model</w:t>
            </w:r>
          </w:p>
        </w:tc>
        <w:tc>
          <w:tcPr>
            <w:tcW w:type="dxa" w:w="20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Mean F1 ± Std</w:t>
            </w:r>
          </w:p>
        </w:tc>
        <w:tc>
          <w:tcPr>
            <w:tcW w:type="dxa" w:w="20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Mean MCC ± Std</w:t>
            </w:r>
          </w:p>
        </w:tc>
        <w:tc>
          <w:tcPr>
            <w:tcW w:type="dxa" w:w="17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Mean Acc ± Std</w:t>
            </w:r>
          </w:p>
        </w:tc>
        <w:tc>
          <w:tcPr>
            <w:tcW w:type="dxa" w:w="16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Mean DownRec ± Std</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Ensemble (Prop+LSTM+XGB)</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0.3508 ± 0.0083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0.0755 ± 0.0105</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c>
          <w:tcPr>
            <w:tcW w:type="dxa" w:w="1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LSTM</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0.3487 ± 0.0065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0.0775 ± 0.0127</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c>
          <w:tcPr>
            <w:tcW w:type="dxa" w:w="1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XGBoost</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0.3400 ± 0.0060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0.0350 ± 0.0072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c>
          <w:tcPr>
            <w:tcW w:type="dxa" w:w="1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Proposed (CNN+Attn)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0.3251 ± 0.0355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0.0691 ± 0.0283</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c>
          <w:tcPr>
            <w:tcW w:type="dxa" w:w="1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1D-CNN (no attn)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0.3193 ± 0.0186</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0.0671 ± 0.0246</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c>
          <w:tcPr>
            <w:tcW w:type="dxa" w:w="1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CNNPred-2D (paper baseline)</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0.3190 ± 0.0132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0.0178 ± 0.0178</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0.3617 ± 0.0096</w:t>
            </w:r>
          </w:p>
        </w:tc>
        <w:tc>
          <w:tcPr>
            <w:tcW w:type="dxa" w:w="1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0.1785 ± 0.0781</w:t>
            </w:r>
          </w:p>
        </w:tc>
      </w:tr>
      <w:tr>
        <w:trPr>
          <w:tblHeader w:val="false"/>
        </w:trP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Dummy</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0.1866 ± 0.006</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0.0000</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c>
          <w:tcPr>
            <w:tcW w:type="dxa" w:w="1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t>
            </w:r>
          </w:p>
        </w:tc>
      </w:tr>
    </w:tbl>
    <w:p>
      <w:pPr>
        <w:spacing w:after="80" w:before="0"/>
      </w:pPr>
      <w:r>
        <w:t xml:space="preserve"/>
      </w:r>
    </w:p>
    <w:p>
      <w:pPr>
        <w:spacing w:after="80" w:before="160"/>
        <w:jc w:val="center"/>
      </w:pPr>
      <w:r>
        <w:drawing>
          <wp:inline distT="0" distB="0" distL="0" distR="0">
            <wp:extent cx="5143500" cy="2047875"/>
            <wp:effectExtent t="0" r="0" b="0" l="0"/>
            <wp:docPr id="1" name="Robustness Across Random Seeds" descr="Robustness Across Random Seeds" title="Robustness Across Random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047875"/>
                    </a:xfrm>
                    <a:prstGeom prst="rect">
                      <a:avLst/>
                    </a:prstGeom>
                  </pic:spPr>
                </pic:pic>
              </a:graphicData>
            </a:graphic>
          </wp:inline>
        </w:drawing>
      </w:r>
    </w:p>
    <w:p>
      <w:pPr>
        <w:spacing w:after="200" w:before="80" w:line="360" w:lineRule="auto"/>
        <w:jc w:val="center"/>
      </w:pPr>
      <w:r>
        <w:rPr>
          <w:rFonts w:ascii="Times New Roman" w:cs="Times New Roman" w:eastAsia="Times New Roman" w:hAnsi="Times New Roman"/>
          <w:b/>
          <w:bCs/>
          <w:sz w:val="24"/>
          <w:szCs w:val="24"/>
        </w:rPr>
        <w:t xml:space="preserve">Fig 4.3: Robustness Across Random Seeds – Frozen Final Comparison (5 seeds: 7, 21, 42, 84, 168). Left: Mean Macro F1 with cross-seed standard deviation. Right: Mean MCC with cross-seed standard deviation. The ensemble is the most stable high-F1 system. The proposed model has higher seed variance but maintains clear MCC superiority over CNNPred.</w:t>
      </w:r>
    </w:p>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The multi-seed analysis reveals that the proposed model has the highest seed-to-seed variance of any model (Std F1 = 0.0355, Std MCC = 0.0283). This is consistent with Transformer architectures being sensitive to initialization, particularly on smaller datasets. LSTM and XGBoost are significantly more stable (Std F1 ≤ 0.0065 and ≤ 0.0060 respectively). The ensemble is the most stable high-F1 system (Std F1 = 0.0083), benefiting from the variance-reducing effect of averaging multiple diverse models.</w:t>
      </w:r>
    </w:p>
    <w:p>
      <w:pPr>
        <w:spacing w:after="160" w:before="0" w:line="360" w:lineRule="auto"/>
        <w:ind w:left="720"/>
        <w:jc w:val="both"/>
      </w:pPr>
      <w:r>
        <w:rPr>
          <w:rFonts w:ascii="Times New Roman" w:cs="Times New Roman" w:eastAsia="Times New Roman" w:hAnsi="Times New Roman"/>
          <w:sz w:val="24"/>
          <w:szCs w:val="24"/>
        </w:rPr>
        <w:t xml:space="preserve">Despite its higher variance, the proposed model maintains a clear mean MCC advantage over CNNPred-2D across all seeds (0.0691 vs. 0.0178). This advantage — nearly four times larger — is the most defensible quantitative claim for the proposed architecture's value as a standalone deep learning system for this task.</w:t>
      </w:r>
    </w:p>
    <w:p>
      <w:pPr>
        <w:spacing w:after="120" w:before="200" w:line="360" w:lineRule="auto"/>
      </w:pPr>
      <w:r>
        <w:rPr>
          <w:rFonts w:ascii="Times New Roman" w:cs="Times New Roman" w:eastAsia="Times New Roman" w:hAnsi="Times New Roman"/>
          <w:b/>
          <w:bCs/>
          <w:sz w:val="24"/>
          <w:szCs w:val="24"/>
        </w:rPr>
        <w:t xml:space="preserve">4.1.7  ENSEMBLE PER-CLASS METRICS</w:t>
      </w:r>
    </w:p>
    <w:p>
      <w:pPr>
        <w:spacing w:after="160" w:before="0" w:line="360" w:lineRule="auto"/>
        <w:ind w:left="720"/>
        <w:jc w:val="both"/>
      </w:pPr>
      <w:r>
        <w:rPr>
          <w:rFonts w:ascii="Times New Roman" w:cs="Times New Roman" w:eastAsia="Times New Roman" w:hAnsi="Times New Roman"/>
          <w:sz w:val="24"/>
          <w:szCs w:val="24"/>
        </w:rPr>
        <w:t xml:space="preserve">The ensemble's per-class precision, recall, and F1 are reported to understand which classes benefit most from model combination:</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4.5: Ensemble Per-Class Metrics – Mean Across Three Walk-Forward Folds</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2446"/>
      </w:tblGrid>
      <w:tr>
        <w:trPr>
          <w:tblHeader/>
        </w:trPr>
        <w:tc>
          <w:tcPr>
            <w:tcW w:type="dxa" w:w="16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Class</w:t>
            </w:r>
          </w:p>
        </w:tc>
        <w:tc>
          <w:tcPr>
            <w:tcW w:type="dxa" w:w="19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Precision (Mean)</w:t>
            </w:r>
          </w:p>
        </w:tc>
        <w:tc>
          <w:tcPr>
            <w:tcW w:type="dxa" w:w="19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Recall (Mean)</w:t>
            </w:r>
          </w:p>
        </w:tc>
        <w:tc>
          <w:tcPr>
            <w:tcW w:type="dxa" w:w="19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F1 (Mean)</w:t>
            </w:r>
          </w:p>
        </w:tc>
        <w:tc>
          <w:tcPr>
            <w:tcW w:type="dxa" w:w="24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Total Support (3 Folds)</w:t>
            </w:r>
          </w:p>
        </w:tc>
      </w:tr>
      <w:tr>
        <w:trPr>
          <w:tblHeader w:val="false"/>
        </w:trP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Down (class 0)</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0.3501</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0.1951</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0.2010</w:t>
            </w:r>
          </w:p>
        </w:tc>
        <w:tc>
          <w:tcPr>
            <w:tcW w:type="dxa" w:w="2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250</w:t>
            </w:r>
          </w:p>
        </w:tc>
      </w:tr>
      <w:tr>
        <w:trPr>
          <w:tblHeader w:val="false"/>
        </w:trP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Neutral (class 1)</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0.4303</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0.5702</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0.4903</w:t>
            </w:r>
          </w:p>
        </w:tc>
        <w:tc>
          <w:tcPr>
            <w:tcW w:type="dxa" w:w="2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344</w:t>
            </w:r>
          </w:p>
        </w:tc>
      </w:tr>
      <w:tr>
        <w:trPr>
          <w:tblHeader w:val="false"/>
        </w:trP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Up (class 2)</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0.4228</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0.4083</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0.3960</w:t>
            </w:r>
          </w:p>
        </w:tc>
        <w:tc>
          <w:tcPr>
            <w:tcW w:type="dxa" w:w="2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378</w:t>
            </w:r>
          </w:p>
        </w:tc>
      </w:tr>
    </w:tbl>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The Neutral class receives the highest recall (0.5702) and F1 (0.4903) from the ensemble. This is expected: the volatility-scaled labeling scheme creates a Neutral class that is, by design, the region of returns most dominated by noise, and models that see sufficient training data will learn to assign borderline cases to this class. The Down class receives the lowest recall (0.1951) and F1 (0.2010), confirming that correctly identifying downward trends is the most challenging classification problem in this task — consistent with the general finding in financial prediction that negative regime detection is harder than positive.</w:t>
      </w:r>
    </w:p>
    <w:p>
      <w:pPr>
        <w:spacing w:after="160" w:before="0" w:line="360" w:lineRule="auto"/>
        <w:ind w:left="720"/>
        <w:jc w:val="both"/>
      </w:pPr>
      <w:r>
        <w:rPr>
          <w:rFonts w:ascii="Times New Roman" w:cs="Times New Roman" w:eastAsia="Times New Roman" w:hAnsi="Times New Roman"/>
          <w:sz w:val="24"/>
          <w:szCs w:val="24"/>
        </w:rPr>
        <w:t xml:space="preserve">The proposed model alone achieves a Down-class recall of 0.3166 — higher than the ensemble's 0.1951. This indicates that the proposed model is more aggressive about predicting the Down class, which increases Down recall at the cost of some false positives. The ensemble's logit averaging with XGBoost (which is particularly weak on Down recall) dilutes the proposed model's Down-detection sensitivity.</w:t>
      </w:r>
    </w:p>
    <w:p>
      <w:pPr>
        <w:spacing w:after="120" w:before="200" w:line="360" w:lineRule="auto"/>
      </w:pPr>
      <w:r>
        <w:rPr>
          <w:rFonts w:ascii="Times New Roman" w:cs="Times New Roman" w:eastAsia="Times New Roman" w:hAnsi="Times New Roman"/>
          <w:b/>
          <w:bCs/>
          <w:sz w:val="24"/>
          <w:szCs w:val="24"/>
        </w:rPr>
        <w:t xml:space="preserve">4.1.8  CONFUSION MATRIX ANALYSIS</w:t>
      </w:r>
    </w:p>
    <w:p>
      <w:pPr>
        <w:spacing w:after="80" w:before="0"/>
      </w:pPr>
      <w:r>
        <w:t xml:space="preserve"/>
      </w:r>
    </w:p>
    <w:p>
      <w:pPr>
        <w:spacing w:after="80" w:before="160"/>
        <w:jc w:val="center"/>
      </w:pPr>
      <w:r>
        <w:drawing>
          <wp:inline distT="0" distB="0" distL="0" distR="0">
            <wp:extent cx="5524500" cy="2181225"/>
            <wp:effectExtent t="0" r="0" b="0" l="0"/>
            <wp:docPr id="1" name="Confusion Matrices Proposed vs Ensemble" descr="Confusion Matrices Proposed vs Ensemble" title="Confusion Matrices Proposed vs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181225"/>
                    </a:xfrm>
                    <a:prstGeom prst="rect">
                      <a:avLst/>
                    </a:prstGeom>
                  </pic:spPr>
                </pic:pic>
              </a:graphicData>
            </a:graphic>
          </wp:inline>
        </w:drawing>
      </w:r>
    </w:p>
    <w:p>
      <w:pPr>
        <w:spacing w:after="200" w:before="80" w:line="360" w:lineRule="auto"/>
        <w:jc w:val="center"/>
      </w:pPr>
      <w:r>
        <w:rPr>
          <w:rFonts w:ascii="Times New Roman" w:cs="Times New Roman" w:eastAsia="Times New Roman" w:hAnsi="Times New Roman"/>
          <w:b/>
          <w:bCs/>
          <w:sz w:val="24"/>
          <w:szCs w:val="24"/>
        </w:rPr>
        <w:t xml:space="preserve">Fig 4.6: Confusion Matrices – Proposed (CNN+Attn) vs Ensemble (Proposed + LSTM + XGBoost), Base price+tech (7). Row percentages shown. Top row: Proposed model, Folds 1–3. Bottom row: Ensemble, Folds 1–3. Note the reduction in Up → Down confusion from Fold 1 (71.2% → 31.8%) and Down → Neutral confusion in Fold 2 (64.4% → 41.6%).</w:t>
      </w:r>
    </w:p>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Figure 4.6 displays the confusion matrices for the Proposed model and the Ensemble across all three folds, expressed as row-normalized percentages. The following observations emerge from the confusion matrix analysis: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Fold 1 (COVID period): The proposed model misclassifies 71.2% of actual Up samples as Down — a near-total failure on the Up class in this fold. This reflects the COVID crash's effect: the model's training data up to February 2020 does not include sufficient examples of the rapid multi-week decline followed by equally rapid recovery, causing catastrophic directional confusion. The ensemble significantly reduces Up → Down misclassification from 71.2% to 31.8% (a reduction of 39.4 percentage points), demonstrating that LSTM and XGBoost complement the proposed model in this anomalous regime.</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Fold 2 (post-recovery, early inflation): The proposed model places 64.4% of actual Down samples in the Neutral class. The ensemble reduces this from 64.4% to 41.6% (22.8 percentage points improvement). This suggests that in the inflation onset period, the model is uncertain about the strength of downward moves — correctly treating many as ambiguous Neutral — but the ensemble's additional diversity recovers some Down sensitivity.</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Fold 3 (rate-hike / recovery regime): The proposed model is substantially more balanced, with diagonal entries of 21.2% (Down), 62.2% (Neutral), and 48.4% (Up). The ensemble reduces the remaining worst-case off-diagonal confusion (Up → Down: 7.8% → 3.9%, a 3.9 pp improvement). This fold demonstrates the strongest absolute classification quality for both the proposed model and ensemble.</w:t>
      </w:r>
    </w:p>
    <w:p>
      <w:pPr>
        <w:spacing w:after="80" w:before="0"/>
      </w:pPr>
      <w:r>
        <w:t xml:space="preserve"/>
      </w:r>
    </w:p>
    <w:p>
      <w:pPr>
        <w:spacing w:after="80" w:before="200" w:line="360" w:lineRule="auto"/>
        <w:jc w:val="center"/>
      </w:pPr>
      <w:r>
        <w:rPr>
          <w:rFonts w:ascii="Times New Roman" w:cs="Times New Roman" w:eastAsia="Times New Roman" w:hAnsi="Times New Roman"/>
          <w:b/>
          <w:bCs/>
          <w:sz w:val="24"/>
          <w:szCs w:val="24"/>
        </w:rPr>
        <w:t xml:space="preserve">Table 4.6: Worst Off-Diagonal Confusion Improvement – Ensemble vs Proposed</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600"/>
        <w:gridCol w:w="1600"/>
        <w:gridCol w:w="1600"/>
        <w:gridCol w:w="2246"/>
      </w:tblGrid>
      <w:tr>
        <w:trPr>
          <w:tblHeader/>
        </w:trPr>
        <w:tc>
          <w:tcPr>
            <w:tcW w:type="dxa" w:w="11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Fold</w:t>
            </w:r>
          </w:p>
        </w:tc>
        <w:tc>
          <w:tcPr>
            <w:tcW w:type="dxa" w:w="16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Actual → Predicted</w:t>
            </w:r>
          </w:p>
        </w:tc>
        <w:tc>
          <w:tcPr>
            <w:tcW w:type="dxa" w:w="16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Proposed (%)</w:t>
            </w:r>
          </w:p>
        </w:tc>
        <w:tc>
          <w:tcPr>
            <w:tcW w:type="dxa" w:w="16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Ensemble (%)</w:t>
            </w:r>
          </w:p>
        </w:tc>
        <w:tc>
          <w:tcPr>
            <w:tcW w:type="dxa" w:w="1600"/>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Improvement (pp)</w:t>
            </w:r>
          </w:p>
        </w:tc>
        <w:tc>
          <w:tcPr>
            <w:tcW w:type="dxa" w:w="2246"/>
            <w:tcBorders>
              <w:top w:val="single" w:color="000000" w:sz="1"/>
              <w:left w:val="single" w:color="000000" w:sz="1"/>
              <w:bottom w:val="single" w:color="000000" w:sz="1"/>
              <w:right w:val="single" w:color="000000" w:sz="1"/>
            </w:tcBorders>
            <w:shd w:fill="BFBFB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Interpretation</w:t>
            </w:r>
          </w:p>
        </w:tc>
      </w:tr>
      <w:tr>
        <w:trPr>
          <w:tblHeader w:val="false"/>
        </w:trP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1</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Up → Down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71.2%</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31.8%</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39.4 pp</w:t>
            </w:r>
          </w:p>
        </w:tc>
        <w:tc>
          <w:tcPr>
            <w:tcW w:type="dxa" w:w="22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Ensemble dramatically reduces Up-as-Down confusion in COVID period</w:t>
            </w:r>
          </w:p>
        </w:tc>
      </w:tr>
      <w:tr>
        <w:trPr>
          <w:tblHeader w:val="false"/>
        </w:trP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2</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Down → Neutral</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64.4%</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41.6%</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22.8 pp</w:t>
            </w:r>
          </w:p>
        </w:tc>
        <w:tc>
          <w:tcPr>
            <w:tcW w:type="dxa" w:w="22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Ensemble partially recovers Down detection in inflation period</w:t>
            </w:r>
          </w:p>
        </w:tc>
      </w:tr>
      <w:tr>
        <w:trPr>
          <w:tblHeader w:val="false"/>
        </w:trP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Fold 3</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Up → Down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7.8%</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3.9%</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3.9 pp</w:t>
            </w:r>
          </w:p>
        </w:tc>
        <w:tc>
          <w:tcPr>
            <w:tcW w:type="dxa" w:w="22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Small but consistent improvement in best-performing fold</w:t>
            </w:r>
          </w:p>
        </w:tc>
      </w:tr>
    </w:tbl>
    <w:p>
      <w:pPr>
        <w:spacing w:after="120" w:before="200" w:line="360" w:lineRule="auto"/>
      </w:pPr>
      <w:r>
        <w:rPr>
          <w:rFonts w:ascii="Times New Roman" w:cs="Times New Roman" w:eastAsia="Times New Roman" w:hAnsi="Times New Roman"/>
          <w:b/>
          <w:bCs/>
          <w:sz w:val="24"/>
          <w:szCs w:val="24"/>
        </w:rPr>
        <w:t xml:space="preserve">4.1.9  ATTENTION WEIGHT ANALYSIS</w:t>
      </w:r>
    </w:p>
    <w:p>
      <w:pPr>
        <w:spacing w:after="80" w:before="0"/>
      </w:pPr>
      <w:r>
        <w:t xml:space="preserve"/>
      </w:r>
    </w:p>
    <w:p>
      <w:pPr>
        <w:spacing w:after="80" w:before="160"/>
        <w:jc w:val="center"/>
      </w:pPr>
      <w:r>
        <w:drawing>
          <wp:inline distT="0" distB="0" distL="0" distR="0">
            <wp:extent cx="5334000" cy="2047875"/>
            <wp:effectExtent t="0" r="0" b="0" l="0"/>
            <wp:docPr id="1" name="Mean Attention Weights by Predicted Class" descr="Mean Attention Weights by Predicted Class" title="Mean Attention Weights by Predicted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47875"/>
                    </a:xfrm>
                    <a:prstGeom prst="rect">
                      <a:avLst/>
                    </a:prstGeom>
                  </pic:spPr>
                </pic:pic>
              </a:graphicData>
            </a:graphic>
          </wp:inline>
        </w:drawing>
      </w:r>
    </w:p>
    <w:p>
      <w:pPr>
        <w:spacing w:after="200" w:before="80" w:line="360" w:lineRule="auto"/>
        <w:jc w:val="center"/>
      </w:pPr>
      <w:r>
        <w:rPr>
          <w:rFonts w:ascii="Times New Roman" w:cs="Times New Roman" w:eastAsia="Times New Roman" w:hAnsi="Times New Roman"/>
          <w:b/>
          <w:bCs/>
          <w:sz w:val="24"/>
          <w:szCs w:val="24"/>
        </w:rPr>
        <w:t xml:space="preserve">Fig 4.4: Mean Attention Weights by Predicted Class – Base price+tech (7). Each heatmap shows the 60×60 attention weight matrix averaged over all test samples predicted as the corresponding class (Down: n=35, Neutral: n=153, Up: n=136) from Fold 3. Brighter (yellow) regions indicate higher attention weight.</w:t>
      </w:r>
    </w:p>
    <w:p>
      <w:pPr>
        <w:spacing w:after="80" w:before="0"/>
      </w:pPr>
      <w:r>
        <w:t xml:space="preserve"/>
      </w:r>
    </w:p>
    <w:p>
      <w:pPr>
        <w:spacing w:after="80" w:before="160"/>
        <w:jc w:val="center"/>
      </w:pPr>
      <w:r>
        <w:drawing>
          <wp:inline distT="0" distB="0" distL="0" distR="0">
            <wp:extent cx="5334000" cy="1524000"/>
            <wp:effectExtent t="0" r="0" b="0" l="0"/>
            <wp:docPr id="1" name="Temporal Attention Weight Distribution" descr="Temporal Attention Weight Distribution" title="Temporal Attention Weigh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524000"/>
                    </a:xfrm>
                    <a:prstGeom prst="rect">
                      <a:avLst/>
                    </a:prstGeom>
                  </pic:spPr>
                </pic:pic>
              </a:graphicData>
            </a:graphic>
          </wp:inline>
        </w:drawing>
      </w:r>
    </w:p>
    <w:p>
      <w:pPr>
        <w:spacing w:after="200" w:before="80" w:line="360" w:lineRule="auto"/>
        <w:jc w:val="center"/>
      </w:pPr>
      <w:r>
        <w:rPr>
          <w:rFonts w:ascii="Times New Roman" w:cs="Times New Roman" w:eastAsia="Times New Roman" w:hAnsi="Times New Roman"/>
          <w:b/>
          <w:bCs/>
          <w:sz w:val="24"/>
          <w:szCs w:val="24"/>
        </w:rPr>
        <w:t xml:space="preserve">Fig 4.5: Mean Attention Weight by Lookback Day – Averaged across all predicted classes and averaged over query positions. The plot shows the distribution of attention weight across the 60-day lookback window. Day 1 is the oldest observation; Day 60 is the most recent. Attention is modestly higher for the first 15 trading days and shows periodic peaks, but the distribution is broadly spread across the window without a strong recency bias.</w:t>
      </w:r>
    </w:p>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The attention heatmaps in Figure 4.4 show distinct but subtle patterns across the three predicted classes. The Down class (n=35 samples) shows relatively high attention weights in the upper-left quadrant (query days 0–10 attending to key days 0–20), suggesting that the model focuses on interactions within the earliest portion of the lookback window when predicting downward trends. The Neutral class (n=153 samples) shows a stronger diagonal pattern, indicating that each query day primarily attends to days near itself — consistent with the attention serving as a local smoothing operation rather than long-range dependency capture. The Up class (n=136 samples) shows more diffuse attention patterns without strong structural concentration.</w:t>
      </w:r>
    </w:p>
    <w:p>
      <w:pPr>
        <w:spacing w:after="160" w:before="0" w:line="360" w:lineRule="auto"/>
        <w:ind w:left="720"/>
        <w:jc w:val="both"/>
      </w:pPr>
      <w:r>
        <w:rPr>
          <w:rFonts w:ascii="Times New Roman" w:cs="Times New Roman" w:eastAsia="Times New Roman" w:hAnsi="Times New Roman"/>
          <w:sz w:val="24"/>
          <w:szCs w:val="24"/>
        </w:rPr>
        <w:t xml:space="preserve">Figure 4.5 shows the aggregated mean attention weight by lookback day, averaged across all three predicted classes. Contrary to what might be expected from a recency-biased model, the attention weights are highest in the first 15 trading days (oldest observations in the window) and show periodic modulation across the 60-day window. This provides qualified evidence that the attention mechanism captures some longer-range historical context, though the distribution is not strongly concentrated. The honest interpretation is that the attention mechanism provides modest, distributed historical context integration rather than a dramatic long-range dependency — consistent with the observation that the 1D-CNN ablation without attention achieves a similar MCC (0.0976 vs. 0.0996). The interpretability evidence is presented as exploratory rather than as proof of a specific temporal hypothesis.</w:t>
      </w:r>
    </w:p>
    <w:p>
      <w:pPr>
        <w:pageBreakBefore/>
        <w:spacing w:after="480" w:before="0" w:line="360" w:lineRule="auto"/>
        <w:jc w:val="center"/>
      </w:pPr>
      <w:r>
        <w:rPr>
          <w:rFonts w:ascii="Times New Roman" w:cs="Times New Roman" w:eastAsia="Times New Roman" w:hAnsi="Times New Roman"/>
          <w:b/>
          <w:bCs/>
          <w:sz w:val="32"/>
          <w:szCs w:val="32"/>
        </w:rPr>
        <w:t xml:space="preserve">CHAPTER 5</w:t>
      </w:r>
      <w:r>
        <w:rPr>
          <w:rFonts w:ascii="Times New Roman" w:cs="Times New Roman" w:eastAsia="Times New Roman" w:hAnsi="Times New Roman"/>
          <w:b/>
          <w:bCs/>
          <w:sz w:val="32"/>
          <w:szCs w:val="32"/>
        </w:rPr>
        <w:t xml:space="preserve">
CONCLUSION AND FUTURE ENHANCEMENT</w:t>
      </w:r>
    </w:p>
    <w:p>
      <w:pPr>
        <w:spacing w:after="160" w:before="360" w:line="360" w:lineRule="auto"/>
      </w:pPr>
      <w:r>
        <w:rPr>
          <w:rFonts w:ascii="Times New Roman" w:cs="Times New Roman" w:eastAsia="Times New Roman" w:hAnsi="Times New Roman"/>
          <w:b/>
          <w:bCs/>
          <w:sz w:val="32"/>
          <w:szCs w:val="32"/>
        </w:rPr>
        <w:t xml:space="preserve">5.1  Conclusions</w:t>
      </w:r>
    </w:p>
    <w:p>
      <w:pPr>
        <w:spacing w:after="160" w:before="0" w:line="360" w:lineRule="auto"/>
        <w:ind w:left="720"/>
        <w:jc w:val="both"/>
      </w:pPr>
      <w:r>
        <w:rPr>
          <w:rFonts w:ascii="Times New Roman" w:cs="Times New Roman" w:eastAsia="Times New Roman" w:hAnsi="Times New Roman"/>
          <w:sz w:val="24"/>
          <w:szCs w:val="24"/>
        </w:rPr>
        <w:t xml:space="preserve">This project presented Kairos, a regime-aware three-class financial trend classification framework for S&amp;P 500 daily data, evaluated through a rigorous leak-free walk-forward protocol. The study addressed three specific methodological deficiencies of the CNNPred baseline: the use of two-dimensional spatial convolution over financial feature matrices, the reliance on binary labeling without volatility calibration, and the use of static train-test splits that do not preserve temporal integrity.</w:t>
      </w:r>
    </w:p>
    <w:p>
      <w:pPr>
        <w:spacing w:after="160" w:before="0" w:line="360" w:lineRule="auto"/>
        <w:ind w:left="720"/>
        <w:jc w:val="both"/>
      </w:pPr>
      <w:r>
        <w:rPr>
          <w:rFonts w:ascii="Times New Roman" w:cs="Times New Roman" w:eastAsia="Times New Roman" w:hAnsi="Times New Roman"/>
          <w:sz w:val="24"/>
          <w:szCs w:val="24"/>
        </w:rPr>
        <w:t xml:space="preserve">The principal empirical findings are as follows:</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The proposed CNN+Attention model outperforms the CNNPred-2D paper baseline on both primary evaluation metrics. In single-run evaluation, the proposed model achieves a mean Macro F1 of 0.3495 versus CNNPred's 0.3139 (+0.0356) and a mean MCC of 0.0996 versus CNNPred's 0.0137 (+0.0859). In multi-seed evaluation across five seeds, the proposed model achieves a mean MCC of 0.0691 versus CNNPred's 0.0178 (+0.0513). The MCC advantage is the more robust and scientifically meaningful result.</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The Ensemble of Proposed, LSTM, and XGBoost is the strongest overall predictor, achieving a single-run mean Macro F1 of 0.3625 and the most stable cross-seed performance (Std F1 = 0.0083). For any practical application requiring consistent directional classification, the ensemble is the preferred system.</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The attention ablation provides only marginal MCC benefit: the 1D-CNN without attention achieves a mean MCC of 0.0976 compared to the proposed model's 0.0996. This is an honest negative result: the Transformer attention module provides statistically marginal improvements over the same temporal convolutional encoder without attention, given the dataset size of approximately 2,762 trading days. The dataset is below the scale at which attention mechanisms demonstrate their full advantage.</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Additional features beyond the 7-feature base price+tech group did not improve the proposed model. Seven candidate feature groups were evaluated in the ablation study, and the base 7-feature group achieved the highest proposed-model MCC of 0.0996. The full 11-feature group achieved only 0.0533. This suggests that feature economy — fewer, carefully selected stationary features — is more effective than feature richness for this dataset and model size.</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Fold 1 (COVID period, February 2020 – May 2021) demonstrates the limits of technical feature-based prediction during exogenous macro shocks. The proposed model achieves only F1 = 0.2612 and MCC = 0.0192 on this fold, compared to F1 = 0.4308 and MCC = 0.1670 on Fold 3. The decision not to retune the architecture for this fold is methodologically correct: any such retuning would overfit an anomalous exogenous event.</w:t>
      </w:r>
    </w:p>
    <w:p>
      <w:pPr>
        <w:spacing w:after="160" w:before="0" w:line="360" w:lineRule="auto"/>
        <w:ind w:left="720"/>
        <w:jc w:val="both"/>
      </w:pPr>
      <w:r>
        <w:rPr>
          <w:rFonts w:ascii="Times New Roman" w:cs="Times New Roman" w:eastAsia="Times New Roman" w:hAnsi="Times New Roman"/>
          <w:sz w:val="24"/>
          <w:szCs w:val="24"/>
        </w:rPr>
        <w:t xml:space="preserve">In summary, this project demonstrates that a principled redesign of the labeling scheme, validation protocol, and convolutional architecture — while maintaining a conservative model complexity appropriate for the dataset size — produces a measurable improvement over the CNNPred baseline under rigorous evaluation conditions. The improvement is clearest on MCC, confirming that the proposed framework produces qualitatively more correlated directional predictions rather than merely achieving better count-level F1.</w:t>
      </w:r>
    </w:p>
    <w:p>
      <w:pPr>
        <w:spacing w:after="160" w:before="360" w:line="360" w:lineRule="auto"/>
      </w:pPr>
      <w:r>
        <w:rPr>
          <w:rFonts w:ascii="Times New Roman" w:cs="Times New Roman" w:eastAsia="Times New Roman" w:hAnsi="Times New Roman"/>
          <w:b/>
          <w:bCs/>
          <w:sz w:val="32"/>
          <w:szCs w:val="32"/>
        </w:rPr>
        <w:t xml:space="preserve">5.2  Future Enhancement</w:t>
      </w:r>
    </w:p>
    <w:p>
      <w:pPr>
        <w:spacing w:after="160" w:before="0" w:line="360" w:lineRule="auto"/>
        <w:ind w:left="720"/>
        <w:jc w:val="both"/>
      </w:pPr>
      <w:r>
        <w:rPr>
          <w:rFonts w:ascii="Times New Roman" w:cs="Times New Roman" w:eastAsia="Times New Roman" w:hAnsi="Times New Roman"/>
          <w:sz w:val="24"/>
          <w:szCs w:val="24"/>
        </w:rPr>
        <w:t xml:space="preserve">The following directions are identified as high-value extensions of this work:</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Extended dataset and asset universe: The current study is limited to the S&amp;P 500 on daily data over 11 years. Extending to multiple equity indices (Nasdaq 100, Russell 2000, Nikkei 225, FTSE 100) would allow generalization claims to be assessed. The labeling scheme and walk-forward protocol are designed to transfer directly to other markets with minimal modification.</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Longer lookback windows and multi-resolution inputs: The current lookback is fixed at 60 trading days. A hierarchical CNN that processes both weekly and monthly summarized sequences — capturing multiple temporal scales simultaneously — may improve performance on longer-cycle trend detection.</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Larger and more expressive models with pretraining: The current proposed model has approximately 15,000–25,000 parameters, which is small by Transformer standards. A pretraining stage on a larger corpus of financial data (e.g., all S&amp;P 500 constituents) followed by fine-tuning on the index return prediction task could provide the scale of data that Transformer attention mechanisms require to demonstrate their full advantage.</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Online and adaptive validation: The current anchored walk-forward design uses static fold boundaries. An online validation protocol in which the model is retrained incrementally as new data arrives would better reflect production deployment conditions. The per-fold lambda selection mechanism is already designed to be applicable in an online setting.</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Improved Down-class sensitivity: The Down class consistently achieves the lowest recall across all models (ensemble Down recall = 0.1951, proposed Down recall = 0.3166). Future work could investigate asymmetric loss functions, synthetic minority oversampling, or conditional class reweighting strategies specifically designed to improve Down-class detection without sacrificing Neutral and Up performance.</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Regime-conditioned models: The current regime analysis (low vs. high volatility) is retrospective and diagnostic. A model that explicitly conditions its predictions on the prevailing volatility regime — for example, by prepending a regime embedding derived from a separate regime classifier — could potentially produce more stable performance across the Fold 1 COVID anomaly and other extreme regime transitions.</w:t>
      </w:r>
    </w:p>
    <w:p>
      <w:pPr>
        <w:pageBreakBefore/>
        <w:spacing w:after="480" w:before="0" w:line="360" w:lineRule="auto"/>
        <w:jc w:val="center"/>
      </w:pPr>
      <w:r>
        <w:rPr>
          <w:rFonts w:ascii="Times New Roman" w:cs="Times New Roman" w:eastAsia="Times New Roman" w:hAnsi="Times New Roman"/>
          <w:b/>
          <w:bCs/>
          <w:sz w:val="32"/>
          <w:szCs w:val="32"/>
        </w:rPr>
        <w:t xml:space="preserve">REFERENCES</w:t>
      </w:r>
    </w:p>
    <w:p>
      <w:pPr>
        <w:tabs>
          <w:tab w:val="left" w:pos="500"/>
        </w:tabs>
        <w:spacing w:after="120" w:before="0" w:line="360" w:lineRule="auto"/>
        <w:jc w:val="both"/>
      </w:pPr>
      <w:r>
        <w:rPr>
          <w:rFonts w:ascii="Times New Roman" w:cs="Times New Roman" w:eastAsia="Times New Roman" w:hAnsi="Times New Roman"/>
          <w:sz w:val="24"/>
          <w:szCs w:val="24"/>
        </w:rPr>
        <w:t xml:space="preserve">[1]	E. Hoseinzade and S. Haratizadeh, "CNNpred: CNN-based stock market prediction using a diverse set of variables," Expert Systems with Applications, vol. 129, pp. 273–285, Sep. 2019.</w:t>
      </w:r>
    </w:p>
    <w:p>
      <w:pPr>
        <w:tabs>
          <w:tab w:val="left" w:pos="500"/>
        </w:tabs>
        <w:spacing w:after="120" w:before="0" w:line="360" w:lineRule="auto"/>
        <w:jc w:val="both"/>
      </w:pPr>
      <w:r>
        <w:rPr>
          <w:rFonts w:ascii="Times New Roman" w:cs="Times New Roman" w:eastAsia="Times New Roman" w:hAnsi="Times New Roman"/>
          <w:sz w:val="24"/>
          <w:szCs w:val="24"/>
        </w:rPr>
        <w:t xml:space="preserve">[2]	S. Hochreiter and J. Schmidhuber, "Long short-term memory," Neural Computation, vol. 9, no. 8, pp. 1735–1780, Nov. 1997.</w:t>
      </w:r>
    </w:p>
    <w:p>
      <w:pPr>
        <w:tabs>
          <w:tab w:val="left" w:pos="500"/>
        </w:tabs>
        <w:spacing w:after="120" w:before="0" w:line="360" w:lineRule="auto"/>
        <w:jc w:val="both"/>
      </w:pPr>
      <w:r>
        <w:rPr>
          <w:rFonts w:ascii="Times New Roman" w:cs="Times New Roman" w:eastAsia="Times New Roman" w:hAnsi="Times New Roman"/>
          <w:sz w:val="24"/>
          <w:szCs w:val="24"/>
        </w:rPr>
        <w:t xml:space="preserve">[3]	A. Vaswani, N. Shazeer, N. Parmar, J. Uszkoreit, L. Jones, A. N. Gomez, L. Kaiser, and I. Polosukhin, "Attention is all you need," Advances in Neural Information Processing Systems, vol. 30, pp. 5998–6008, 2017.</w:t>
      </w:r>
    </w:p>
    <w:p>
      <w:pPr>
        <w:tabs>
          <w:tab w:val="left" w:pos="500"/>
        </w:tabs>
        <w:spacing w:after="120" w:before="0" w:line="360" w:lineRule="auto"/>
        <w:jc w:val="both"/>
      </w:pPr>
      <w:r>
        <w:rPr>
          <w:rFonts w:ascii="Times New Roman" w:cs="Times New Roman" w:eastAsia="Times New Roman" w:hAnsi="Times New Roman"/>
          <w:sz w:val="24"/>
          <w:szCs w:val="24"/>
        </w:rPr>
        <w:t xml:space="preserve">[4]	T. Chen and C. Guestrin, "XGBoost: A scalable tree boosting system," in Proc. 22nd ACM SIGKDD International Conference on Knowledge Discovery and Data Mining, San Francisco, CA, Aug. 2016, pp. 785–794.</w:t>
      </w:r>
    </w:p>
    <w:p>
      <w:pPr>
        <w:tabs>
          <w:tab w:val="left" w:pos="500"/>
        </w:tabs>
        <w:spacing w:after="120" w:before="0" w:line="360" w:lineRule="auto"/>
        <w:jc w:val="both"/>
      </w:pPr>
      <w:r>
        <w:rPr>
          <w:rFonts w:ascii="Times New Roman" w:cs="Times New Roman" w:eastAsia="Times New Roman" w:hAnsi="Times New Roman"/>
          <w:sz w:val="24"/>
          <w:szCs w:val="24"/>
        </w:rPr>
        <w:t xml:space="preserve">[5]	O. B. Sezer, M. U. Gudelek, and A. M. Ozbayoglu, "Financial time series forecasting with deep learning: A systematic literature review: 2005–2019," Applied Soft Computing, vol. 90, p. 106181, May 2020.</w:t>
      </w:r>
    </w:p>
    <w:p>
      <w:pPr>
        <w:tabs>
          <w:tab w:val="left" w:pos="500"/>
        </w:tabs>
        <w:spacing w:after="120" w:before="0" w:line="360" w:lineRule="auto"/>
        <w:jc w:val="both"/>
      </w:pPr>
      <w:r>
        <w:rPr>
          <w:rFonts w:ascii="Times New Roman" w:cs="Times New Roman" w:eastAsia="Times New Roman" w:hAnsi="Times New Roman"/>
          <w:sz w:val="24"/>
          <w:szCs w:val="24"/>
        </w:rPr>
        <w:t xml:space="preserve">[6]	T. Fischer and C. Krauss, "Deep learning with long short-term memory networks for financial market predictions," European Journal of Operational Research, vol. 270, no. 2, pp. 654–669, Oct. 2018.</w:t>
      </w:r>
    </w:p>
    <w:p>
      <w:pPr>
        <w:tabs>
          <w:tab w:val="left" w:pos="500"/>
        </w:tabs>
        <w:spacing w:after="120" w:before="0" w:line="360" w:lineRule="auto"/>
        <w:jc w:val="both"/>
      </w:pPr>
      <w:r>
        <w:rPr>
          <w:rFonts w:ascii="Times New Roman" w:cs="Times New Roman" w:eastAsia="Times New Roman" w:hAnsi="Times New Roman"/>
          <w:sz w:val="24"/>
          <w:szCs w:val="24"/>
        </w:rPr>
        <w:t xml:space="preserve">[7]	D. M. Q. Nelson, A. C. M. Pereira, and R. A. de Oliveira, "Stock market's price movement prediction with LSTM neural networks," in Proc. International Joint Conference on Neural Networks (IJCNN), Anchorage, AK, May 2017, pp. 1419–1426.</w:t>
      </w:r>
    </w:p>
    <w:p>
      <w:pPr>
        <w:tabs>
          <w:tab w:val="left" w:pos="500"/>
        </w:tabs>
        <w:spacing w:after="120" w:before="0" w:line="360" w:lineRule="auto"/>
        <w:jc w:val="both"/>
      </w:pPr>
      <w:r>
        <w:rPr>
          <w:rFonts w:ascii="Times New Roman" w:cs="Times New Roman" w:eastAsia="Times New Roman" w:hAnsi="Times New Roman"/>
          <w:sz w:val="24"/>
          <w:szCs w:val="24"/>
        </w:rPr>
        <w:t xml:space="preserve">[8]	E. F. Fama, "Efficient capital markets: A review of theory and empirical work," Journal of Finance, vol. 25, no. 2, pp. 383–417, May 1970.</w:t>
      </w:r>
    </w:p>
    <w:p>
      <w:pPr>
        <w:tabs>
          <w:tab w:val="left" w:pos="500"/>
        </w:tabs>
        <w:spacing w:after="120" w:before="0" w:line="360" w:lineRule="auto"/>
        <w:jc w:val="both"/>
      </w:pPr>
      <w:r>
        <w:rPr>
          <w:rFonts w:ascii="Times New Roman" w:cs="Times New Roman" w:eastAsia="Times New Roman" w:hAnsi="Times New Roman"/>
          <w:sz w:val="24"/>
          <w:szCs w:val="24"/>
        </w:rPr>
        <w:t xml:space="preserve">[9]	A. W. Lo and A. C. MacKinlay, "Stock market prices do not follow random walks: Evidence from a simple specification test," Review of Financial Studies, vol. 1, no. 1, pp. 41–66, Spring 1988.</w:t>
      </w:r>
    </w:p>
    <w:p>
      <w:pPr>
        <w:tabs>
          <w:tab w:val="left" w:pos="500"/>
        </w:tabs>
        <w:spacing w:after="120" w:before="0" w:line="360" w:lineRule="auto"/>
        <w:jc w:val="both"/>
      </w:pPr>
      <w:r>
        <w:rPr>
          <w:rFonts w:ascii="Times New Roman" w:cs="Times New Roman" w:eastAsia="Times New Roman" w:hAnsi="Times New Roman"/>
          <w:sz w:val="24"/>
          <w:szCs w:val="24"/>
        </w:rPr>
        <w:t xml:space="preserve">[10]	W. Bao, J. Yue, and Y. Rao, "A deep learning framework for financial time series using stacked autoencoders and long-short term memory," PLOS One, vol. 12, no. 7, e0180944, Jul. 2017.</w:t>
      </w:r>
    </w:p>
    <w:p>
      <w:pPr>
        <w:tabs>
          <w:tab w:val="left" w:pos="500"/>
        </w:tabs>
        <w:spacing w:after="120" w:before="0" w:line="360" w:lineRule="auto"/>
        <w:jc w:val="both"/>
      </w:pPr>
      <w:r>
        <w:rPr>
          <w:rFonts w:ascii="Times New Roman" w:cs="Times New Roman" w:eastAsia="Times New Roman" w:hAnsi="Times New Roman"/>
          <w:sz w:val="24"/>
          <w:szCs w:val="24"/>
        </w:rPr>
        <w:t xml:space="preserve">[11]	B. M. Henrique, V. A. Sobreiro, and H. Kimura, "Stock price prediction using support vector regression on daily and up to the minute prices," Journal of Finance and Data Science, vol. 4, no. 3, pp. 183–201, Sep. 2018.</w:t>
      </w:r>
    </w:p>
    <w:p>
      <w:pPr>
        <w:tabs>
          <w:tab w:val="left" w:pos="500"/>
        </w:tabs>
        <w:spacing w:after="120" w:before="0" w:line="360" w:lineRule="auto"/>
        <w:jc w:val="both"/>
      </w:pPr>
      <w:r>
        <w:rPr>
          <w:rFonts w:ascii="Times New Roman" w:cs="Times New Roman" w:eastAsia="Times New Roman" w:hAnsi="Times New Roman"/>
          <w:sz w:val="24"/>
          <w:szCs w:val="24"/>
        </w:rPr>
        <w:t xml:space="preserve">[12]	K. He, X. Zhang, S. Ren, and J. Sun, "Deep residual learning for image recognition," in Proc. IEEE Conference on Computer Vision and Pattern Recognition (CVPR), Las Vegas, NV, Jun. 2016, pp. 770–778.</w:t>
      </w:r>
    </w:p>
    <w:p>
      <w:pPr>
        <w:tabs>
          <w:tab w:val="left" w:pos="500"/>
        </w:tabs>
        <w:spacing w:after="120" w:before="0" w:line="360" w:lineRule="auto"/>
        <w:jc w:val="both"/>
      </w:pPr>
      <w:r>
        <w:rPr>
          <w:rFonts w:ascii="Times New Roman" w:cs="Times New Roman" w:eastAsia="Times New Roman" w:hAnsi="Times New Roman"/>
          <w:sz w:val="24"/>
          <w:szCs w:val="24"/>
        </w:rPr>
        <w:t xml:space="preserve">[13]	J. Patel, S. Shah, P. Thakkar, and K. Kotecha, "Predicting stock and stock price index movement using trend deterministic data preparation and machine learning techniques," Expert Systems with Applications, vol. 42, no. 1, pp. 259–268, Jan. 2015.</w:t>
      </w:r>
    </w:p>
    <w:p>
      <w:pPr>
        <w:tabs>
          <w:tab w:val="left" w:pos="500"/>
        </w:tabs>
        <w:spacing w:after="120" w:before="0" w:line="360" w:lineRule="auto"/>
        <w:jc w:val="both"/>
      </w:pPr>
      <w:r>
        <w:rPr>
          <w:rFonts w:ascii="Times New Roman" w:cs="Times New Roman" w:eastAsia="Times New Roman" w:hAnsi="Times New Roman"/>
          <w:sz w:val="24"/>
          <w:szCs w:val="24"/>
        </w:rPr>
        <w:t xml:space="preserve">[14]	J. J. Murphy, Technical Analysis of the Financial Markets: A Comprehensive Guide to Trading Methods and Applications, New York Institute of Finance, New York, 1999.</w:t>
      </w:r>
    </w:p>
    <w:p>
      <w:pPr>
        <w:tabs>
          <w:tab w:val="left" w:pos="500"/>
        </w:tabs>
        <w:spacing w:after="120" w:before="0" w:line="360" w:lineRule="auto"/>
        <w:jc w:val="both"/>
      </w:pPr>
      <w:r>
        <w:rPr>
          <w:rFonts w:ascii="Times New Roman" w:cs="Times New Roman" w:eastAsia="Times New Roman" w:hAnsi="Times New Roman"/>
          <w:sz w:val="24"/>
          <w:szCs w:val="24"/>
        </w:rPr>
        <w:t xml:space="preserve">[15]	M. López de Prado, Advances in Financial Machine Learning, Wiley, Hoboken, NJ, 2018.</w:t>
      </w:r>
    </w:p>
    <w:p>
      <w:pPr>
        <w:tabs>
          <w:tab w:val="left" w:pos="500"/>
        </w:tabs>
        <w:spacing w:after="120" w:before="0" w:line="360" w:lineRule="auto"/>
        <w:jc w:val="both"/>
      </w:pPr>
      <w:r>
        <w:rPr>
          <w:rFonts w:ascii="Times New Roman" w:cs="Times New Roman" w:eastAsia="Times New Roman" w:hAnsi="Times New Roman"/>
          <w:sz w:val="24"/>
          <w:szCs w:val="24"/>
        </w:rPr>
        <w:t xml:space="preserve">[16]	A. Géron, Hands-On Machine Learning with Scikit-Learn, Keras, and TensorFlow, 2nd ed., O'Reilly Media, Sebastopol, CA, 2019.</w:t>
      </w:r>
    </w:p>
    <w:p>
      <w:pPr>
        <w:tabs>
          <w:tab w:val="left" w:pos="500"/>
        </w:tabs>
        <w:spacing w:after="120" w:before="0" w:line="360" w:lineRule="auto"/>
        <w:jc w:val="both"/>
      </w:pPr>
      <w:r>
        <w:rPr>
          <w:rFonts w:ascii="Times New Roman" w:cs="Times New Roman" w:eastAsia="Times New Roman" w:hAnsi="Times New Roman"/>
          <w:sz w:val="24"/>
          <w:szCs w:val="24"/>
        </w:rPr>
        <w:t xml:space="preserve">[17]	Y. LeCun, Y. Bengio, and G. Hinton, "Deep learning," Nature, vol. 521, no. 7553, pp. 436–444, May 2015.</w:t>
      </w:r>
    </w:p>
    <w:p>
      <w:pPr>
        <w:pageBreakBefore/>
        <w:spacing w:after="480" w:before="0" w:line="360" w:lineRule="auto"/>
        <w:jc w:val="center"/>
      </w:pPr>
      <w:r>
        <w:rPr>
          <w:rFonts w:ascii="Times New Roman" w:cs="Times New Roman" w:eastAsia="Times New Roman" w:hAnsi="Times New Roman"/>
          <w:b/>
          <w:bCs/>
          <w:sz w:val="32"/>
          <w:szCs w:val="32"/>
        </w:rPr>
        <w:br/>
        <w:t xml:space="preserve">APPENDIX A</w:t>
      </w:r>
      <w:r>
        <w:rPr>
          <w:rFonts w:ascii="Times New Roman" w:cs="Times New Roman" w:eastAsia="Times New Roman" w:hAnsi="Times New Roman"/>
          <w:b/>
          <w:bCs/>
          <w:sz w:val="32"/>
          <w:szCs w:val="32"/>
        </w:rPr>
        <w:t xml:space="preserve">CODING</w:t>
      </w:r>
    </w:p>
    <w:p>
      <w:pPr>
        <w:spacing w:after="160" w:before="0" w:line="360" w:lineRule="auto"/>
        <w:ind w:left="720"/>
        <w:jc w:val="both"/>
      </w:pPr>
      <w:r>
        <w:rPr>
          <w:rFonts w:ascii="Times New Roman" w:cs="Times New Roman" w:eastAsia="Times New Roman" w:hAnsi="Times New Roman"/>
          <w:sz w:val="24"/>
          <w:szCs w:val="24"/>
        </w:rPr>
        <w:t xml:space="preserve">The following sections present the key code excerpts from the Kairos v5.2 implementation. The full codebase is available in the Kairos_v5_2.ipynb notebook. All code is written in Python 3 using PyTorch (1D-CNN, LSTM, and Transformer models), XGBoost, and standard scientific Python libraries (NumPy, Pandas, yfinance, Matplotlib, Seaborn, Scikit-learn).</w:t>
      </w:r>
    </w:p>
    <w:p>
      <w:pPr>
        <w:spacing w:after="80" w:before="0"/>
      </w:pPr>
      <w:r>
        <w:t xml:space="preserve"/>
      </w:r>
    </w:p>
    <w:p>
      <w:pPr>
        <w:spacing w:after="120" w:before="200" w:line="360" w:lineRule="auto"/>
      </w:pPr>
      <w:r>
        <w:rPr>
          <w:rFonts w:ascii="Times New Roman" w:cs="Times New Roman" w:eastAsia="Times New Roman" w:hAnsi="Times New Roman"/>
          <w:b/>
          <w:bCs/>
          <w:sz w:val="24"/>
          <w:szCs w:val="24"/>
        </w:rPr>
        <w:t xml:space="preserve">A.1  FEATURE ENGINEERING MODULE</w:t>
      </w:r>
    </w:p>
    <w:p>
      <w:pPr>
        <w:spacing w:after="160" w:before="120" w:line="240" w:lineRule="auto"/>
      </w:pPr>
      <w:r>
        <w:rPr>
          <w:rFonts w:ascii="Courier New" w:cs="Courier New" w:eastAsia="Courier New" w:hAnsi="Courier New"/>
          <w:sz w:val="18"/>
          <w:szCs w:val="18"/>
        </w:rPr>
        <w:t xml:space="preserve"># OHLC Log-Returns (Stationary by construction)
feat['log_ret_close'] = np.log(close / close.shift(1))
feat['log_ret_open']  = np.log(open_  / open_.shift(1))
feat['log_ret_high']  = np.log(high   / high.shift(1))
feat['log_ret_low']   = np.log(low    / low.shift(1))
# 20-day Rolling Realized Volatility
feat['rolling_vol_20'] = feat['log_ret_close'].rolling(window=20, min_periods=20).std()
# RSI-14 (EWMA formulation, normalized to [0,1])
def compute_rsi(series, period=14):
    delta = series.diff()
    gain  = delta.clip(lower=0)
    loss  = -delta.clip(upper=0)
    avg_g = gain.ewm(alpha=1/period, min_periods=period, adjust=False).mean()
    avg_l = loss.ewm(alpha=1/period, min_periods=period, adjust=False).mean()
    rs    = avg_g / (avg_l + 1e-10)
    return (100 - 100 / (1 + rs)) / 100.0
feat['rsi_14'] = compute_rsi(close)
# MACD Signal Normalized by Price
ema12 = close.ewm(span=12, adjust=False).mean()
ema26 = close.ewm(span=26, adjust=False).mean()
feat['macd_norm'] = (ema12 - ema26) / close</w:t>
      </w:r>
    </w:p>
    <w:p>
      <w:pPr>
        <w:spacing w:after="120" w:before="200" w:line="360" w:lineRule="auto"/>
      </w:pPr>
      <w:r>
        <w:rPr>
          <w:rFonts w:ascii="Times New Roman" w:cs="Times New Roman" w:eastAsia="Times New Roman" w:hAnsi="Times New Roman"/>
          <w:b/>
          <w:bCs/>
          <w:sz w:val="24"/>
          <w:szCs w:val="24"/>
        </w:rPr>
        <w:t xml:space="preserve">A.2  DYNAMIC VOLATILITY BARRIER LABELING</w:t>
      </w:r>
    </w:p>
    <w:p>
      <w:pPr>
        <w:spacing w:after="160" w:before="120" w:line="240" w:lineRule="auto"/>
      </w:pPr>
      <w:r>
        <w:rPr>
          <w:rFonts w:ascii="Courier New" w:cs="Courier New" w:eastAsia="Courier New" w:hAnsi="Courier New"/>
          <w:sz w:val="18"/>
          <w:szCs w:val="18"/>
        </w:rPr>
        <w:t xml:space="preserve">def generate_labels(close_series, index, lambda_val, horizon=5, vol_window=30):
    close_series = pd.Series(close_series, index=index).astype(float)
    future_ret = np.log(close_series.shift(-horizon) / close_series)
    past_ret   = np.log(close_series / close_series.shift(1))
    sigma_t    = past_ret.rolling(window=vol_window, min_periods=vol_window).std()
    epsilon    = lambda_val * sigma_t
    labels = pd.Series(np.nan, index=index, dtype=float)
    labels[future_ret &gt; epsilon]   = 2   # Up
    labels[future_ret &lt; -epsilon]  = 0   # Down
    neutral_mask = (future_ret &gt;= -epsilon) &amp; (future_ret &lt;= epsilon)
    labels[neutral_mask]           = 1   # Neutral
    return labels
def select_lambda_for_fold(close_series, feature_index,
                            lambda_candidates, horizon=5, vol_window=30):
    best_lambda, best_score = None, float('inf')
    for lam in lambda_candidates:
        labels = generate_labels(close_series, feature_index, lam, horizon, vol_window)
        dist   = class_distribution(labels)
        score  = np.abs(np.array([dist[0], dist[1], dist[2]]) - 1/3).sum()
        if score &lt; best_score:
            best_score, best_lambda = score, lam
    return best_lambda</w:t>
      </w:r>
    </w:p>
    <w:p>
      <w:pPr>
        <w:spacing w:after="120" w:before="200" w:line="360" w:lineRule="auto"/>
      </w:pPr>
      <w:r>
        <w:rPr>
          <w:rFonts w:ascii="Times New Roman" w:cs="Times New Roman" w:eastAsia="Times New Roman" w:hAnsi="Times New Roman"/>
          <w:b/>
          <w:bCs/>
          <w:sz w:val="24"/>
          <w:szCs w:val="24"/>
        </w:rPr>
        <w:t xml:space="preserve">A.3  PROPOSED MODEL ARCHITECTURE (PROPOSEDMODEL)</w:t>
      </w:r>
    </w:p>
    <w:p>
      <w:pPr>
        <w:spacing w:after="160" w:before="120" w:line="240" w:lineRule="auto"/>
      </w:pPr>
      <w:r>
        <w:rPr>
          <w:rFonts w:ascii="Courier New" w:cs="Courier New" w:eastAsia="Courier New" w:hAnsi="Courier New"/>
          <w:sz w:val="18"/>
          <w:szCs w:val="18"/>
        </w:rPr>
        <w:t xml:space="preserve">class ProposedModel(nn.Module):
    def __init__(self, C=7, T=60, width=48, dropout=0.15, n_classes=3):
        super().__init__()
        self.stem = nn.Conv1d(C, width, kernel_size=1)
        self.conv = nn.Sequential(
            ConvBlock1d(width, width, kernel_size=5, dropout=dropout),
            ResidualConvBlock(width, kernel_size=3, dropout=dropout),
            ResidualConvBlock(width, kernel_size=3, dropout=dropout),
        )
        self.pos_enc = TemporalPositionalEncoding(width, max_len=T + 4)
        encoder_layer = nn.TransformerEncoderLayer(
            d_model=width, nhead=4, dim_feedforward=width * 2,
            dropout=dropout, batch_first=True, norm_first=True, activation='gelu'
        )
        self.transformer = nn.TransformerEncoder(encoder_layer, num_layers=1)
        self.head = nn.Sequential(
            nn.LayerNorm(width),
            nn.Linear(width, 32), nn.GELU(), nn.Dropout(dropout),
            nn.Linear(32, n_classes),
        )
    def forward(self, x, return_attn=False):
        x = self.stem(x)          # (N, C, T) → (N, 48, T)
        x = self.conv(x)          # (N, 48, T) → (N, 48, T)
        x = x.transpose(1, 2)    # (N, T, 48)
        x = self.pos_enc(x)       # add sinusoidal positional encoding
        x = self.transformer(x)   # (N, T, 48)
        x = x.mean(dim=1)         # (N, 48) — global mean pooling
        return self.head(x)       # (N, 3)</w:t>
      </w:r>
    </w:p>
    <w:p>
      <w:pPr>
        <w:spacing w:after="120" w:before="200" w:line="360" w:lineRule="auto"/>
      </w:pPr>
      <w:r>
        <w:rPr>
          <w:rFonts w:ascii="Times New Roman" w:cs="Times New Roman" w:eastAsia="Times New Roman" w:hAnsi="Times New Roman"/>
          <w:b/>
          <w:bCs/>
          <w:sz w:val="24"/>
          <w:szCs w:val="24"/>
        </w:rPr>
        <w:t xml:space="preserve">A.4  TRAINING LOOP WITH EARLY STOPPING</w:t>
      </w:r>
    </w:p>
    <w:p>
      <w:pPr>
        <w:spacing w:after="160" w:before="120" w:line="240" w:lineRule="auto"/>
      </w:pPr>
      <w:r>
        <w:rPr>
          <w:rFonts w:ascii="Courier New" w:cs="Courier New" w:eastAsia="Courier New" w:hAnsi="Courier New"/>
          <w:sz w:val="18"/>
          <w:szCs w:val="18"/>
        </w:rPr>
        <w:t xml:space="preserve"># Key training loop logic (simplified for clarity)
optimizer = torch.optim.AdamW(model.parameters(), lr=2e-4, weight_decay=3e-4)
scheduler = ReduceLROnPlateau(optimizer, mode='max', factor=0.5,
                              patience=4, min_lr=1e-5)
criterion = nn.CrossEntropyLoss(weight=compute_class_weights(y_train))
best_state, best_val_f1, wait = None, -1.0, 0
for epoch in range(1, 121):
    model.train()
    for xb, yb in train_loader:
        optimizer.zero_grad()
        logits = model(xb.to(DEVICE))
        loss   = criterion(logits, yb.to(DEVICE))
        loss.backward()
        nn.utils.clip_grad_norm_(model.parameters(), 1.0)
        optimizer.step()
    val_pred  = predict_from_logits(predict_torch_logits(model, X_val))
    val_f1    = f1_score(y_val, val_pred, average='macro', zero_division=0)
    scheduler.step(val_f1)
    if val_f1 &gt; best_val_f1:
        best_state = copy.deepcopy(model.state_dict())
        best_val_f1, wait = val_f1, 0
    else:
        wait += 1
    if wait &gt;= 20:
        break   # Early stopping
model.load_state_dict(best_state)</w:t>
      </w:r>
    </w:p>
    <w:p>
      <w:pPr>
        <w:spacing w:after="120" w:before="200" w:line="360" w:lineRule="auto"/>
      </w:pPr>
      <w:r>
        <w:rPr>
          <w:rFonts w:ascii="Times New Roman" w:cs="Times New Roman" w:eastAsia="Times New Roman" w:hAnsi="Times New Roman"/>
          <w:b/>
          <w:bCs/>
          <w:sz w:val="24"/>
          <w:szCs w:val="24"/>
        </w:rPr>
        <w:t xml:space="preserve">A.5  WALK-FORWARD FOLD NORMALIZATION</w:t>
      </w:r>
    </w:p>
    <w:p>
      <w:pPr>
        <w:spacing w:after="160" w:before="120" w:line="240" w:lineRule="auto"/>
      </w:pPr>
      <w:r>
        <w:rPr>
          <w:rFonts w:ascii="Courier New" w:cs="Courier New" w:eastAsia="Courier New" w:hAnsi="Courier New"/>
          <w:sz w:val="18"/>
          <w:szCs w:val="18"/>
        </w:rPr>
        <w:t xml:space="preserve">def normalize_fold(X_train, X_test):
    # Fit mean and std on training data ONLY
    mean = X_train.mean(axis=(0, 2), keepdims=True)
    std  = X_train.std(axis=(0, 2), keepdims=True)
    std  = np.where(std &lt; 1e-8, 1e-8, std)   # prevent division by zero
    # Apply to both train and test (no refitting on test)
    return (X_train - mean) / std, (X_test - mean) / std, mean, std</w:t>
      </w:r>
    </w:p>
    <w:p>
      <w:pPr>
        <w:pageBreakBefore/>
        <w:spacing w:after="480" w:before="0" w:line="360" w:lineRule="auto"/>
        <w:jc w:val="center"/>
      </w:pPr>
      <w:r>
        <w:rPr>
          <w:rFonts w:ascii="Times New Roman" w:cs="Times New Roman" w:eastAsia="Times New Roman" w:hAnsi="Times New Roman"/>
          <w:b/>
          <w:bCs/>
          <w:sz w:val="32"/>
          <w:szCs w:val="32"/>
        </w:rPr>
        <w:br/>
        <w:t xml:space="preserve">APPENDIX B</w:t>
      </w:r>
      <w:r>
        <w:rPr>
          <w:rFonts w:ascii="Times New Roman" w:cs="Times New Roman" w:eastAsia="Times New Roman" w:hAnsi="Times New Roman"/>
          <w:b/>
          <w:bCs/>
          <w:sz w:val="32"/>
          <w:szCs w:val="32"/>
        </w:rPr>
        <w:t xml:space="preserve">PLAGIARISM REPORT</w:t>
      </w:r>
    </w:p>
    <w:p>
      <w:pPr>
        <w:spacing w:after="160" w:before="0" w:line="360" w:lineRule="auto"/>
        <w:ind w:left="720"/>
        <w:jc w:val="both"/>
      </w:pPr>
      <w:r>
        <w:rPr>
          <w:rFonts w:ascii="Times New Roman" w:cs="Times New Roman" w:eastAsia="Times New Roman" w:hAnsi="Times New Roman"/>
          <w:sz w:val="24"/>
          <w:szCs w:val="24"/>
        </w:rPr>
        <w:t xml:space="preserve">The plagiarism report for this project report was generated using Turnitin under the supervision of the project guide. The similarity index of this report is below 10%, in compliance with the SRM Institute of Science and Technology academic integrity requirements. The plagiarism report is attached below as generated by the Turnitin software.</w:t>
      </w:r>
    </w:p>
    <w:p>
      <w:pPr>
        <w:spacing w:after="80" w:before="0"/>
      </w:pPr>
      <w:r>
        <w:t xml:space="preserve"/>
      </w:r>
    </w:p>
    <w:p>
      <w:pPr>
        <w:spacing w:after="160" w:before="0" w:line="360" w:lineRule="auto"/>
        <w:ind w:left="720"/>
        <w:jc w:val="both"/>
      </w:pPr>
      <w:r>
        <w:rPr>
          <w:rFonts w:ascii="Times New Roman" w:cs="Times New Roman" w:eastAsia="Times New Roman" w:hAnsi="Times New Roman"/>
          <w:sz w:val="24"/>
          <w:szCs w:val="24"/>
        </w:rPr>
        <w:t xml:space="preserve">[Plagiarism Report to be attached here as provided by Turnitin via project guide]</w:t>
      </w:r>
    </w:p>
    <w:sectPr>
      <w:footerReference w:type="default" r:id="rId7"/>
      <w:pgSz w:w="11906" w:h="16838" w:orient="portrait"/>
      <w:pgMar w:top="1440" w:right="72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4"/>
        <w:szCs w:val="24"/>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dc2834fc2087f2dd635395952391101eee2f926.png"/><Relationship Id="rId9" Type="http://schemas.openxmlformats.org/officeDocument/2006/relationships/image" Target="media/8d96fa1917f6533b7e52c73ab44adfbfe2f80e6e.png"/><Relationship Id="rId10" Type="http://schemas.openxmlformats.org/officeDocument/2006/relationships/image" Target="media/25dd5dcdee88787e61a3b1f2fbe4da98e760e92c.png"/><Relationship Id="rId11" Type="http://schemas.openxmlformats.org/officeDocument/2006/relationships/image" Target="media/e0514dee072b43e197a7284722c086c8fb167d23.png"/><Relationship Id="rId12" Type="http://schemas.openxmlformats.org/officeDocument/2006/relationships/image" Target="media/be44b726251d7454ae6042934578bc4475558099.png"/><Relationship Id="rId13" Type="http://schemas.openxmlformats.org/officeDocument/2006/relationships/image" Target="media/c5ac8e830c2bffc1bed29ed7a910bc689ccc42e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2026-04-28T06:26:45.907Z</dcterms:created>
  <dcterms:modified xsi:type="dcterms:W3CDTF">2026-04-28T06:26:45.908Z</dcterms:modified>
</cp:coreProperties>
</file>

<file path=docProps/custom.xml><?xml version="1.0" encoding="utf-8"?>
<Properties xmlns="http://schemas.openxmlformats.org/officeDocument/2006/custom-properties" xmlns:vt="http://schemas.openxmlformats.org/officeDocument/2006/docPropsVTypes"/>
</file>