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40"/>
              <w:left w:type="dxa" w:w="360"/>
              <w:bottom w:type="dxa" w:w="440"/>
              <w:right w:type="dxa" w:w="360"/>
            </w:tcMar>
          </w:tcPr>
          <w:p>
            <w:pPr>
              <w:spacing w:before="0" w:after="60"/>
              <w:jc w:val="center"/>
            </w:pPr>
            <w:r>
              <w:rPr>
                <w:rFonts w:ascii="Arial" w:cs="Arial" w:eastAsia="Arial" w:hAnsi="Arial"/>
                <w:b/>
                <w:bCs/>
                <w:color w:val="A0C8E0"/>
                <w:sz w:val="18"/>
                <w:szCs w:val="18"/>
              </w:rPr>
              <w:t xml:space="preserve">PROJECT OVERVIEW  —  UPDATED &amp; VERIFIED</w:t>
            </w:r>
          </w:p>
          <w:p>
            <w:pPr>
              <w:spacing w:before="0" w:after="100"/>
              <w:jc w:val="center"/>
            </w:pPr>
            <w:r>
              <w:rPr>
                <w:rFonts w:ascii="Arial" w:cs="Arial" w:eastAsia="Arial" w:hAnsi="Arial"/>
                <w:b/>
                <w:bCs/>
                <w:color w:val="FFFFFF"/>
                <w:sz w:val="40"/>
                <w:szCs w:val="40"/>
              </w:rPr>
              <w:t xml:space="preserve">Temporal Feature Fusion:</w:t>
            </w:r>
          </w:p>
          <w:p>
            <w:pPr>
              <w:spacing w:before="0" w:after="100"/>
              <w:jc w:val="center"/>
            </w:pPr>
            <w:r>
              <w:rPr>
                <w:rFonts w:ascii="Arial" w:cs="Arial" w:eastAsia="Arial" w:hAnsi="Arial"/>
                <w:b/>
                <w:bCs/>
                <w:color w:val="FFFFFF"/>
                <w:sz w:val="38"/>
                <w:szCs w:val="38"/>
              </w:rPr>
              <w:t xml:space="preserve">A Regime-Aware Financial Trend Classification</w:t>
            </w:r>
          </w:p>
          <w:p>
            <w:pPr>
              <w:spacing w:before="0" w:after="200"/>
              <w:jc w:val="center"/>
            </w:pPr>
            <w:r>
              <w:rPr>
                <w:rFonts w:ascii="Arial" w:cs="Arial" w:eastAsia="Arial" w:hAnsi="Arial"/>
                <w:b/>
                <w:bCs/>
                <w:color w:val="FFFFFF"/>
                <w:sz w:val="38"/>
                <w:szCs w:val="38"/>
              </w:rPr>
              <w:t xml:space="preserve">Framework Using 1D-CNN and Attention</w:t>
            </w:r>
          </w:p>
          <w:p>
            <w:pPr>
              <w:spacing w:before="0" w:after="60"/>
              <w:jc w:val="center"/>
            </w:pPr>
            <w:r>
              <w:rPr>
                <w:rFonts w:ascii="Arial" w:cs="Arial" w:eastAsia="Arial" w:hAnsi="Arial"/>
                <w:color w:val="A0C8E0"/>
                <w:sz w:val="22"/>
                <w:szCs w:val="22"/>
              </w:rPr>
              <w:t xml:space="preserve">Kanishk Srivastava  |  Raghav Sharma  |  Sayani Chanda</w:t>
            </w:r>
          </w:p>
          <w:p>
            <w:pPr>
              <w:spacing w:before="0" w:after="0"/>
              <w:jc w:val="center"/>
            </w:pPr>
            <w:r>
              <w:rPr>
                <w:rFonts w:ascii="Arial" w:cs="Arial" w:eastAsia="Arial" w:hAnsi="Arial"/>
                <w:i/>
                <w:iCs/>
                <w:color w:val="A0C8E0"/>
                <w:sz w:val="20"/>
                <w:szCs w:val="20"/>
              </w:rPr>
              <w:t xml:space="preserve">Domain: Financial Machine Learning  |  Time-Series Analysis</w:t>
            </w:r>
          </w:p>
        </w:tc>
      </w:tr>
    </w:tbl>
    <w:p>
      <w:pPr>
        <w:spacing w:before="200" w:after="0"/>
      </w:pPr>
      <w:r>
        <w:t xml:space="preserve"/>
      </w:r>
    </w:p>
    <w:p>
      <w:pPr>
        <w:pBdr>
          <w:bottom w:val="single" w:color="1A6B72" w:sz="8" w:space="4"/>
        </w:pBdr>
        <w:spacing w:before="300" w:after="120"/>
      </w:pPr>
      <w:r>
        <w:rPr>
          <w:rFonts w:ascii="Arial" w:cs="Arial" w:eastAsia="Arial" w:hAnsi="Arial"/>
          <w:b/>
          <w:bCs/>
          <w:color w:val="1B2A4A"/>
          <w:sz w:val="36"/>
          <w:szCs w:val="36"/>
        </w:rPr>
        <w:t xml:space="preserve">1.  Problem Definition</w:t>
      </w:r>
    </w:p>
    <w:p>
      <w:pPr>
        <w:spacing w:before="80" w:after="80"/>
        <w:jc w:val="left"/>
      </w:pPr>
      <w:r>
        <w:rPr>
          <w:rFonts w:ascii="Arial" w:cs="Arial" w:eastAsia="Arial" w:hAnsi="Arial"/>
          <w:b w:val="false"/>
          <w:bCs w:val="false"/>
          <w:i w:val="false"/>
          <w:iCs w:val="false"/>
          <w:color w:val="000000"/>
          <w:sz w:val="22"/>
          <w:szCs w:val="22"/>
        </w:rPr>
        <w:t xml:space="preserve">Financial time-series prediction is one of the most challenging problems in applied machine learning — not because models are inadequate, but because the domain is fundamentally hostile to naive application of standard techniques. Raw prices are non-stationary. Returns are noisy, fat-tailed, and regime-dependent. Labels derived without accounting for prevailing volatility are epistemically meaningless.</w:t>
      </w:r>
    </w:p>
    <w:p>
      <w:pPr>
        <w:spacing w:before="60" w:after="0"/>
      </w:pPr>
      <w:r>
        <w:t xml:space="preserve"/>
      </w:r>
    </w:p>
    <w:p>
      <w:pPr>
        <w:spacing w:before="80" w:after="80"/>
        <w:jc w:val="left"/>
      </w:pPr>
      <w:r>
        <w:rPr>
          <w:rFonts w:ascii="Arial" w:cs="Arial" w:eastAsia="Arial" w:hAnsi="Arial"/>
          <w:b w:val="false"/>
          <w:bCs w:val="false"/>
          <w:i w:val="false"/>
          <w:iCs w:val="false"/>
          <w:color w:val="000000"/>
          <w:sz w:val="22"/>
          <w:szCs w:val="22"/>
        </w:rPr>
        <w:t xml:space="preserve">This project frames the task as a three-class trend classification problem: Up, Neutral, or Down, derived from future log-returns. The Neutral class is not a fallback — it is a first-class, principled representation of market indecision that existing binary-classification frameworks systematically ignore.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A6B72"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KEY</w:t>
            </w:r>
          </w:p>
        </w:tc>
        <w:tc>
          <w:tcPr>
            <w:tcW w:type="dxa" w:w="9000"/>
            <w:tcBorders>
              <w:top w:val="none" w:color="FFFFFF" w:sz="0"/>
              <w:left w:val="none" w:color="FFFFFF" w:sz="0"/>
              <w:bottom w:val="none" w:color="FFFFFF" w:sz="0"/>
              <w:right w:val="none" w:color="FFFFFF" w:sz="0"/>
            </w:tcBorders>
            <w:shd w:fill="D6E8F5" w:val="clear"/>
            <w:tcMar>
              <w:top w:type="dxa" w:w="100"/>
              <w:left w:type="dxa" w:w="160"/>
              <w:bottom w:type="dxa" w:w="100"/>
              <w:right w:type="dxa" w:w="160"/>
            </w:tcMar>
          </w:tcPr>
          <w:p>
            <w:r>
              <w:rPr>
                <w:rFonts w:ascii="Arial" w:cs="Arial" w:eastAsia="Arial" w:hAnsi="Arial"/>
                <w:color w:val="1A1A1A"/>
                <w:sz w:val="21"/>
                <w:szCs w:val="21"/>
              </w:rPr>
              <w:t xml:space="preserve">No price regression. No trading strategy. No Sharpe ratio claims. This is a pure methodological and empirical study of when and why modern temporal architectures help in financial classification.</w:t>
            </w:r>
          </w:p>
        </w:tc>
      </w:tr>
    </w:tbl>
    <w:p>
      <w:pPr>
        <w:spacing w:before="120" w:after="0"/>
      </w:pPr>
      <w:r>
        <w:t xml:space="preserve"/>
      </w:r>
    </w:p>
    <w:p>
      <w:pPr>
        <w:pBdr>
          <w:bottom w:val="single" w:color="1A6B72" w:sz="8" w:space="4"/>
        </w:pBdr>
        <w:spacing w:before="300" w:after="120"/>
      </w:pPr>
      <w:r>
        <w:rPr>
          <w:rFonts w:ascii="Arial" w:cs="Arial" w:eastAsia="Arial" w:hAnsi="Arial"/>
          <w:b/>
          <w:bCs/>
          <w:color w:val="1B2A4A"/>
          <w:sz w:val="36"/>
          <w:szCs w:val="36"/>
        </w:rPr>
        <w:t xml:space="preserve">2.  Updated Scope — Faculty-Guided Revisions</w:t>
      </w:r>
    </w:p>
    <w:p>
      <w:pPr>
        <w:spacing w:before="80" w:after="80"/>
        <w:jc w:val="left"/>
      </w:pPr>
      <w:r>
        <w:rPr>
          <w:rFonts w:ascii="Arial" w:cs="Arial" w:eastAsia="Arial" w:hAnsi="Arial"/>
          <w:b w:val="false"/>
          <w:bCs w:val="false"/>
          <w:i w:val="false"/>
          <w:iCs w:val="false"/>
          <w:color w:val="000000"/>
          <w:sz w:val="22"/>
          <w:szCs w:val="22"/>
        </w:rPr>
        <w:t xml:space="preserve">The following table documents every major scope adjustment made after expert review, the reason for the change, and the net benefit: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1"/>
                <w:szCs w:val="21"/>
              </w:rPr>
              <w:t xml:space="preserve">Dimension</w:t>
            </w:r>
          </w:p>
        </w:tc>
        <w:tc>
          <w:tcPr>
            <w:tcW w:type="dxa" w:w="3180"/>
            <w:tcBorders>
              <w:top w:val="single" w:color="CCCCCC" w:sz="1"/>
              <w:left w:val="single" w:color="CCCCCC" w:sz="1"/>
              <w:bottom w:val="single" w:color="CCCCCC" w:sz="1"/>
              <w:right w:val="single" w:color="CCCCCC" w:sz="1"/>
            </w:tcBorders>
            <w:shd w:fill="1A6B72" w:val="clear"/>
            <w:tcMar>
              <w:top w:type="dxa" w:w="80"/>
              <w:left w:type="dxa" w:w="120"/>
              <w:bottom w:type="dxa" w:w="80"/>
              <w:right w:type="dxa" w:w="120"/>
            </w:tcMar>
          </w:tcPr>
          <w:p>
            <w:r>
              <w:rPr>
                <w:rFonts w:ascii="Arial" w:cs="Arial" w:eastAsia="Arial" w:hAnsi="Arial"/>
                <w:b/>
                <w:bCs/>
                <w:color w:val="FFFFFF"/>
                <w:sz w:val="21"/>
                <w:szCs w:val="21"/>
              </w:rPr>
              <w:t xml:space="preserve">Original Proposal</w:t>
            </w:r>
          </w:p>
        </w:tc>
        <w:tc>
          <w:tcPr>
            <w:tcW w:type="dxa" w:w="3180"/>
            <w:tcBorders>
              <w:top w:val="single" w:color="CCCCCC" w:sz="1"/>
              <w:left w:val="single" w:color="CCCCCC" w:sz="1"/>
              <w:bottom w:val="single" w:color="CCCCCC" w:sz="1"/>
              <w:right w:val="single" w:color="CCCCCC" w:sz="1"/>
            </w:tcBorders>
            <w:shd w:fill="C8950A" w:val="clear"/>
            <w:tcMar>
              <w:top w:type="dxa" w:w="80"/>
              <w:left w:type="dxa" w:w="120"/>
              <w:bottom w:type="dxa" w:w="80"/>
              <w:right w:type="dxa" w:w="120"/>
            </w:tcMar>
          </w:tcPr>
          <w:p>
            <w:r>
              <w:rPr>
                <w:rFonts w:ascii="Arial" w:cs="Arial" w:eastAsia="Arial" w:hAnsi="Arial"/>
                <w:b/>
                <w:bCs/>
                <w:color w:val="FFFFFF"/>
                <w:sz w:val="21"/>
                <w:szCs w:val="21"/>
              </w:rPr>
              <w:t xml:space="preserve">Updated Scope (This Document)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Asset Universe</w:t>
            </w:r>
          </w:p>
        </w:tc>
        <w:tc>
          <w:tcPr>
            <w:tcW w:type="dxa" w:w="318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Unspecified / multi-asset implied</w:t>
            </w:r>
          </w:p>
        </w:tc>
        <w:tc>
          <w:tcPr>
            <w:tcW w:type="dxa" w:w="318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asset: S&amp;P 500 (^GSPC via Yahoo Finance)</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Lookback Window T</w:t>
            </w:r>
          </w:p>
        </w:tc>
        <w:tc>
          <w:tcPr>
            <w:tcW w:type="dxa" w:w="318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Unspecified</w:t>
            </w:r>
          </w:p>
        </w:tc>
        <w:tc>
          <w:tcPr>
            <w:tcW w:type="dxa" w:w="318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1A1A1A"/>
                <w:sz w:val="20"/>
                <w:szCs w:val="20"/>
              </w:rPr>
              <w:t xml:space="preserve">T = 20 trading days (one calendar month)</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Feature Set</w:t>
            </w:r>
          </w:p>
        </w:tc>
        <w:tc>
          <w:tcPr>
            <w:tcW w:type="dxa" w:w="318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OHLC + volatility + 'minimal indicators' (open-ended)</w:t>
            </w:r>
          </w:p>
        </w:tc>
        <w:tc>
          <w:tcPr>
            <w:tcW w:type="dxa" w:w="318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1A1A1A"/>
                <w:sz w:val="20"/>
                <w:szCs w:val="20"/>
              </w:rPr>
              <w:t xml:space="preserve">Exactly 6 features: OHLC log-returns, 20-day rolling vol, RSI-14, MACD signal</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Lambda (λ) Selection</w:t>
            </w:r>
          </w:p>
        </w:tc>
        <w:tc>
          <w:tcPr>
            <w:tcW w:type="dxa" w:w="318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Implied fixed; no procedure stated</w:t>
            </w:r>
          </w:p>
        </w:tc>
        <w:tc>
          <w:tcPr>
            <w:tcW w:type="dxa" w:w="318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1A1A1A"/>
                <w:sz w:val="20"/>
                <w:szCs w:val="20"/>
              </w:rPr>
              <w:t xml:space="preserve">Grid search over λ ∈ {0.5, 1.0, 1.5}; select by class balance on training set</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Baselines</w:t>
            </w:r>
          </w:p>
        </w:tc>
        <w:tc>
          <w:tcPr>
            <w:tcW w:type="dxa" w:w="318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6 required (incl. ARIMA)</w:t>
            </w:r>
          </w:p>
        </w:tc>
        <w:tc>
          <w:tcPr>
            <w:tcW w:type="dxa" w:w="318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1A1A1A"/>
                <w:sz w:val="20"/>
                <w:szCs w:val="20"/>
              </w:rPr>
              <w:t xml:space="preserve">4 required: Dummy, XGBoost, LSTM, 1D-CNN (no attn)</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Walk-Forward Folds</w:t>
            </w:r>
          </w:p>
        </w:tc>
        <w:tc>
          <w:tcPr>
            <w:tcW w:type="dxa" w:w="318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Unspecified count</w:t>
            </w:r>
          </w:p>
        </w:tc>
        <w:tc>
          <w:tcPr>
            <w:tcW w:type="dxa" w:w="318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1A1A1A"/>
                <w:sz w:val="20"/>
                <w:szCs w:val="20"/>
              </w:rPr>
              <w:t xml:space="preserve">Minimum 3 anchored folds, explicitly documented</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Regime Evaluation</w:t>
            </w:r>
          </w:p>
        </w:tc>
        <w:tc>
          <w:tcPr>
            <w:tcW w:type="dxa" w:w="318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Required if data supports</w:t>
            </w:r>
          </w:p>
        </w:tc>
        <w:tc>
          <w:tcPr>
            <w:tcW w:type="dxa" w:w="318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1A1A1A"/>
                <w:sz w:val="20"/>
                <w:szCs w:val="20"/>
              </w:rPr>
              <w:t xml:space="preserve">Conditional: only reported if ≥ 50 samples per regime per fold</w:t>
            </w:r>
          </w:p>
        </w:tc>
      </w:tr>
      <w:tr>
        <w:tc>
          <w:tcPr>
            <w:tcW w:type="dxa" w:w="3000"/>
            <w:tcBorders>
              <w:top w:val="single" w:color="CCCCCC" w:sz="1"/>
              <w:left w:val="single" w:color="CCCCCC" w:sz="1"/>
              <w:bottom w:val="single" w:color="CCCCCC" w:sz="1"/>
              <w:right w:val="single" w:color="CCCCCC" w:sz="1"/>
            </w:tcBorders>
            <w:shd w:fill="F2F4F7" w:val="clear"/>
            <w:tcMar>
              <w:top w:type="dxa" w:w="80"/>
              <w:left w:type="dxa" w:w="120"/>
              <w:bottom w:type="dxa" w:w="80"/>
              <w:right w:type="dxa" w:w="120"/>
            </w:tcMar>
          </w:tcPr>
          <w:p>
            <w:r>
              <w:rPr>
                <w:rFonts w:ascii="Arial" w:cs="Arial" w:eastAsia="Arial" w:hAnsi="Arial"/>
                <w:b w:val="false"/>
                <w:bCs w:val="false"/>
                <w:color w:val="1A1A1A"/>
                <w:sz w:val="20"/>
                <w:szCs w:val="20"/>
              </w:rPr>
              <w:t xml:space="preserve">Attention Complexity</w:t>
            </w:r>
          </w:p>
        </w:tc>
        <w:tc>
          <w:tcPr>
            <w:tcW w:type="dxa" w:w="3180"/>
            <w:tcBorders>
              <w:top w:val="single" w:color="CCCCCC" w:sz="1"/>
              <w:left w:val="single" w:color="CCCCCC" w:sz="1"/>
              <w:bottom w:val="single" w:color="CCCCCC" w:sz="1"/>
              <w:right w:val="single" w:color="CCCCCC" w:sz="1"/>
            </w:tcBorders>
            <w:shd w:fill="FDF3DC" w:val="clear"/>
            <w:tcMar>
              <w:top w:type="dxa" w:w="80"/>
              <w:left w:type="dxa" w:w="120"/>
              <w:bottom w:type="dxa" w:w="80"/>
              <w:right w:type="dxa" w:w="120"/>
            </w:tcMar>
          </w:tcPr>
          <w:p>
            <w:r>
              <w:rPr>
                <w:rFonts w:ascii="Arial" w:cs="Arial" w:eastAsia="Arial" w:hAnsi="Arial"/>
                <w:b w:val="false"/>
                <w:bCs w:val="false"/>
                <w:color w:val="1A1A1A"/>
                <w:sz w:val="20"/>
                <w:szCs w:val="20"/>
              </w:rPr>
              <w:t xml:space="preserve">Unspecified</w:t>
            </w:r>
          </w:p>
        </w:tc>
        <w:tc>
          <w:tcPr>
            <w:tcW w:type="dxa" w:w="3180"/>
            <w:tcBorders>
              <w:top w:val="single" w:color="CCCCCC" w:sz="1"/>
              <w:left w:val="single" w:color="CCCCCC" w:sz="1"/>
              <w:bottom w:val="single" w:color="CCCCCC" w:sz="1"/>
              <w:right w:val="single" w:color="CCCCCC" w:sz="1"/>
            </w:tcBorders>
            <w:shd w:fill="D6E8F5"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Single-head or 2-head encoder only; no large transformer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C8950A"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WHY</w:t>
            </w:r>
          </w:p>
        </w:tc>
        <w:tc>
          <w:tcPr>
            <w:tcW w:type="dxa" w:w="9000"/>
            <w:tcBorders>
              <w:top w:val="none" w:color="FFFFFF" w:sz="0"/>
              <w:left w:val="none" w:color="FFFFFF" w:sz="0"/>
              <w:bottom w:val="none" w:color="FFFFFF" w:sz="0"/>
              <w:right w:val="none" w:color="FFFFFF" w:sz="0"/>
            </w:tcBorders>
            <w:shd w:fill="FDF3DC" w:val="clear"/>
            <w:tcMar>
              <w:top w:type="dxa" w:w="100"/>
              <w:left w:type="dxa" w:w="160"/>
              <w:bottom w:type="dxa" w:w="100"/>
              <w:right w:type="dxa" w:w="160"/>
            </w:tcMar>
          </w:tcPr>
          <w:p>
            <w:r>
              <w:rPr>
                <w:rFonts w:ascii="Arial" w:cs="Arial" w:eastAsia="Arial" w:hAnsi="Arial"/>
                <w:color w:val="1A1A1A"/>
                <w:sz w:val="21"/>
                <w:szCs w:val="21"/>
              </w:rPr>
              <w:t xml:space="preserve">Narrowing scope does not weaken this project — it strengthens it. A tightly scoped, rigorously executed study on one asset is worth ten loosely executed studies across five assets. Every examiner knows this.</w:t>
            </w:r>
          </w:p>
        </w:tc>
      </w:tr>
    </w:tbl>
    <w:p>
      <w:pPr>
        <w:spacing w:before="120" w:after="0"/>
      </w:pPr>
      <w:r>
        <w:t xml:space="preserve"/>
      </w:r>
    </w:p>
    <w:p>
      <w:pPr>
        <w:pBdr>
          <w:bottom w:val="single" w:color="1A6B72" w:sz="8" w:space="4"/>
        </w:pBdr>
        <w:spacing w:before="300" w:after="120"/>
      </w:pPr>
      <w:r>
        <w:rPr>
          <w:rFonts w:ascii="Arial" w:cs="Arial" w:eastAsia="Arial" w:hAnsi="Arial"/>
          <w:b/>
          <w:bCs/>
          <w:color w:val="1B2A4A"/>
          <w:sz w:val="36"/>
          <w:szCs w:val="36"/>
        </w:rPr>
        <w:t xml:space="preserve">3.  Data &amp; Representation</w:t>
      </w:r>
    </w:p>
    <w:p>
      <w:pPr>
        <w:spacing w:before="80" w:after="80"/>
        <w:jc w:val="left"/>
      </w:pPr>
      <w:r>
        <w:rPr>
          <w:rFonts w:ascii="Arial" w:cs="Arial" w:eastAsia="Arial" w:hAnsi="Arial"/>
          <w:b w:val="false"/>
          <w:bCs w:val="false"/>
          <w:i w:val="false"/>
          <w:iCs w:val="false"/>
          <w:color w:val="000000"/>
          <w:sz w:val="22"/>
          <w:szCs w:val="22"/>
        </w:rPr>
        <w:t xml:space="preserve">Data source: Yahoo Finance public historical data for S&amp;P 500 index (^GSPC). Daily resolution. Minimum 10 years of data (approximately 2013–2024) to ensure multiple regime cycles are represented.</w:t>
      </w:r>
    </w:p>
    <w:p>
      <w:pPr>
        <w:spacing w:before="80" w:after="0"/>
      </w:pPr>
      <w:r>
        <w:t xml:space="preserve"/>
      </w:r>
    </w:p>
    <w:p>
      <w:pPr>
        <w:spacing w:before="300" w:after="120"/>
      </w:pPr>
      <w:r>
        <w:rPr>
          <w:rFonts w:ascii="Arial" w:cs="Arial" w:eastAsia="Arial" w:hAnsi="Arial"/>
          <w:b/>
          <w:bCs/>
          <w:color w:val="1B2A4A"/>
          <w:sz w:val="28"/>
          <w:szCs w:val="28"/>
        </w:rPr>
        <w:t xml:space="preserve">Input Features (Fixed — 6 total)</w:t>
      </w:r>
    </w:p>
    <w:p>
      <w:pPr>
        <w:pStyle w:val="ListParagraph"/>
        <w:numPr>
          <w:ilvl w:val="0"/>
          <w:numId w:val="2"/>
        </w:numPr>
        <w:spacing w:before="40" w:after="40"/>
      </w:pPr>
      <w:r>
        <w:rPr>
          <w:rFonts w:ascii="Arial" w:cs="Arial" w:eastAsia="Arial" w:hAnsi="Arial"/>
          <w:color w:val="1A1A1A"/>
          <w:sz w:val="21"/>
          <w:szCs w:val="21"/>
        </w:rPr>
        <w:t xml:space="preserve">Log-return of Close price: ln(Close_t / Close_{t-1})</w:t>
      </w:r>
    </w:p>
    <w:p>
      <w:pPr>
        <w:pStyle w:val="ListParagraph"/>
        <w:numPr>
          <w:ilvl w:val="0"/>
          <w:numId w:val="2"/>
        </w:numPr>
        <w:spacing w:before="40" w:after="40"/>
      </w:pPr>
      <w:r>
        <w:rPr>
          <w:rFonts w:ascii="Arial" w:cs="Arial" w:eastAsia="Arial" w:hAnsi="Arial"/>
          <w:color w:val="1A1A1A"/>
          <w:sz w:val="21"/>
          <w:szCs w:val="21"/>
        </w:rPr>
        <w:t xml:space="preserve">Log-return of Open price</w:t>
      </w:r>
    </w:p>
    <w:p>
      <w:pPr>
        <w:pStyle w:val="ListParagraph"/>
        <w:numPr>
          <w:ilvl w:val="0"/>
          <w:numId w:val="2"/>
        </w:numPr>
        <w:spacing w:before="40" w:after="40"/>
      </w:pPr>
      <w:r>
        <w:rPr>
          <w:rFonts w:ascii="Arial" w:cs="Arial" w:eastAsia="Arial" w:hAnsi="Arial"/>
          <w:color w:val="1A1A1A"/>
          <w:sz w:val="21"/>
          <w:szCs w:val="21"/>
        </w:rPr>
        <w:t xml:space="preserve">Log-return of High price</w:t>
      </w:r>
    </w:p>
    <w:p>
      <w:pPr>
        <w:pStyle w:val="ListParagraph"/>
        <w:numPr>
          <w:ilvl w:val="0"/>
          <w:numId w:val="2"/>
        </w:numPr>
        <w:spacing w:before="40" w:after="40"/>
      </w:pPr>
      <w:r>
        <w:rPr>
          <w:rFonts w:ascii="Arial" w:cs="Arial" w:eastAsia="Arial" w:hAnsi="Arial"/>
          <w:color w:val="1A1A1A"/>
          <w:sz w:val="21"/>
          <w:szCs w:val="21"/>
        </w:rPr>
        <w:t xml:space="preserve">Log-return of Low price</w:t>
      </w:r>
    </w:p>
    <w:p>
      <w:pPr>
        <w:pStyle w:val="ListParagraph"/>
        <w:numPr>
          <w:ilvl w:val="0"/>
          <w:numId w:val="2"/>
        </w:numPr>
        <w:spacing w:before="40" w:after="40"/>
      </w:pPr>
      <w:r>
        <w:rPr>
          <w:rFonts w:ascii="Arial" w:cs="Arial" w:eastAsia="Arial" w:hAnsi="Arial"/>
          <w:color w:val="1A1A1A"/>
          <w:sz w:val="21"/>
          <w:szCs w:val="21"/>
        </w:rPr>
        <w:t xml:space="preserve">20-day rolling realized volatility (std of log-returns over trailing 20 days)</w:t>
      </w:r>
    </w:p>
    <w:p>
      <w:pPr>
        <w:pStyle w:val="ListParagraph"/>
        <w:numPr>
          <w:ilvl w:val="0"/>
          <w:numId w:val="2"/>
        </w:numPr>
        <w:spacing w:before="40" w:after="40"/>
      </w:pPr>
      <w:r>
        <w:rPr>
          <w:rFonts w:ascii="Arial" w:cs="Arial" w:eastAsia="Arial" w:hAnsi="Arial"/>
          <w:color w:val="1A1A1A"/>
          <w:sz w:val="21"/>
          <w:szCs w:val="21"/>
        </w:rPr>
        <w:t xml:space="preserve">RSI-14 (normalized to [0, 1] range)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A6B72"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STATIONARITY</w:t>
            </w:r>
          </w:p>
        </w:tc>
        <w:tc>
          <w:tcPr>
            <w:tcW w:type="dxa" w:w="9000"/>
            <w:tcBorders>
              <w:top w:val="none" w:color="FFFFFF" w:sz="0"/>
              <w:left w:val="none" w:color="FFFFFF" w:sz="0"/>
              <w:bottom w:val="none" w:color="FFFFFF" w:sz="0"/>
              <w:right w:val="none" w:color="FFFFFF" w:sz="0"/>
            </w:tcBorders>
            <w:shd w:fill="D6E8F5" w:val="clear"/>
            <w:tcMar>
              <w:top w:type="dxa" w:w="100"/>
              <w:left w:type="dxa" w:w="160"/>
              <w:bottom w:type="dxa" w:w="100"/>
              <w:right w:type="dxa" w:w="160"/>
            </w:tcMar>
          </w:tcPr>
          <w:p>
            <w:r>
              <w:rPr>
                <w:rFonts w:ascii="Arial" w:cs="Arial" w:eastAsia="Arial" w:hAnsi="Arial"/>
                <w:color w:val="1A1A1A"/>
                <w:sz w:val="21"/>
                <w:szCs w:val="21"/>
              </w:rPr>
              <w:t xml:space="preserve">Raw prices are never used anywhere in the pipeline. All features are computed exclusively from past data. Rolling normalization is fitted strictly on each training window and applied to the corresponding validation/test window — no forward leakage.</w:t>
            </w:r>
          </w:p>
        </w:tc>
      </w:tr>
    </w:tbl>
    <w:p>
      <w:pPr>
        <w:spacing w:before="60" w:after="0"/>
      </w:pPr>
      <w:r>
        <w:t xml:space="preserve"/>
      </w:r>
    </w:p>
    <w:p>
      <w:pPr>
        <w:spacing w:before="80" w:after="80"/>
        <w:jc w:val="left"/>
      </w:pPr>
      <w:r>
        <w:rPr>
          <w:rFonts w:ascii="Arial" w:cs="Arial" w:eastAsia="Arial" w:hAnsi="Arial"/>
          <w:b w:val="false"/>
          <w:bCs w:val="false"/>
          <w:i w:val="false"/>
          <w:iCs w:val="false"/>
          <w:color w:val="000000"/>
          <w:sz w:val="22"/>
          <w:szCs w:val="22"/>
        </w:rPr>
        <w:t xml:space="preserve">Model input shape:   X ∈ R^(C × T)   where C = 6 features, T = 20 time steps.</w:t>
      </w:r>
    </w:p>
    <w:p>
      <w:pPr>
        <w:shd w:fill="F2F4F7" w:val="clear"/>
        <w:spacing w:before="100" w:after="100"/>
        <w:jc w:val="center"/>
      </w:pPr>
      <w:r>
        <w:rPr>
          <w:rFonts w:ascii="Courier New" w:cs="Courier New" w:eastAsia="Courier New" w:hAnsi="Courier New"/>
          <w:b/>
          <w:bCs/>
          <w:color w:val="1B2A4A"/>
          <w:sz w:val="22"/>
          <w:szCs w:val="22"/>
        </w:rPr>
        <w:t xml:space="preserve">X ∈ ℝ^(6 × 20)  —  6 features, 20-day lookback window per sample</w:t>
      </w:r>
    </w:p>
    <w:p>
      <w:pPr>
        <w:spacing w:before="120" w:after="0"/>
      </w:pPr>
      <w:r>
        <w:t xml:space="preserve"/>
      </w:r>
    </w:p>
    <w:p>
      <w:pPr>
        <w:pBdr>
          <w:bottom w:val="single" w:color="1A6B72" w:sz="8" w:space="4"/>
        </w:pBdr>
        <w:spacing w:before="300" w:after="120"/>
      </w:pPr>
      <w:r>
        <w:rPr>
          <w:rFonts w:ascii="Arial" w:cs="Arial" w:eastAsia="Arial" w:hAnsi="Arial"/>
          <w:b/>
          <w:bCs/>
          <w:color w:val="1B2A4A"/>
          <w:sz w:val="36"/>
          <w:szCs w:val="36"/>
        </w:rPr>
        <w:t xml:space="preserve">4.  Labeling Strategy — The Core Novelty</w:t>
      </w:r>
    </w:p>
    <w:p>
      <w:pPr>
        <w:spacing w:before="80" w:after="80"/>
        <w:jc w:val="left"/>
      </w:pPr>
      <w:r>
        <w:rPr>
          <w:rFonts w:ascii="Arial" w:cs="Arial" w:eastAsia="Arial" w:hAnsi="Arial"/>
          <w:b w:val="false"/>
          <w:bCs w:val="false"/>
          <w:i w:val="false"/>
          <w:iCs w:val="false"/>
          <w:color w:val="000000"/>
          <w:sz w:val="22"/>
          <w:szCs w:val="22"/>
        </w:rPr>
        <w:t xml:space="preserve">This is the most intellectually original contribution of this project relative to CNNPred and the majority of financial ML literature. The target is derived from future log-returns using a dynamic volatility-scaled barrier — not a fixed threshold.</w:t>
      </w:r>
    </w:p>
    <w:p>
      <w:pPr>
        <w:spacing w:before="80" w:after="0"/>
      </w:pPr>
      <w:r>
        <w:t xml:space="preserve"/>
      </w:r>
    </w:p>
    <w:p>
      <w:pPr>
        <w:spacing w:before="300" w:after="120"/>
      </w:pPr>
      <w:r>
        <w:rPr>
          <w:rFonts w:ascii="Arial" w:cs="Arial" w:eastAsia="Arial" w:hAnsi="Arial"/>
          <w:b/>
          <w:bCs/>
          <w:color w:val="1B2A4A"/>
          <w:sz w:val="28"/>
          <w:szCs w:val="28"/>
        </w:rPr>
        <w:t xml:space="preserve">4.1  Future Log-Return</w:t>
      </w:r>
    </w:p>
    <w:p>
      <w:pPr>
        <w:shd w:fill="F2F4F7" w:val="clear"/>
        <w:spacing w:before="100" w:after="100"/>
        <w:jc w:val="center"/>
      </w:pPr>
      <w:r>
        <w:rPr>
          <w:rFonts w:ascii="Courier New" w:cs="Courier New" w:eastAsia="Courier New" w:hAnsi="Courier New"/>
          <w:b/>
          <w:bCs/>
          <w:color w:val="1B2A4A"/>
          <w:sz w:val="22"/>
          <w:szCs w:val="22"/>
        </w:rPr>
        <w:t xml:space="preserve">R_t(k) = log( P_{t+k} / P_t )</w:t>
      </w:r>
    </w:p>
    <w:p>
      <w:pPr>
        <w:spacing w:before="80" w:after="80"/>
        <w:jc w:val="left"/>
      </w:pPr>
      <w:r>
        <w:rPr>
          <w:rFonts w:ascii="Arial" w:cs="Arial" w:eastAsia="Arial" w:hAnsi="Arial"/>
          <w:b w:val="false"/>
          <w:bCs w:val="false"/>
          <w:i w:val="false"/>
          <w:iCs w:val="false"/>
          <w:color w:val="000000"/>
          <w:sz w:val="22"/>
          <w:szCs w:val="22"/>
        </w:rPr>
        <w:t xml:space="preserve">Where k is the forward horizon (default k = 5 trading days, one week ahead). The horizon k is a reported hyperparameter.</w:t>
      </w:r>
    </w:p>
    <w:p>
      <w:pPr>
        <w:spacing w:before="60" w:after="0"/>
      </w:pPr>
      <w:r>
        <w:t xml:space="preserve"/>
      </w:r>
    </w:p>
    <w:p>
      <w:pPr>
        <w:spacing w:before="300" w:after="120"/>
      </w:pPr>
      <w:r>
        <w:rPr>
          <w:rFonts w:ascii="Arial" w:cs="Arial" w:eastAsia="Arial" w:hAnsi="Arial"/>
          <w:b/>
          <w:bCs/>
          <w:color w:val="1B2A4A"/>
          <w:sz w:val="28"/>
          <w:szCs w:val="28"/>
        </w:rPr>
        <w:t xml:space="preserve">4.2  Dynamic Volatility Barrier</w:t>
      </w:r>
    </w:p>
    <w:p>
      <w:pPr>
        <w:shd w:fill="F2F4F7" w:val="clear"/>
        <w:spacing w:before="100" w:after="100"/>
        <w:jc w:val="center"/>
      </w:pPr>
      <w:r>
        <w:rPr>
          <w:rFonts w:ascii="Courier New" w:cs="Courier New" w:eastAsia="Courier New" w:hAnsi="Courier New"/>
          <w:b/>
          <w:bCs/>
          <w:color w:val="1B2A4A"/>
          <w:sz w:val="22"/>
          <w:szCs w:val="22"/>
        </w:rPr>
        <w:t xml:space="preserve">ε_t  =  λ × σ(t−30, t)</w:t>
      </w:r>
    </w:p>
    <w:p>
      <w:pPr>
        <w:spacing w:before="80" w:after="80"/>
        <w:jc w:val="left"/>
      </w:pPr>
      <w:r>
        <w:rPr>
          <w:rFonts w:ascii="Arial" w:cs="Arial" w:eastAsia="Arial" w:hAnsi="Arial"/>
          <w:b w:val="false"/>
          <w:bCs w:val="false"/>
          <w:i w:val="false"/>
          <w:iCs w:val="false"/>
          <w:color w:val="000000"/>
          <w:sz w:val="22"/>
          <w:szCs w:val="22"/>
        </w:rPr>
        <w:t xml:space="preserve">Where σ(t−30, t) is the realized volatility computed over the 30 days immediately preceding day t, and λ is a scaling factor chosen via grid search on the training set.</w:t>
      </w:r>
    </w:p>
    <w:p>
      <w:pPr>
        <w:spacing w:before="60" w:after="0"/>
      </w:pPr>
      <w:r>
        <w:t xml:space="preserve"/>
      </w:r>
    </w:p>
    <w:p>
      <w:pPr>
        <w:spacing w:before="300" w:after="120"/>
      </w:pPr>
      <w:r>
        <w:rPr>
          <w:rFonts w:ascii="Arial" w:cs="Arial" w:eastAsia="Arial" w:hAnsi="Arial"/>
          <w:b/>
          <w:bCs/>
          <w:color w:val="1B2A4A"/>
          <w:sz w:val="28"/>
          <w:szCs w:val="28"/>
        </w:rPr>
        <w:t xml:space="preserve">4.3  Three-Class Label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tcBorders>
              <w:top w:val="none" w:color="FFFFFF" w:sz="0"/>
              <w:left w:val="none" w:color="FFFFFF" w:sz="0"/>
              <w:bottom w:val="none" w:color="FFFFFF" w:sz="0"/>
              <w:right w:val="none" w:color="FFFFFF" w:sz="0"/>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Class</w:t>
            </w:r>
          </w:p>
        </w:tc>
        <w:tc>
          <w:tcPr>
            <w:tcW w:type="dxa" w:w="3600"/>
            <w:tcBorders>
              <w:top w:val="none" w:color="FFFFFF" w:sz="0"/>
              <w:left w:val="none" w:color="FFFFFF" w:sz="0"/>
              <w:bottom w:val="none" w:color="FFFFFF" w:sz="0"/>
              <w:right w:val="none" w:color="FFFFFF" w:sz="0"/>
            </w:tcBorders>
            <w:shd w:fill="1A6B72" w:val="clear"/>
            <w:tcMar>
              <w:top w:type="dxa" w:w="100"/>
              <w:left w:type="dxa" w:w="160"/>
              <w:bottom w:type="dxa" w:w="100"/>
              <w:right w:type="dxa" w:w="160"/>
            </w:tcMar>
          </w:tcPr>
          <w:p>
            <w:r>
              <w:rPr>
                <w:rFonts w:ascii="Arial" w:cs="Arial" w:eastAsia="Arial" w:hAnsi="Arial"/>
                <w:b/>
                <w:bCs/>
                <w:color w:val="FFFFFF"/>
                <w:sz w:val="22"/>
                <w:szCs w:val="22"/>
              </w:rPr>
              <w:t xml:space="preserve">Condition</w:t>
            </w:r>
          </w:p>
        </w:tc>
        <w:tc>
          <w:tcPr>
            <w:tcW w:type="dxa" w:w="3960"/>
            <w:tcBorders>
              <w:top w:val="none" w:color="FFFFFF" w:sz="0"/>
              <w:left w:val="none" w:color="FFFFFF" w:sz="0"/>
              <w:bottom w:val="none" w:color="FFFFFF" w:sz="0"/>
              <w:right w:val="none" w:color="FFFFFF" w:sz="0"/>
            </w:tcBorders>
            <w:shd w:fill="C8950A" w:val="clear"/>
            <w:tcMar>
              <w:top w:type="dxa" w:w="100"/>
              <w:left w:type="dxa" w:w="160"/>
              <w:bottom w:type="dxa" w:w="100"/>
              <w:right w:type="dxa" w:w="160"/>
            </w:tcMar>
          </w:tcPr>
          <w:p>
            <w:r>
              <w:rPr>
                <w:rFonts w:ascii="Arial" w:cs="Arial" w:eastAsia="Arial" w:hAnsi="Arial"/>
                <w:b/>
                <w:bCs/>
                <w:color w:val="FFFFFF"/>
                <w:sz w:val="22"/>
                <w:szCs w:val="22"/>
              </w:rPr>
              <w:t xml:space="preserve">Interpretation</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B5E20"/>
                <w:sz w:val="21"/>
                <w:szCs w:val="21"/>
              </w:rPr>
              <w:t xml:space="preserve">Up  (2)</w:t>
            </w:r>
          </w:p>
        </w:tc>
        <w:tc>
          <w:tcPr>
            <w:tcW w:type="dxa" w:w="36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Courier New" w:cs="Courier New" w:eastAsia="Courier New" w:hAnsi="Courier New"/>
                <w:sz w:val="21"/>
                <w:szCs w:val="21"/>
              </w:rPr>
              <w:t xml:space="preserve">R_t(k)  &gt;  +ε_t</w:t>
            </w:r>
          </w:p>
        </w:tc>
        <w:tc>
          <w:tcPr>
            <w:tcW w:type="dxa" w:w="39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sz w:val="21"/>
                <w:szCs w:val="21"/>
              </w:rPr>
              <w:t xml:space="preserve">Return meaningfully exceeds current volatility noise floor</w:t>
            </w:r>
          </w:p>
        </w:tc>
      </w:tr>
      <w:tr>
        <w:tc>
          <w:tcPr>
            <w:tcW w:type="dxa" w:w="1800"/>
            <w:tcBorders>
              <w:top w:val="single" w:color="CCCCCC" w:sz="1"/>
              <w:left w:val="single" w:color="CCCCCC" w:sz="1"/>
              <w:bottom w:val="single" w:color="CCCCCC" w:sz="1"/>
              <w:right w:val="single" w:color="CCCCCC" w:sz="1"/>
            </w:tcBorders>
            <w:shd w:fill="FFF9C4" w:val="clear"/>
            <w:tcMar>
              <w:top w:type="dxa" w:w="80"/>
              <w:left w:type="dxa" w:w="160"/>
              <w:bottom w:type="dxa" w:w="80"/>
              <w:right w:type="dxa" w:w="160"/>
            </w:tcMar>
          </w:tcPr>
          <w:p>
            <w:r>
              <w:rPr>
                <w:rFonts w:ascii="Arial" w:cs="Arial" w:eastAsia="Arial" w:hAnsi="Arial"/>
                <w:b/>
                <w:bCs/>
                <w:color w:val="795548"/>
                <w:sz w:val="21"/>
                <w:szCs w:val="21"/>
              </w:rPr>
              <w:t xml:space="preserve">Neutral  (1)</w:t>
            </w:r>
          </w:p>
        </w:tc>
        <w:tc>
          <w:tcPr>
            <w:tcW w:type="dxa" w:w="36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Courier New" w:cs="Courier New" w:eastAsia="Courier New" w:hAnsi="Courier New"/>
                <w:sz w:val="21"/>
                <w:szCs w:val="21"/>
              </w:rPr>
              <w:t xml:space="preserve">−ε_t  ≤  R_t(k)  ≤  +ε_t</w:t>
            </w:r>
          </w:p>
        </w:tc>
        <w:tc>
          <w:tcPr>
            <w:tcW w:type="dxa" w:w="39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sz w:val="21"/>
                <w:szCs w:val="21"/>
              </w:rPr>
              <w:t xml:space="preserve">Return indistinguishable from noise — no actionable trend</w:t>
            </w:r>
          </w:p>
        </w:tc>
      </w:tr>
      <w:tr>
        <w:tc>
          <w:tcPr>
            <w:tcW w:type="dxa" w:w="1800"/>
            <w:tcBorders>
              <w:top w:val="single" w:color="CCCCCC" w:sz="1"/>
              <w:left w:val="single" w:color="CCCCCC" w:sz="1"/>
              <w:bottom w:val="single" w:color="CCCCCC" w:sz="1"/>
              <w:right w:val="single" w:color="CCCCCC" w:sz="1"/>
            </w:tcBorders>
            <w:shd w:fill="FFEBEE" w:val="clear"/>
            <w:tcMar>
              <w:top w:type="dxa" w:w="80"/>
              <w:left w:type="dxa" w:w="160"/>
              <w:bottom w:type="dxa" w:w="80"/>
              <w:right w:type="dxa" w:w="160"/>
            </w:tcMar>
          </w:tcPr>
          <w:p>
            <w:r>
              <w:rPr>
                <w:rFonts w:ascii="Arial" w:cs="Arial" w:eastAsia="Arial" w:hAnsi="Arial"/>
                <w:b/>
                <w:bCs/>
                <w:color w:val="B71C1C"/>
                <w:sz w:val="21"/>
                <w:szCs w:val="21"/>
              </w:rPr>
              <w:t xml:space="preserve">Down  (0)</w:t>
            </w:r>
          </w:p>
        </w:tc>
        <w:tc>
          <w:tcPr>
            <w:tcW w:type="dxa" w:w="360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Courier New" w:cs="Courier New" w:eastAsia="Courier New" w:hAnsi="Courier New"/>
                <w:sz w:val="21"/>
                <w:szCs w:val="21"/>
              </w:rPr>
              <w:t xml:space="preserve">R_t(k)  &lt;  −ε_t</w:t>
            </w:r>
          </w:p>
        </w:tc>
        <w:tc>
          <w:tcPr>
            <w:tcW w:type="dxa" w:w="396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sz w:val="21"/>
                <w:szCs w:val="21"/>
              </w:rPr>
              <w:t xml:space="preserve">Return meaningfully falls below current volatility noise floor</w:t>
            </w:r>
          </w:p>
        </w:tc>
      </w:tr>
    </w:tbl>
    <w:p>
      <w:pPr>
        <w:spacing w:before="80" w:after="0"/>
      </w:pPr>
      <w:r>
        <w:t xml:space="preserve"/>
      </w:r>
    </w:p>
    <w:p>
      <w:pPr>
        <w:spacing w:before="300" w:after="120"/>
      </w:pPr>
      <w:r>
        <w:rPr>
          <w:rFonts w:ascii="Arial" w:cs="Arial" w:eastAsia="Arial" w:hAnsi="Arial"/>
          <w:b/>
          <w:bCs/>
          <w:color w:val="1B2A4A"/>
          <w:sz w:val="28"/>
          <w:szCs w:val="28"/>
        </w:rPr>
        <w:t xml:space="preserve">4.4  Lambda (λ) Selection Procedure</w:t>
      </w:r>
    </w:p>
    <w:p>
      <w:pPr>
        <w:spacing w:before="80" w:after="80"/>
        <w:jc w:val="left"/>
      </w:pPr>
      <w:r>
        <w:rPr>
          <w:rFonts w:ascii="Arial" w:cs="Arial" w:eastAsia="Arial" w:hAnsi="Arial"/>
          <w:b w:val="false"/>
          <w:bCs w:val="false"/>
          <w:i w:val="false"/>
          <w:iCs w:val="false"/>
          <w:color w:val="000000"/>
          <w:sz w:val="22"/>
          <w:szCs w:val="22"/>
        </w:rPr>
        <w:t xml:space="preserve">λ is the single most important hyperparameter in the entire labeling pipeline. It controls the width of the Neutral zone and directly governs class balance. It must be chosen with an explicit, documented procedure — not arbitrarily.</w:t>
      </w:r>
    </w:p>
    <w:p>
      <w:pPr>
        <w:spacing w:before="40" w:after="0"/>
      </w:pPr>
      <w:r>
        <w:t xml:space="preserve"/>
      </w:r>
    </w:p>
    <w:p>
      <w:pPr>
        <w:pStyle w:val="ListParagraph"/>
        <w:numPr>
          <w:ilvl w:val="0"/>
          <w:numId w:val="2"/>
        </w:numPr>
        <w:spacing w:before="40" w:after="40"/>
      </w:pPr>
      <w:r>
        <w:rPr>
          <w:rFonts w:ascii="Arial" w:cs="Arial" w:eastAsia="Arial" w:hAnsi="Arial"/>
          <w:color w:val="1A1A1A"/>
          <w:sz w:val="21"/>
          <w:szCs w:val="21"/>
        </w:rPr>
        <w:t xml:space="preserve">Try λ ∈ { 0.5, 1.0, 1.5 } on the training data only</w:t>
      </w:r>
    </w:p>
    <w:p>
      <w:pPr>
        <w:pStyle w:val="ListParagraph"/>
        <w:numPr>
          <w:ilvl w:val="0"/>
          <w:numId w:val="2"/>
        </w:numPr>
        <w:spacing w:before="40" w:after="40"/>
      </w:pPr>
      <w:r>
        <w:rPr>
          <w:rFonts w:ascii="Arial" w:cs="Arial" w:eastAsia="Arial" w:hAnsi="Arial"/>
          <w:color w:val="1A1A1A"/>
          <w:sz w:val="21"/>
          <w:szCs w:val="21"/>
        </w:rPr>
        <w:t xml:space="preserve">For each λ, compute class distribution (% Up / % Neutral / % Down)</w:t>
      </w:r>
    </w:p>
    <w:p>
      <w:pPr>
        <w:pStyle w:val="ListParagraph"/>
        <w:numPr>
          <w:ilvl w:val="0"/>
          <w:numId w:val="2"/>
        </w:numPr>
        <w:spacing w:before="40" w:after="40"/>
      </w:pPr>
      <w:r>
        <w:rPr>
          <w:rFonts w:ascii="Arial" w:cs="Arial" w:eastAsia="Arial" w:hAnsi="Arial"/>
          <w:color w:val="1A1A1A"/>
          <w:sz w:val="21"/>
          <w:szCs w:val="21"/>
        </w:rPr>
        <w:t xml:space="preserve">Select the λ that produces the most balanced three-way split on training data</w:t>
      </w:r>
    </w:p>
    <w:p>
      <w:pPr>
        <w:pStyle w:val="ListParagraph"/>
        <w:numPr>
          <w:ilvl w:val="0"/>
          <w:numId w:val="2"/>
        </w:numPr>
        <w:spacing w:before="40" w:after="40"/>
      </w:pPr>
      <w:r>
        <w:rPr>
          <w:rFonts w:ascii="Arial" w:cs="Arial" w:eastAsia="Arial" w:hAnsi="Arial"/>
          <w:color w:val="1A1A1A"/>
          <w:sz w:val="21"/>
          <w:szCs w:val="21"/>
        </w:rPr>
        <w:t xml:space="preserve">Report all three distributions in the paper — this is a transparency requirement</w:t>
      </w:r>
    </w:p>
    <w:p>
      <w:pPr>
        <w:pStyle w:val="ListParagraph"/>
        <w:numPr>
          <w:ilvl w:val="0"/>
          <w:numId w:val="2"/>
        </w:numPr>
        <w:spacing w:before="40" w:after="40"/>
      </w:pPr>
      <w:r>
        <w:rPr>
          <w:rFonts w:ascii="Arial" w:cs="Arial" w:eastAsia="Arial" w:hAnsi="Arial"/>
          <w:color w:val="1A1A1A"/>
          <w:sz w:val="21"/>
          <w:szCs w:val="21"/>
        </w:rPr>
        <w:t xml:space="preserve">λ = 1.0 (one standard deviation) is the default prior; deviation must be justified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C8950A"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WHY THIS MATTERS</w:t>
            </w:r>
          </w:p>
        </w:tc>
        <w:tc>
          <w:tcPr>
            <w:tcW w:type="dxa" w:w="9000"/>
            <w:tcBorders>
              <w:top w:val="none" w:color="FFFFFF" w:sz="0"/>
              <w:left w:val="none" w:color="FFFFFF" w:sz="0"/>
              <w:bottom w:val="none" w:color="FFFFFF" w:sz="0"/>
              <w:right w:val="none" w:color="FFFFFF" w:sz="0"/>
            </w:tcBorders>
            <w:shd w:fill="FDF3DC" w:val="clear"/>
            <w:tcMar>
              <w:top w:type="dxa" w:w="100"/>
              <w:left w:type="dxa" w:w="160"/>
              <w:bottom w:type="dxa" w:w="100"/>
              <w:right w:type="dxa" w:w="160"/>
            </w:tcMar>
          </w:tcPr>
          <w:p>
            <w:r>
              <w:rPr>
                <w:rFonts w:ascii="Arial" w:cs="Arial" w:eastAsia="Arial" w:hAnsi="Arial"/>
                <w:color w:val="1A1A1A"/>
                <w:sz w:val="21"/>
                <w:szCs w:val="21"/>
              </w:rPr>
              <w:t xml:space="preserve">CNNPred's binary label (Close_{t+1} &gt; Close_t) assigns the same class to a 0.01% noise move and a 5% directional surge. This is epistemically broken. A model trained on such labels cannot learn anything about trends — it learns about noise. The dynamic barrier directly fixes this.</w:t>
            </w:r>
          </w:p>
        </w:tc>
      </w:tr>
    </w:tbl>
    <w:p>
      <w:pPr>
        <w:spacing w:before="120" w:after="0"/>
      </w:pPr>
      <w:r>
        <w:t xml:space="preserve"/>
      </w:r>
    </w:p>
    <w:p>
      <w:pPr>
        <w:pBdr>
          <w:bottom w:val="single" w:color="1A6B72" w:sz="8" w:space="4"/>
        </w:pBdr>
        <w:spacing w:before="300" w:after="120"/>
      </w:pPr>
      <w:r>
        <w:rPr>
          <w:rFonts w:ascii="Arial" w:cs="Arial" w:eastAsia="Arial" w:hAnsi="Arial"/>
          <w:b/>
          <w:bCs/>
          <w:color w:val="1B2A4A"/>
          <w:sz w:val="36"/>
          <w:szCs w:val="36"/>
        </w:rPr>
        <w:t xml:space="preserve">5.  Model Architecture</w:t>
      </w:r>
    </w:p>
    <w:p>
      <w:pPr>
        <w:spacing w:before="80" w:after="80"/>
        <w:jc w:val="left"/>
      </w:pPr>
      <w:r>
        <w:rPr>
          <w:rFonts w:ascii="Arial" w:cs="Arial" w:eastAsia="Arial" w:hAnsi="Arial"/>
          <w:b w:val="false"/>
          <w:bCs w:val="false"/>
          <w:i w:val="false"/>
          <w:iCs w:val="false"/>
          <w:color w:val="000000"/>
          <w:sz w:val="22"/>
          <w:szCs w:val="22"/>
        </w:rPr>
        <w:t xml:space="preserve">The proposed model is a two-stage architecture: a 1D-CNN block for local temporal pattern extraction, followed by a lightweight self-attention block for long-range dependency modelling. The two stages are fused before the classification head.</w:t>
      </w:r>
    </w:p>
    <w:p>
      <w:pPr>
        <w:spacing w:before="80" w:after="0"/>
      </w:pPr>
      <w:r>
        <w:t xml:space="preserve"/>
      </w:r>
    </w:p>
    <w:p>
      <w:pPr>
        <w:spacing w:before="300" w:after="120"/>
      </w:pPr>
      <w:r>
        <w:rPr>
          <w:rFonts w:ascii="Arial" w:cs="Arial" w:eastAsia="Arial" w:hAnsi="Arial"/>
          <w:b/>
          <w:bCs/>
          <w:color w:val="1B2A4A"/>
          <w:sz w:val="28"/>
          <w:szCs w:val="28"/>
        </w:rPr>
        <w:t xml:space="preserve">5.1  Stage 1 — 1D-CNN Block (Temporal Feature Extraction)</w:t>
      </w:r>
    </w:p>
    <w:p>
      <w:pPr>
        <w:pStyle w:val="ListParagraph"/>
        <w:numPr>
          <w:ilvl w:val="0"/>
          <w:numId w:val="2"/>
        </w:numPr>
        <w:spacing w:before="40" w:after="40"/>
      </w:pPr>
      <w:r>
        <w:rPr>
          <w:rFonts w:ascii="Arial" w:cs="Arial" w:eastAsia="Arial" w:hAnsi="Arial"/>
          <w:color w:val="1A1A1A"/>
          <w:sz w:val="21"/>
          <w:szCs w:val="21"/>
        </w:rPr>
        <w:t xml:space="preserve">Input: X ∈ R^(6 × 20)  [features × time steps]</w:t>
      </w:r>
    </w:p>
    <w:p>
      <w:pPr>
        <w:pStyle w:val="ListParagraph"/>
        <w:numPr>
          <w:ilvl w:val="0"/>
          <w:numId w:val="2"/>
        </w:numPr>
        <w:spacing w:before="40" w:after="40"/>
      </w:pPr>
      <w:r>
        <w:rPr>
          <w:rFonts w:ascii="Arial" w:cs="Arial" w:eastAsia="Arial" w:hAnsi="Arial"/>
          <w:color w:val="1A1A1A"/>
          <w:sz w:val="21"/>
          <w:szCs w:val="21"/>
        </w:rPr>
        <w:t xml:space="preserve">Conv1D layers applied exclusively along the time axis — no cross-feature spatial assumptions</w:t>
      </w:r>
    </w:p>
    <w:p>
      <w:pPr>
        <w:pStyle w:val="ListParagraph"/>
        <w:numPr>
          <w:ilvl w:val="0"/>
          <w:numId w:val="2"/>
        </w:numPr>
        <w:spacing w:before="40" w:after="40"/>
      </w:pPr>
      <w:r>
        <w:rPr>
          <w:rFonts w:ascii="Arial" w:cs="Arial" w:eastAsia="Arial" w:hAnsi="Arial"/>
          <w:color w:val="1A1A1A"/>
          <w:sz w:val="21"/>
          <w:szCs w:val="21"/>
        </w:rPr>
        <w:t xml:space="preserve">Captures: short-term momentum patterns, volatility bursts, local reversals</w:t>
      </w:r>
    </w:p>
    <w:p>
      <w:pPr>
        <w:pStyle w:val="ListParagraph"/>
        <w:numPr>
          <w:ilvl w:val="0"/>
          <w:numId w:val="2"/>
        </w:numPr>
        <w:spacing w:before="40" w:after="40"/>
      </w:pPr>
      <w:r>
        <w:rPr>
          <w:rFonts w:ascii="Arial" w:cs="Arial" w:eastAsia="Arial" w:hAnsi="Arial"/>
          <w:color w:val="1A1A1A"/>
          <w:sz w:val="21"/>
          <w:szCs w:val="21"/>
        </w:rPr>
        <w:t xml:space="preserve">Architecture: 2 × Conv1D(filters=64, kernel=3) → BatchNorm → ReLU → Dropout(0.2)</w:t>
      </w:r>
    </w:p>
    <w:p>
      <w:pPr>
        <w:pStyle w:val="ListParagraph"/>
        <w:numPr>
          <w:ilvl w:val="0"/>
          <w:numId w:val="2"/>
        </w:numPr>
        <w:spacing w:before="40" w:after="40"/>
      </w:pPr>
      <w:r>
        <w:rPr>
          <w:rFonts w:ascii="Arial" w:cs="Arial" w:eastAsia="Arial" w:hAnsi="Arial"/>
          <w:color w:val="1A1A1A"/>
          <w:sz w:val="21"/>
          <w:szCs w:val="21"/>
        </w:rPr>
        <w:t xml:space="preserve">Output: feature map sequence passed to attention stage</w:t>
      </w:r>
    </w:p>
    <w:p>
      <w:pPr>
        <w:spacing w:before="60" w:after="0"/>
      </w:pPr>
      <w:r>
        <w:t xml:space="preserve"/>
      </w:r>
    </w:p>
    <w:p>
      <w:pPr>
        <w:spacing w:before="300" w:after="120"/>
      </w:pPr>
      <w:r>
        <w:rPr>
          <w:rFonts w:ascii="Arial" w:cs="Arial" w:eastAsia="Arial" w:hAnsi="Arial"/>
          <w:b/>
          <w:bCs/>
          <w:color w:val="1B2A4A"/>
          <w:sz w:val="28"/>
          <w:szCs w:val="28"/>
        </w:rPr>
        <w:t xml:space="preserve">5.2  Stage 2 — Self-Attention Block (Long-Range Context)</w:t>
      </w:r>
    </w:p>
    <w:p>
      <w:pPr>
        <w:pStyle w:val="ListParagraph"/>
        <w:numPr>
          <w:ilvl w:val="0"/>
          <w:numId w:val="2"/>
        </w:numPr>
        <w:spacing w:before="40" w:after="40"/>
      </w:pPr>
      <w:r>
        <w:rPr>
          <w:rFonts w:ascii="Arial" w:cs="Arial" w:eastAsia="Arial" w:hAnsi="Arial"/>
          <w:color w:val="1A1A1A"/>
          <w:sz w:val="21"/>
          <w:szCs w:val="21"/>
        </w:rPr>
        <w:t xml:space="preserve">Sinusoidal positional encoding added to CNN output before attention</w:t>
      </w:r>
    </w:p>
    <w:p>
      <w:pPr>
        <w:pStyle w:val="ListParagraph"/>
        <w:numPr>
          <w:ilvl w:val="0"/>
          <w:numId w:val="2"/>
        </w:numPr>
        <w:spacing w:before="40" w:after="40"/>
      </w:pPr>
      <w:r>
        <w:rPr>
          <w:rFonts w:ascii="Arial" w:cs="Arial" w:eastAsia="Arial" w:hAnsi="Arial"/>
          <w:color w:val="1A1A1A"/>
          <w:sz w:val="21"/>
          <w:szCs w:val="21"/>
        </w:rPr>
        <w:t xml:space="preserve">Single-head or 2-head Multi-Head Self-Attention (MHSA) — not a full large transformer</w:t>
      </w:r>
    </w:p>
    <w:p>
      <w:pPr>
        <w:pStyle w:val="ListParagraph"/>
        <w:numPr>
          <w:ilvl w:val="0"/>
          <w:numId w:val="2"/>
        </w:numPr>
        <w:spacing w:before="40" w:after="40"/>
      </w:pPr>
      <w:r>
        <w:rPr>
          <w:rFonts w:ascii="Arial" w:cs="Arial" w:eastAsia="Arial" w:hAnsi="Arial"/>
          <w:color w:val="1A1A1A"/>
          <w:sz w:val="21"/>
          <w:szCs w:val="21"/>
        </w:rPr>
        <w:t xml:space="preserve">Models: which historical time steps most influence the current classification</w:t>
      </w:r>
    </w:p>
    <w:p>
      <w:pPr>
        <w:pStyle w:val="ListParagraph"/>
        <w:numPr>
          <w:ilvl w:val="0"/>
          <w:numId w:val="2"/>
        </w:numPr>
        <w:spacing w:before="40" w:after="40"/>
      </w:pPr>
      <w:r>
        <w:rPr>
          <w:rFonts w:ascii="Arial" w:cs="Arial" w:eastAsia="Arial" w:hAnsi="Arial"/>
          <w:color w:val="1A1A1A"/>
          <w:sz w:val="21"/>
          <w:szCs w:val="21"/>
        </w:rPr>
        <w:t xml:space="preserve">Attention weights extracted for post-hoc interpretability analysis</w:t>
      </w:r>
    </w:p>
    <w:p>
      <w:pPr>
        <w:pStyle w:val="ListParagraph"/>
        <w:numPr>
          <w:ilvl w:val="0"/>
          <w:numId w:val="2"/>
        </w:numPr>
        <w:spacing w:before="40" w:after="40"/>
      </w:pPr>
      <w:r>
        <w:rPr>
          <w:rFonts w:ascii="Arial" w:cs="Arial" w:eastAsia="Arial" w:hAnsi="Arial"/>
          <w:color w:val="1A1A1A"/>
          <w:sz w:val="21"/>
          <w:szCs w:val="21"/>
        </w:rPr>
        <w:t xml:space="preserve">Transformer Encoder: MHSA → Add &amp; Norm → FFN → Add &amp; Norm</w:t>
      </w:r>
    </w:p>
    <w:p>
      <w:pPr>
        <w:spacing w:before="60" w:after="0"/>
      </w:pPr>
      <w:r>
        <w:t xml:space="preserve"/>
      </w:r>
    </w:p>
    <w:p>
      <w:pPr>
        <w:spacing w:before="300" w:after="120"/>
      </w:pPr>
      <w:r>
        <w:rPr>
          <w:rFonts w:ascii="Arial" w:cs="Arial" w:eastAsia="Arial" w:hAnsi="Arial"/>
          <w:b/>
          <w:bCs/>
          <w:color w:val="1B2A4A"/>
          <w:sz w:val="28"/>
          <w:szCs w:val="28"/>
        </w:rPr>
        <w:t xml:space="preserve">5.3  Classification Head</w:t>
      </w:r>
    </w:p>
    <w:p>
      <w:pPr>
        <w:pStyle w:val="ListParagraph"/>
        <w:numPr>
          <w:ilvl w:val="0"/>
          <w:numId w:val="2"/>
        </w:numPr>
        <w:spacing w:before="40" w:after="40"/>
      </w:pPr>
      <w:r>
        <w:rPr>
          <w:rFonts w:ascii="Arial" w:cs="Arial" w:eastAsia="Arial" w:hAnsi="Arial"/>
          <w:color w:val="1A1A1A"/>
          <w:sz w:val="21"/>
          <w:szCs w:val="21"/>
        </w:rPr>
        <w:t xml:space="preserve">Global average pooling over attended sequence → Flatten</w:t>
      </w:r>
    </w:p>
    <w:p>
      <w:pPr>
        <w:pStyle w:val="ListParagraph"/>
        <w:numPr>
          <w:ilvl w:val="0"/>
          <w:numId w:val="2"/>
        </w:numPr>
        <w:spacing w:before="40" w:after="40"/>
      </w:pPr>
      <w:r>
        <w:rPr>
          <w:rFonts w:ascii="Arial" w:cs="Arial" w:eastAsia="Arial" w:hAnsi="Arial"/>
          <w:color w:val="1A1A1A"/>
          <w:sz w:val="21"/>
          <w:szCs w:val="21"/>
        </w:rPr>
        <w:t xml:space="preserve">Fully connected: 128 → 64 → 3 neurons</w:t>
      </w:r>
    </w:p>
    <w:p>
      <w:pPr>
        <w:pStyle w:val="ListParagraph"/>
        <w:numPr>
          <w:ilvl w:val="0"/>
          <w:numId w:val="2"/>
        </w:numPr>
        <w:spacing w:before="40" w:after="40"/>
      </w:pPr>
      <w:r>
        <w:rPr>
          <w:rFonts w:ascii="Arial" w:cs="Arial" w:eastAsia="Arial" w:hAnsi="Arial"/>
          <w:color w:val="1A1A1A"/>
          <w:sz w:val="21"/>
          <w:szCs w:val="21"/>
        </w:rPr>
        <w:t xml:space="preserve">Output activation: Softmax (3-class probability distribution)</w:t>
      </w:r>
    </w:p>
    <w:p>
      <w:pPr>
        <w:pStyle w:val="ListParagraph"/>
        <w:numPr>
          <w:ilvl w:val="0"/>
          <w:numId w:val="2"/>
        </w:numPr>
        <w:spacing w:before="40" w:after="40"/>
      </w:pPr>
      <w:r>
        <w:rPr>
          <w:rFonts w:ascii="Arial" w:cs="Arial" w:eastAsia="Arial" w:hAnsi="Arial"/>
          <w:color w:val="1A1A1A"/>
          <w:sz w:val="21"/>
          <w:szCs w:val="21"/>
        </w:rPr>
        <w:t xml:space="preserve">Loss: Categorical cross-entropy with class weights inversely proportional to class frequency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A6B72"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IMPORTANT DISTINCTION</w:t>
            </w:r>
          </w:p>
        </w:tc>
        <w:tc>
          <w:tcPr>
            <w:tcW w:type="dxa" w:w="9000"/>
            <w:tcBorders>
              <w:top w:val="none" w:color="FFFFFF" w:sz="0"/>
              <w:left w:val="none" w:color="FFFFFF" w:sz="0"/>
              <w:bottom w:val="none" w:color="FFFFFF" w:sz="0"/>
              <w:right w:val="none" w:color="FFFFFF" w:sz="0"/>
            </w:tcBorders>
            <w:shd w:fill="D6E8F5" w:val="clear"/>
            <w:tcMar>
              <w:top w:type="dxa" w:w="100"/>
              <w:left w:type="dxa" w:w="160"/>
              <w:bottom w:type="dxa" w:w="100"/>
              <w:right w:type="dxa" w:w="160"/>
            </w:tcMar>
          </w:tcPr>
          <w:p>
            <w:r>
              <w:rPr>
                <w:rFonts w:ascii="Arial" w:cs="Arial" w:eastAsia="Arial" w:hAnsi="Arial"/>
                <w:color w:val="1A1A1A"/>
                <w:sz w:val="21"/>
                <w:szCs w:val="21"/>
              </w:rPr>
              <w:t xml:space="preserve">CNNPred applies 2D convolutions (3×3 filters) treating financial data like a spatial image — forcing spatial relationships between RSI and Volume that do not exist. This model uses 1D convolutions along time only, respecting the true structure of the data. This is not a cosmetic change; it is an architectural correction grounded in domain knowledge.</w:t>
            </w:r>
          </w:p>
        </w:tc>
      </w:tr>
    </w:tbl>
    <w:p>
      <w:pPr>
        <w:spacing w:before="120" w:after="0"/>
      </w:pPr>
      <w:r>
        <w:t xml:space="preserve"/>
      </w:r>
    </w:p>
    <w:p>
      <w:pPr>
        <w:pBdr>
          <w:bottom w:val="single" w:color="1A6B72" w:sz="8" w:space="4"/>
        </w:pBdr>
        <w:spacing w:before="300" w:after="120"/>
      </w:pPr>
      <w:r>
        <w:rPr>
          <w:rFonts w:ascii="Arial" w:cs="Arial" w:eastAsia="Arial" w:hAnsi="Arial"/>
          <w:b/>
          <w:bCs/>
          <w:color w:val="1B2A4A"/>
          <w:sz w:val="36"/>
          <w:szCs w:val="36"/>
        </w:rPr>
        <w:t xml:space="preserve">6.  Validation Strategy — Anchored Walk-Forward</w:t>
      </w:r>
    </w:p>
    <w:p>
      <w:pPr>
        <w:spacing w:before="80" w:after="80"/>
        <w:jc w:val="left"/>
      </w:pPr>
      <w:r>
        <w:rPr>
          <w:rFonts w:ascii="Arial" w:cs="Arial" w:eastAsia="Arial" w:hAnsi="Arial"/>
          <w:b w:val="false"/>
          <w:bCs w:val="false"/>
          <w:i w:val="false"/>
          <w:iCs w:val="false"/>
          <w:color w:val="000000"/>
          <w:sz w:val="22"/>
          <w:szCs w:val="22"/>
        </w:rPr>
        <w:t xml:space="preserve">All models — proposed and baselines — are trained and evaluated identically using anchored walk-forward validation. Static train/val/test splits are prohibited in this project. This is non-negotiable for financial time series.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Fold 1</w:t>
            </w:r>
          </w:p>
        </w:tc>
        <w:tc>
          <w:tcPr>
            <w:tcW w:type="dxa" w:w="7920"/>
            <w:tcBorders>
              <w:top w:val="single" w:color="CCCCCC" w:sz="1"/>
              <w:left w:val="single" w:color="CCCCCC" w:sz="1"/>
              <w:bottom w:val="single" w:color="CCCCCC" w:sz="1"/>
              <w:right w:val="single" w:color="CCCCCC" w:sz="1"/>
            </w:tcBorders>
            <w:shd w:fill="F2F4F7" w:val="clear"/>
            <w:tcMar>
              <w:top w:type="dxa" w:w="80"/>
              <w:left w:type="dxa" w:w="160"/>
              <w:bottom w:type="dxa" w:w="80"/>
              <w:right w:type="dxa" w:w="160"/>
            </w:tcMar>
          </w:tcPr>
          <w:p>
            <w:r>
              <w:rPr>
                <w:rFonts w:ascii="Arial" w:cs="Arial" w:eastAsia="Arial" w:hAnsi="Arial"/>
                <w:sz w:val="21"/>
                <w:szCs w:val="21"/>
              </w:rPr>
              <w:t xml:space="preserve">Train: Years 1–6  |  Test: Year 7</w:t>
            </w:r>
          </w:p>
        </w:tc>
      </w:tr>
      <w:tr>
        <w:tc>
          <w:tcPr>
            <w:tcW w:type="dxa" w:w="1440"/>
            <w:tcBorders>
              <w:top w:val="none" w:color="FFFFFF" w:sz="0"/>
              <w:left w:val="none" w:color="FFFFFF" w:sz="0"/>
              <w:bottom w:val="none" w:color="FFFFFF" w:sz="0"/>
              <w:right w:val="none" w:color="FFFFFF" w:sz="0"/>
            </w:tcBorders>
            <w:shd w:fill="1A6B72"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Fold 2</w:t>
            </w:r>
          </w:p>
        </w:tc>
        <w:tc>
          <w:tcPr>
            <w:tcW w:type="dxa" w:w="7920"/>
            <w:tcBorders>
              <w:top w:val="single" w:color="CCCCCC" w:sz="1"/>
              <w:left w:val="single" w:color="CCCCCC" w:sz="1"/>
              <w:bottom w:val="single" w:color="CCCCCC" w:sz="1"/>
              <w:right w:val="single" w:color="CCCCCC" w:sz="1"/>
            </w:tcBorders>
            <w:shd w:fill="D6E8F5" w:val="clear"/>
            <w:tcMar>
              <w:top w:type="dxa" w:w="80"/>
              <w:left w:type="dxa" w:w="160"/>
              <w:bottom w:type="dxa" w:w="80"/>
              <w:right w:type="dxa" w:w="160"/>
            </w:tcMar>
          </w:tcPr>
          <w:p>
            <w:r>
              <w:rPr>
                <w:rFonts w:ascii="Arial" w:cs="Arial" w:eastAsia="Arial" w:hAnsi="Arial"/>
                <w:sz w:val="21"/>
                <w:szCs w:val="21"/>
              </w:rPr>
              <w:t xml:space="preserve">Train: Years 1–7  |  Test: Year 8</w:t>
            </w:r>
          </w:p>
        </w:tc>
      </w:tr>
      <w:tr>
        <w:tc>
          <w:tcPr>
            <w:tcW w:type="dxa" w:w="1440"/>
            <w:tcBorders>
              <w:top w:val="none" w:color="FFFFFF" w:sz="0"/>
              <w:left w:val="none" w:color="FFFFFF" w:sz="0"/>
              <w:bottom w:val="none" w:color="FFFFFF" w:sz="0"/>
              <w:right w:val="none" w:color="FFFFFF" w:sz="0"/>
            </w:tcBorders>
            <w:shd w:fill="C8950A" w:val="clear"/>
            <w:tcMar>
              <w:top w:type="dxa" w:w="100"/>
              <w:left w:type="dxa" w:w="140"/>
              <w:bottom w:type="dxa" w:w="100"/>
              <w:right w:type="dxa" w:w="140"/>
            </w:tcMar>
            <w:vAlign w:val="center"/>
          </w:tcPr>
          <w:p>
            <w:pPr>
              <w:jc w:val="center"/>
            </w:pPr>
            <w:r>
              <w:rPr>
                <w:rFonts w:ascii="Arial" w:cs="Arial" w:eastAsia="Arial" w:hAnsi="Arial"/>
                <w:b/>
                <w:bCs/>
                <w:color w:val="FFFFFF"/>
                <w:sz w:val="21"/>
                <w:szCs w:val="21"/>
              </w:rPr>
              <w:t xml:space="preserve">Fold 3</w:t>
            </w:r>
          </w:p>
        </w:tc>
        <w:tc>
          <w:tcPr>
            <w:tcW w:type="dxa" w:w="7920"/>
            <w:tcBorders>
              <w:top w:val="single" w:color="CCCCCC" w:sz="1"/>
              <w:left w:val="single" w:color="CCCCCC" w:sz="1"/>
              <w:bottom w:val="single" w:color="CCCCCC" w:sz="1"/>
              <w:right w:val="single" w:color="CCCCCC" w:sz="1"/>
            </w:tcBorders>
            <w:shd w:fill="FDF3DC" w:val="clear"/>
            <w:tcMar>
              <w:top w:type="dxa" w:w="80"/>
              <w:left w:type="dxa" w:w="160"/>
              <w:bottom w:type="dxa" w:w="80"/>
              <w:right w:type="dxa" w:w="160"/>
            </w:tcMar>
          </w:tcPr>
          <w:p>
            <w:r>
              <w:rPr>
                <w:rFonts w:ascii="Arial" w:cs="Arial" w:eastAsia="Arial" w:hAnsi="Arial"/>
                <w:sz w:val="21"/>
                <w:szCs w:val="21"/>
              </w:rPr>
              <w:t xml:space="preserve">Train: Years 1–8  |  Test: Year 9</w:t>
            </w:r>
          </w:p>
        </w:tc>
      </w:tr>
    </w:tbl>
    <w:p>
      <w:pPr>
        <w:spacing w:before="80" w:after="0"/>
      </w:pPr>
      <w:r>
        <w:t xml:space="preserve"/>
      </w:r>
    </w:p>
    <w:p>
      <w:pPr>
        <w:pStyle w:val="ListParagraph"/>
        <w:numPr>
          <w:ilvl w:val="0"/>
          <w:numId w:val="2"/>
        </w:numPr>
        <w:spacing w:before="40" w:after="40"/>
      </w:pPr>
      <w:r>
        <w:rPr>
          <w:rFonts w:ascii="Arial" w:cs="Arial" w:eastAsia="Arial" w:hAnsi="Arial"/>
          <w:color w:val="1A1A1A"/>
          <w:sz w:val="21"/>
          <w:szCs w:val="21"/>
        </w:rPr>
        <w:t xml:space="preserve">Training set always anchored to the start — grows with each fold (anchored, not rolling)</w:t>
      </w:r>
    </w:p>
    <w:p>
      <w:pPr>
        <w:pStyle w:val="ListParagraph"/>
        <w:numPr>
          <w:ilvl w:val="0"/>
          <w:numId w:val="2"/>
        </w:numPr>
        <w:spacing w:before="40" w:after="40"/>
      </w:pPr>
      <w:r>
        <w:rPr>
          <w:rFonts w:ascii="Arial" w:cs="Arial" w:eastAsia="Arial" w:hAnsi="Arial"/>
          <w:color w:val="1A1A1A"/>
          <w:sz w:val="21"/>
          <w:szCs w:val="21"/>
        </w:rPr>
        <w:t xml:space="preserve">No data from the test window is ever used to fit normalization or label parameters</w:t>
      </w:r>
    </w:p>
    <w:p>
      <w:pPr>
        <w:pStyle w:val="ListParagraph"/>
        <w:numPr>
          <w:ilvl w:val="0"/>
          <w:numId w:val="2"/>
        </w:numPr>
        <w:spacing w:before="40" w:after="40"/>
      </w:pPr>
      <w:r>
        <w:rPr>
          <w:rFonts w:ascii="Arial" w:cs="Arial" w:eastAsia="Arial" w:hAnsi="Arial"/>
          <w:color w:val="1A1A1A"/>
          <w:sz w:val="21"/>
          <w:szCs w:val="21"/>
        </w:rPr>
        <w:t xml:space="preserve">Performance is reported per fold, not as a single averaged number</w:t>
      </w:r>
    </w:p>
    <w:p>
      <w:pPr>
        <w:pStyle w:val="ListParagraph"/>
        <w:numPr>
          <w:ilvl w:val="0"/>
          <w:numId w:val="2"/>
        </w:numPr>
        <w:spacing w:before="40" w:after="40"/>
      </w:pPr>
      <w:r>
        <w:rPr>
          <w:rFonts w:ascii="Arial" w:cs="Arial" w:eastAsia="Arial" w:hAnsi="Arial"/>
          <w:color w:val="1A1A1A"/>
          <w:sz w:val="21"/>
          <w:szCs w:val="21"/>
        </w:rPr>
        <w:t xml:space="preserve">Early-window variance explicitly acknowledged in write-up</w:t>
      </w:r>
    </w:p>
    <w:p>
      <w:pPr>
        <w:spacing w:before="120" w:after="0"/>
      </w:pPr>
      <w:r>
        <w:t xml:space="preserve"/>
      </w:r>
    </w:p>
    <w:p>
      <w:pPr>
        <w:pBdr>
          <w:bottom w:val="single" w:color="1A6B72" w:sz="8" w:space="4"/>
        </w:pBdr>
        <w:spacing w:before="300" w:after="120"/>
      </w:pPr>
      <w:r>
        <w:rPr>
          <w:rFonts w:ascii="Arial" w:cs="Arial" w:eastAsia="Arial" w:hAnsi="Arial"/>
          <w:b/>
          <w:bCs/>
          <w:color w:val="1B2A4A"/>
          <w:sz w:val="36"/>
          <w:szCs w:val="36"/>
        </w:rPr>
        <w:t xml:space="preserve">7.  Baselines</w:t>
      </w:r>
    </w:p>
    <w:p>
      <w:pPr>
        <w:spacing w:before="80" w:after="80"/>
        <w:jc w:val="left"/>
      </w:pPr>
      <w:r>
        <w:rPr>
          <w:rFonts w:ascii="Arial" w:cs="Arial" w:eastAsia="Arial" w:hAnsi="Arial"/>
          <w:b w:val="false"/>
          <w:bCs w:val="false"/>
          <w:i w:val="false"/>
          <w:iCs w:val="false"/>
          <w:color w:val="000000"/>
          <w:sz w:val="22"/>
          <w:szCs w:val="22"/>
        </w:rPr>
        <w:t xml:space="preserve">Four mandatory baselines cover the full spectrum from trivial to competitive. Each baseline is trained and evaluated under identical walk-forward conditions as the proposed model.</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60"/>
        <w:gridCol w:w="2900"/>
      </w:tblGrid>
      <w:tr>
        <w:tc>
          <w:tcPr>
            <w:tcW w:type="dxa" w:w="2200"/>
            <w:tcBorders>
              <w:top w:val="none" w:color="FFFFFF" w:sz="0"/>
              <w:left w:val="none" w:color="FFFFFF" w:sz="0"/>
              <w:bottom w:val="none" w:color="FFFFFF" w:sz="0"/>
              <w:right w:val="none" w:color="FFFFFF" w:sz="0"/>
            </w:tcBorders>
            <w:shd w:fill="1B2A4A" w:val="clear"/>
            <w:tcMar>
              <w:top w:type="dxa" w:w="100"/>
              <w:left w:type="dxa" w:w="140"/>
              <w:bottom w:type="dxa" w:w="100"/>
              <w:right w:type="dxa" w:w="140"/>
            </w:tcMar>
          </w:tcPr>
          <w:p>
            <w:r>
              <w:rPr>
                <w:rFonts w:ascii="Arial" w:cs="Arial" w:eastAsia="Arial" w:hAnsi="Arial"/>
                <w:b/>
                <w:bCs/>
                <w:color w:val="FFFFFF"/>
                <w:sz w:val="21"/>
                <w:szCs w:val="21"/>
              </w:rPr>
              <w:t xml:space="preserve">Baseline</w:t>
            </w:r>
          </w:p>
        </w:tc>
        <w:tc>
          <w:tcPr>
            <w:tcW w:type="dxa" w:w="4260"/>
            <w:tcBorders>
              <w:top w:val="none" w:color="FFFFFF" w:sz="0"/>
              <w:left w:val="none" w:color="FFFFFF" w:sz="0"/>
              <w:bottom w:val="none" w:color="FFFFFF" w:sz="0"/>
              <w:right w:val="none" w:color="FFFFFF" w:sz="0"/>
            </w:tcBorders>
            <w:shd w:fill="1A6B72" w:val="clear"/>
            <w:tcMar>
              <w:top w:type="dxa" w:w="100"/>
              <w:left w:type="dxa" w:w="140"/>
              <w:bottom w:type="dxa" w:w="100"/>
              <w:right w:type="dxa" w:w="140"/>
            </w:tcMar>
          </w:tcPr>
          <w:p>
            <w:r>
              <w:rPr>
                <w:rFonts w:ascii="Arial" w:cs="Arial" w:eastAsia="Arial" w:hAnsi="Arial"/>
                <w:b/>
                <w:bCs/>
                <w:color w:val="FFFFFF"/>
                <w:sz w:val="21"/>
                <w:szCs w:val="21"/>
              </w:rPr>
              <w:t xml:space="preserve">Purpose</w:t>
            </w:r>
          </w:p>
        </w:tc>
        <w:tc>
          <w:tcPr>
            <w:tcW w:type="dxa" w:w="2900"/>
            <w:tcBorders>
              <w:top w:val="none" w:color="FFFFFF" w:sz="0"/>
              <w:left w:val="none" w:color="FFFFFF" w:sz="0"/>
              <w:bottom w:val="none" w:color="FFFFFF" w:sz="0"/>
              <w:right w:val="none" w:color="FFFFFF" w:sz="0"/>
            </w:tcBorders>
            <w:shd w:fill="C8950A" w:val="clear"/>
            <w:tcMar>
              <w:top w:type="dxa" w:w="100"/>
              <w:left w:type="dxa" w:w="140"/>
              <w:bottom w:type="dxa" w:w="100"/>
              <w:right w:type="dxa" w:w="140"/>
            </w:tcMar>
          </w:tcPr>
          <w:p>
            <w:r>
              <w:rPr>
                <w:rFonts w:ascii="Arial" w:cs="Arial" w:eastAsia="Arial" w:hAnsi="Arial"/>
                <w:b/>
                <w:bCs/>
                <w:color w:val="FFFFFF"/>
                <w:sz w:val="21"/>
                <w:szCs w:val="21"/>
              </w:rPr>
              <w:t xml:space="preserve">Expected Difficulty</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sz w:val="21"/>
                <w:szCs w:val="21"/>
              </w:rPr>
              <w:t xml:space="preserve">Dummy Classifier</w:t>
            </w:r>
          </w:p>
        </w:tc>
        <w:tc>
          <w:tcPr>
            <w:tcW w:type="dxa" w:w="42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sz w:val="21"/>
                <w:szCs w:val="21"/>
              </w:rPr>
              <w:t xml:space="preserve">Majority-class baseline. Any model must beat this or the project fails.</w:t>
            </w:r>
          </w:p>
        </w:tc>
        <w:tc>
          <w:tcPr>
            <w:tcW w:type="dxa" w:w="290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r>
              <w:rPr>
                <w:rFonts w:ascii="Arial" w:cs="Arial" w:eastAsia="Arial" w:hAnsi="Arial"/>
                <w:i/>
                <w:iCs/>
                <w:sz w:val="21"/>
                <w:szCs w:val="21"/>
              </w:rPr>
              <w:t xml:space="preserve">Trivially easy to beat</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sz w:val="21"/>
                <w:szCs w:val="21"/>
              </w:rPr>
              <w:t xml:space="preserve">XGBoost</w:t>
            </w:r>
          </w:p>
        </w:tc>
        <w:tc>
          <w:tcPr>
            <w:tcW w:type="dxa" w:w="42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sz w:val="21"/>
                <w:szCs w:val="21"/>
              </w:rPr>
              <w:t xml:space="preserve">Strong feature-based ML. Tests whether deep learning adds anything at all.</w:t>
            </w:r>
          </w:p>
        </w:tc>
        <w:tc>
          <w:tcPr>
            <w:tcW w:type="dxa" w:w="290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r>
              <w:rPr>
                <w:rFonts w:ascii="Arial" w:cs="Arial" w:eastAsia="Arial" w:hAnsi="Arial"/>
                <w:i/>
                <w:iCs/>
                <w:sz w:val="21"/>
                <w:szCs w:val="21"/>
              </w:rPr>
              <w:t xml:space="preserve">Competitive — often hard to beat</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sz w:val="21"/>
                <w:szCs w:val="21"/>
              </w:rPr>
              <w:t xml:space="preserve">LSTM</w:t>
            </w:r>
          </w:p>
        </w:tc>
        <w:tc>
          <w:tcPr>
            <w:tcW w:type="dxa" w:w="42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sz w:val="21"/>
                <w:szCs w:val="21"/>
              </w:rPr>
              <w:t xml:space="preserve">Standard RNN baseline. Tests whether attention adds value over memory-based RNN.</w:t>
            </w:r>
          </w:p>
        </w:tc>
        <w:tc>
          <w:tcPr>
            <w:tcW w:type="dxa" w:w="290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r>
              <w:rPr>
                <w:rFonts w:ascii="Arial" w:cs="Arial" w:eastAsia="Arial" w:hAnsi="Arial"/>
                <w:i/>
                <w:iCs/>
                <w:sz w:val="21"/>
                <w:szCs w:val="21"/>
              </w:rPr>
              <w:t xml:space="preserve">Competitive</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40"/>
              <w:bottom w:type="dxa" w:w="80"/>
              <w:right w:type="dxa" w:w="140"/>
            </w:tcMar>
          </w:tcPr>
          <w:p>
            <w:r>
              <w:rPr>
                <w:rFonts w:ascii="Arial" w:cs="Arial" w:eastAsia="Arial" w:hAnsi="Arial"/>
                <w:b/>
                <w:bCs/>
                <w:sz w:val="21"/>
                <w:szCs w:val="21"/>
              </w:rPr>
              <w:t xml:space="preserve">1D-CNN (no attention)</w:t>
            </w:r>
          </w:p>
        </w:tc>
        <w:tc>
          <w:tcPr>
            <w:tcW w:type="dxa" w:w="4260"/>
            <w:tcBorders>
              <w:top w:val="single" w:color="CCCCCC" w:sz="1"/>
              <w:left w:val="single" w:color="CCCCCC" w:sz="1"/>
              <w:bottom w:val="single" w:color="CCCCCC" w:sz="1"/>
              <w:right w:val="single" w:color="CCCCCC" w:sz="1"/>
            </w:tcBorders>
            <w:shd w:fill="D6E8F5" w:val="clear"/>
            <w:tcMar>
              <w:top w:type="dxa" w:w="80"/>
              <w:left w:type="dxa" w:w="140"/>
              <w:bottom w:type="dxa" w:w="80"/>
              <w:right w:type="dxa" w:w="140"/>
            </w:tcMar>
          </w:tcPr>
          <w:p>
            <w:r>
              <w:rPr>
                <w:rFonts w:ascii="Arial" w:cs="Arial" w:eastAsia="Arial" w:hAnsi="Arial"/>
                <w:sz w:val="21"/>
                <w:szCs w:val="21"/>
              </w:rPr>
              <w:t xml:space="preserve">Ablation baseline. Tests the specific contribution of the attention module.</w:t>
            </w:r>
          </w:p>
        </w:tc>
        <w:tc>
          <w:tcPr>
            <w:tcW w:type="dxa" w:w="2900"/>
            <w:tcBorders>
              <w:top w:val="single" w:color="CCCCCC" w:sz="1"/>
              <w:left w:val="single" w:color="CCCCCC" w:sz="1"/>
              <w:bottom w:val="single" w:color="CCCCCC" w:sz="1"/>
              <w:right w:val="single" w:color="CCCCCC" w:sz="1"/>
            </w:tcBorders>
            <w:shd w:fill="FDF3DC" w:val="clear"/>
            <w:tcMar>
              <w:top w:type="dxa" w:w="80"/>
              <w:left w:type="dxa" w:w="140"/>
              <w:bottom w:type="dxa" w:w="80"/>
              <w:right w:type="dxa" w:w="140"/>
            </w:tcMar>
          </w:tcPr>
          <w:p>
            <w:r>
              <w:rPr>
                <w:rFonts w:ascii="Arial" w:cs="Arial" w:eastAsia="Arial" w:hAnsi="Arial"/>
                <w:i/>
                <w:iCs/>
                <w:sz w:val="21"/>
                <w:szCs w:val="21"/>
              </w:rPr>
              <w:t xml:space="preserve">Most important comparison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C8950A"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NOTE</w:t>
            </w:r>
          </w:p>
        </w:tc>
        <w:tc>
          <w:tcPr>
            <w:tcW w:type="dxa" w:w="9000"/>
            <w:tcBorders>
              <w:top w:val="none" w:color="FFFFFF" w:sz="0"/>
              <w:left w:val="none" w:color="FFFFFF" w:sz="0"/>
              <w:bottom w:val="none" w:color="FFFFFF" w:sz="0"/>
              <w:right w:val="none" w:color="FFFFFF" w:sz="0"/>
            </w:tcBorders>
            <w:shd w:fill="FDF3DC" w:val="clear"/>
            <w:tcMar>
              <w:top w:type="dxa" w:w="100"/>
              <w:left w:type="dxa" w:w="160"/>
              <w:bottom w:type="dxa" w:w="100"/>
              <w:right w:type="dxa" w:w="160"/>
            </w:tcMar>
          </w:tcPr>
          <w:p>
            <w:r>
              <w:rPr>
                <w:rFonts w:ascii="Arial" w:cs="Arial" w:eastAsia="Arial" w:hAnsi="Arial"/>
                <w:color w:val="1A1A1A"/>
                <w:sz w:val="21"/>
                <w:szCs w:val="21"/>
              </w:rPr>
              <w:t xml:space="preserve">ARIMA has been removed from the mandatory baseline list. Correct ARIMA implementation requires stationarity testing, order selection, and rolling refitting — a significant engineering overhead that does not add proportional scientific value for this project scope.</w:t>
            </w:r>
          </w:p>
        </w:tc>
      </w:tr>
    </w:tbl>
    <w:p>
      <w:pPr>
        <w:spacing w:before="120" w:after="0"/>
      </w:pPr>
      <w:r>
        <w:t xml:space="preserve"/>
      </w:r>
    </w:p>
    <w:p>
      <w:pPr>
        <w:pBdr>
          <w:bottom w:val="single" w:color="1A6B72" w:sz="8" w:space="4"/>
        </w:pBdr>
        <w:spacing w:before="300" w:after="120"/>
      </w:pPr>
      <w:r>
        <w:rPr>
          <w:rFonts w:ascii="Arial" w:cs="Arial" w:eastAsia="Arial" w:hAnsi="Arial"/>
          <w:b/>
          <w:bCs/>
          <w:color w:val="1B2A4A"/>
          <w:sz w:val="36"/>
          <w:szCs w:val="36"/>
        </w:rPr>
        <w:t xml:space="preserve">8.  Evaluation Metrics</w:t>
      </w:r>
    </w:p>
    <w:p>
      <w:pPr>
        <w:spacing w:before="300" w:after="120"/>
      </w:pPr>
      <w:r>
        <w:rPr>
          <w:rFonts w:ascii="Arial" w:cs="Arial" w:eastAsia="Arial" w:hAnsi="Arial"/>
          <w:b/>
          <w:bCs/>
          <w:color w:val="1B2A4A"/>
          <w:sz w:val="28"/>
          <w:szCs w:val="28"/>
        </w:rPr>
        <w:t xml:space="preserve">Primary Metrics (Decision-Making)</w:t>
      </w:r>
    </w:p>
    <w:p>
      <w:pPr>
        <w:pStyle w:val="ListParagraph"/>
        <w:numPr>
          <w:ilvl w:val="0"/>
          <w:numId w:val="2"/>
        </w:numPr>
        <w:spacing w:before="40" w:after="40"/>
      </w:pPr>
      <w:r>
        <w:rPr>
          <w:rFonts w:ascii="Arial" w:cs="Arial" w:eastAsia="Arial" w:hAnsi="Arial"/>
          <w:color w:val="1A1A1A"/>
          <w:sz w:val="21"/>
          <w:szCs w:val="21"/>
        </w:rPr>
        <w:t xml:space="preserve">Macro F1-Score: Equal weight to all three classes regardless of frequency</w:t>
      </w:r>
    </w:p>
    <w:p>
      <w:pPr>
        <w:pStyle w:val="ListParagraph"/>
        <w:numPr>
          <w:ilvl w:val="0"/>
          <w:numId w:val="2"/>
        </w:numPr>
        <w:spacing w:before="40" w:after="40"/>
      </w:pPr>
      <w:r>
        <w:rPr>
          <w:rFonts w:ascii="Arial" w:cs="Arial" w:eastAsia="Arial" w:hAnsi="Arial"/>
          <w:color w:val="1A1A1A"/>
          <w:sz w:val="21"/>
          <w:szCs w:val="21"/>
        </w:rPr>
        <w:t xml:space="preserve">Matthews Correlation Coefficient (MCC): Single scalar summarizing all cells of the confusion matrix — most robust metric for imbalanced multi-class problems</w:t>
      </w:r>
    </w:p>
    <w:p>
      <w:pPr>
        <w:spacing w:before="40" w:after="0"/>
      </w:pPr>
      <w:r>
        <w:t xml:space="preserve"/>
      </w:r>
    </w:p>
    <w:p>
      <w:pPr>
        <w:spacing w:before="300" w:after="120"/>
      </w:pPr>
      <w:r>
        <w:rPr>
          <w:rFonts w:ascii="Arial" w:cs="Arial" w:eastAsia="Arial" w:hAnsi="Arial"/>
          <w:b/>
          <w:bCs/>
          <w:color w:val="1B2A4A"/>
          <w:sz w:val="28"/>
          <w:szCs w:val="28"/>
        </w:rPr>
        <w:t xml:space="preserve">Secondary Metrics (Diagnostic)</w:t>
      </w:r>
    </w:p>
    <w:p>
      <w:pPr>
        <w:pStyle w:val="ListParagraph"/>
        <w:numPr>
          <w:ilvl w:val="0"/>
          <w:numId w:val="2"/>
        </w:numPr>
        <w:spacing w:before="40" w:after="40"/>
      </w:pPr>
      <w:r>
        <w:rPr>
          <w:rFonts w:ascii="Arial" w:cs="Arial" w:eastAsia="Arial" w:hAnsi="Arial"/>
          <w:color w:val="1A1A1A"/>
          <w:sz w:val="21"/>
          <w:szCs w:val="21"/>
        </w:rPr>
        <w:t xml:space="preserve">Confusion matrices (per fold)</w:t>
      </w:r>
    </w:p>
    <w:p>
      <w:pPr>
        <w:pStyle w:val="ListParagraph"/>
        <w:numPr>
          <w:ilvl w:val="0"/>
          <w:numId w:val="2"/>
        </w:numPr>
        <w:spacing w:before="40" w:after="40"/>
      </w:pPr>
      <w:r>
        <w:rPr>
          <w:rFonts w:ascii="Arial" w:cs="Arial" w:eastAsia="Arial" w:hAnsi="Arial"/>
          <w:color w:val="1A1A1A"/>
          <w:sz w:val="21"/>
          <w:szCs w:val="21"/>
        </w:rPr>
        <w:t xml:space="preserve">Down-class recall: Financial cost of missing a downward move is typically higher — this is explicitly tracked</w:t>
      </w:r>
    </w:p>
    <w:p>
      <w:pPr>
        <w:pStyle w:val="ListParagraph"/>
        <w:numPr>
          <w:ilvl w:val="0"/>
          <w:numId w:val="2"/>
        </w:numPr>
        <w:spacing w:before="40" w:after="40"/>
      </w:pPr>
      <w:r>
        <w:rPr>
          <w:rFonts w:ascii="Arial" w:cs="Arial" w:eastAsia="Arial" w:hAnsi="Arial"/>
          <w:color w:val="1A1A1A"/>
          <w:sz w:val="21"/>
          <w:szCs w:val="21"/>
        </w:rPr>
        <w:t xml:space="preserve">Window-wise performance plots: Visualizes whether the model degrades across folds</w:t>
      </w:r>
    </w:p>
    <w:p>
      <w:pPr>
        <w:spacing w:before="40" w:after="0"/>
      </w:pPr>
      <w:r>
        <w:t xml:space="preserve"/>
      </w:r>
    </w:p>
    <w:p>
      <w:pPr>
        <w:spacing w:before="300" w:after="120"/>
      </w:pPr>
      <w:r>
        <w:rPr>
          <w:rFonts w:ascii="Arial" w:cs="Arial" w:eastAsia="Arial" w:hAnsi="Arial"/>
          <w:b/>
          <w:bCs/>
          <w:color w:val="1B2A4A"/>
          <w:sz w:val="28"/>
          <w:szCs w:val="28"/>
        </w:rPr>
        <w:t xml:space="preserve">Reference Only</w:t>
      </w:r>
    </w:p>
    <w:p>
      <w:pPr>
        <w:pStyle w:val="ListParagraph"/>
        <w:numPr>
          <w:ilvl w:val="0"/>
          <w:numId w:val="2"/>
        </w:numPr>
        <w:spacing w:before="40" w:after="40"/>
      </w:pPr>
      <w:r>
        <w:rPr>
          <w:rFonts w:ascii="Arial" w:cs="Arial" w:eastAsia="Arial" w:hAnsi="Arial"/>
          <w:color w:val="1A1A1A"/>
          <w:sz w:val="21"/>
          <w:szCs w:val="21"/>
        </w:rPr>
        <w:t xml:space="preserve">Accuracy: Reported for transparency but never used as a primary argument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A6B72"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CLAIM STANDARD</w:t>
            </w:r>
          </w:p>
        </w:tc>
        <w:tc>
          <w:tcPr>
            <w:tcW w:type="dxa" w:w="9000"/>
            <w:tcBorders>
              <w:top w:val="none" w:color="FFFFFF" w:sz="0"/>
              <w:left w:val="none" w:color="FFFFFF" w:sz="0"/>
              <w:bottom w:val="none" w:color="FFFFFF" w:sz="0"/>
              <w:right w:val="none" w:color="FFFFFF" w:sz="0"/>
            </w:tcBorders>
            <w:shd w:fill="D6E8F5" w:val="clear"/>
            <w:tcMar>
              <w:top w:type="dxa" w:w="100"/>
              <w:left w:type="dxa" w:w="160"/>
              <w:bottom w:type="dxa" w:w="100"/>
              <w:right w:type="dxa" w:w="160"/>
            </w:tcMar>
          </w:tcPr>
          <w:p>
            <w:r>
              <w:rPr>
                <w:rFonts w:ascii="Arial" w:cs="Arial" w:eastAsia="Arial" w:hAnsi="Arial"/>
                <w:color w:val="1A1A1A"/>
                <w:sz w:val="21"/>
                <w:szCs w:val="21"/>
              </w:rPr>
              <w:t xml:space="preserve">The proposed model must meaningfully outperform all four baselines on Macro F1 and MCC. If it does not — this is still a valid, publishable result. Negative results with proper methodology are scientifically honest and defensible.</w:t>
            </w:r>
          </w:p>
        </w:tc>
      </w:tr>
    </w:tbl>
    <w:p>
      <w:pPr>
        <w:spacing w:before="120" w:after="0"/>
      </w:pPr>
      <w:r>
        <w:t xml:space="preserve"/>
      </w:r>
    </w:p>
    <w:p>
      <w:pPr>
        <w:pBdr>
          <w:bottom w:val="single" w:color="1A6B72" w:sz="8" w:space="4"/>
        </w:pBdr>
        <w:spacing w:before="300" w:after="120"/>
      </w:pPr>
      <w:r>
        <w:rPr>
          <w:rFonts w:ascii="Arial" w:cs="Arial" w:eastAsia="Arial" w:hAnsi="Arial"/>
          <w:b/>
          <w:bCs/>
          <w:color w:val="1B2A4A"/>
          <w:sz w:val="36"/>
          <w:szCs w:val="36"/>
        </w:rPr>
        <w:t xml:space="preserve">9.  Regime-Aware Evaluation (Conditional)</w:t>
      </w:r>
    </w:p>
    <w:p>
      <w:pPr>
        <w:spacing w:before="80" w:after="80"/>
        <w:jc w:val="left"/>
      </w:pPr>
      <w:r>
        <w:rPr>
          <w:rFonts w:ascii="Arial" w:cs="Arial" w:eastAsia="Arial" w:hAnsi="Arial"/>
          <w:b w:val="false"/>
          <w:bCs w:val="false"/>
          <w:i w:val="false"/>
          <w:iCs w:val="false"/>
          <w:color w:val="000000"/>
          <w:sz w:val="22"/>
          <w:szCs w:val="22"/>
        </w:rPr>
        <w:t xml:space="preserve">Market regimes are approximated using 30-day rolling realized volatility, divided at the median into Low-Volatility and High-Volatility periods. Test performance is reported separately for each regime to assess whether the attention mechanism provides additional benefit under market stress.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C8950A"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CONDITIONALITY REQUIREMENT</w:t>
            </w:r>
          </w:p>
        </w:tc>
        <w:tc>
          <w:tcPr>
            <w:tcW w:type="dxa" w:w="9000"/>
            <w:tcBorders>
              <w:top w:val="none" w:color="FFFFFF" w:sz="0"/>
              <w:left w:val="none" w:color="FFFFFF" w:sz="0"/>
              <w:bottom w:val="none" w:color="FFFFFF" w:sz="0"/>
              <w:right w:val="none" w:color="FFFFFF" w:sz="0"/>
            </w:tcBorders>
            <w:shd w:fill="FDF3DC" w:val="clear"/>
            <w:tcMar>
              <w:top w:type="dxa" w:w="100"/>
              <w:left w:type="dxa" w:w="160"/>
              <w:bottom w:type="dxa" w:w="100"/>
              <w:right w:type="dxa" w:w="160"/>
            </w:tcMar>
          </w:tcPr>
          <w:p>
            <w:r>
              <w:rPr>
                <w:rFonts w:ascii="Arial" w:cs="Arial" w:eastAsia="Arial" w:hAnsi="Arial"/>
                <w:color w:val="1A1A1A"/>
                <w:sz w:val="21"/>
                <w:szCs w:val="21"/>
              </w:rPr>
              <w:t xml:space="preserve">This analysis is only reported if each regime contains at least 50 test samples per fold. If sample counts are insufficient, the section is explicitly noted as 'insufficient data for regime-split analysis' — not omitted silently. Reporting a regime F1 on 15 samples would be statistically meaningless.</w:t>
            </w:r>
          </w:p>
        </w:tc>
      </w:tr>
    </w:tbl>
    <w:p>
      <w:pPr>
        <w:spacing w:before="120" w:after="0"/>
      </w:pPr>
      <w:r>
        <w:t xml:space="preserve"/>
      </w:r>
    </w:p>
    <w:p>
      <w:pPr>
        <w:pBdr>
          <w:bottom w:val="single" w:color="1A6B72" w:sz="8" w:space="4"/>
        </w:pBdr>
        <w:spacing w:before="300" w:after="120"/>
      </w:pPr>
      <w:r>
        <w:rPr>
          <w:rFonts w:ascii="Arial" w:cs="Arial" w:eastAsia="Arial" w:hAnsi="Arial"/>
          <w:b/>
          <w:bCs/>
          <w:color w:val="1B2A4A"/>
          <w:sz w:val="36"/>
          <w:szCs w:val="36"/>
        </w:rPr>
        <w:t xml:space="preserve">10.  Interpretability</w:t>
      </w:r>
    </w:p>
    <w:p>
      <w:pPr>
        <w:pStyle w:val="ListParagraph"/>
        <w:numPr>
          <w:ilvl w:val="0"/>
          <w:numId w:val="2"/>
        </w:numPr>
        <w:spacing w:before="40" w:after="40"/>
      </w:pPr>
      <w:r>
        <w:rPr>
          <w:rFonts w:ascii="Arial" w:cs="Arial" w:eastAsia="Arial" w:hAnsi="Arial"/>
          <w:color w:val="1A1A1A"/>
          <w:sz w:val="21"/>
          <w:szCs w:val="21"/>
        </w:rPr>
        <w:t xml:space="preserve">Attention weights extracted from the self-attention layer for each test sample</w:t>
      </w:r>
    </w:p>
    <w:p>
      <w:pPr>
        <w:pStyle w:val="ListParagraph"/>
        <w:numPr>
          <w:ilvl w:val="0"/>
          <w:numId w:val="2"/>
        </w:numPr>
        <w:spacing w:before="40" w:after="40"/>
      </w:pPr>
      <w:r>
        <w:rPr>
          <w:rFonts w:ascii="Arial" w:cs="Arial" w:eastAsia="Arial" w:hAnsi="Arial"/>
          <w:color w:val="1A1A1A"/>
          <w:sz w:val="21"/>
          <w:szCs w:val="21"/>
        </w:rPr>
        <w:t xml:space="preserve">Averaged weights visualized as a heatmap over the 20-day lookback window</w:t>
      </w:r>
    </w:p>
    <w:p>
      <w:pPr>
        <w:pStyle w:val="ListParagraph"/>
        <w:numPr>
          <w:ilvl w:val="0"/>
          <w:numId w:val="2"/>
        </w:numPr>
        <w:spacing w:before="40" w:after="40"/>
      </w:pPr>
      <w:r>
        <w:rPr>
          <w:rFonts w:ascii="Arial" w:cs="Arial" w:eastAsia="Arial" w:hAnsi="Arial"/>
          <w:color w:val="1A1A1A"/>
          <w:sz w:val="21"/>
          <w:szCs w:val="21"/>
        </w:rPr>
        <w:t xml:space="preserve">Overlaid with price, returns, and rolling volatility for qualitative analysis</w:t>
      </w:r>
    </w:p>
    <w:p>
      <w:pPr>
        <w:pStyle w:val="ListParagraph"/>
        <w:numPr>
          <w:ilvl w:val="0"/>
          <w:numId w:val="2"/>
        </w:numPr>
        <w:spacing w:before="40" w:after="40"/>
      </w:pPr>
      <w:r>
        <w:rPr>
          <w:rFonts w:ascii="Arial" w:cs="Arial" w:eastAsia="Arial" w:hAnsi="Arial"/>
          <w:color w:val="1A1A1A"/>
          <w:sz w:val="21"/>
          <w:szCs w:val="21"/>
        </w:rPr>
        <w:t xml:space="preserve">Hypothesis tested: Do high-volatility periods receive higher attention weight?</w:t>
      </w:r>
    </w:p>
    <w:p>
      <w:pPr>
        <w:pStyle w:val="ListParagraph"/>
        <w:numPr>
          <w:ilvl w:val="0"/>
          <w:numId w:val="2"/>
        </w:numPr>
        <w:spacing w:before="40" w:after="40"/>
      </w:pPr>
      <w:r>
        <w:rPr>
          <w:rFonts w:ascii="Arial" w:cs="Arial" w:eastAsia="Arial" w:hAnsi="Arial"/>
          <w:color w:val="1A1A1A"/>
          <w:sz w:val="21"/>
          <w:szCs w:val="21"/>
        </w:rPr>
        <w:t xml:space="preserve">Interpretability claims are made only if the visual evidence supports them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none" w:color="FFFFFF" w:sz="0"/>
              <w:bottom w:val="none" w:color="FFFFFF" w:sz="0"/>
              <w:right w:val="none" w:color="FFFFFF" w:sz="0"/>
            </w:tcBorders>
            <w:shd w:fill="1A6B72" w:val="clear"/>
            <w:tcMar>
              <w:top w:type="dxa" w:w="100"/>
              <w:left w:type="dxa" w:w="100"/>
              <w:bottom w:type="dxa" w:w="100"/>
              <w:right w:type="dxa" w:w="100"/>
            </w:tcMar>
            <w:vAlign w:val="center"/>
          </w:tcPr>
          <w:p>
            <w:pPr>
              <w:jc w:val="center"/>
            </w:pPr>
            <w:r>
              <w:rPr>
                <w:rFonts w:ascii="Arial" w:cs="Arial" w:eastAsia="Arial" w:hAnsi="Arial"/>
                <w:b/>
                <w:bCs/>
                <w:color w:val="FFFFFF"/>
                <w:sz w:val="20"/>
                <w:szCs w:val="20"/>
              </w:rPr>
              <w:t xml:space="preserve">HONESTY STANDARD</w:t>
            </w:r>
          </w:p>
        </w:tc>
        <w:tc>
          <w:tcPr>
            <w:tcW w:type="dxa" w:w="9000"/>
            <w:tcBorders>
              <w:top w:val="none" w:color="FFFFFF" w:sz="0"/>
              <w:left w:val="none" w:color="FFFFFF" w:sz="0"/>
              <w:bottom w:val="none" w:color="FFFFFF" w:sz="0"/>
              <w:right w:val="none" w:color="FFFFFF" w:sz="0"/>
            </w:tcBorders>
            <w:shd w:fill="D6E8F5" w:val="clear"/>
            <w:tcMar>
              <w:top w:type="dxa" w:w="100"/>
              <w:left w:type="dxa" w:w="160"/>
              <w:bottom w:type="dxa" w:w="100"/>
              <w:right w:type="dxa" w:w="160"/>
            </w:tcMar>
          </w:tcPr>
          <w:p>
            <w:r>
              <w:rPr>
                <w:rFonts w:ascii="Arial" w:cs="Arial" w:eastAsia="Arial" w:hAnsi="Arial"/>
                <w:color w:val="1A1A1A"/>
                <w:sz w:val="21"/>
                <w:szCs w:val="21"/>
              </w:rPr>
              <w:t xml:space="preserve">If attention weights appear uniform or random, this is reported as such. We do not cherry-pick examples. Interpretability is presented as exploratory evidence, not proof.</w:t>
            </w:r>
          </w:p>
        </w:tc>
      </w:tr>
    </w:tbl>
    <w:p>
      <w:pPr>
        <w:spacing w:before="120" w:after="0"/>
      </w:pPr>
      <w:r>
        <w:t xml:space="preserve"/>
      </w:r>
    </w:p>
    <w:p>
      <w:pPr>
        <w:pBdr>
          <w:bottom w:val="single" w:color="1A6B72" w:sz="8" w:space="4"/>
        </w:pBdr>
        <w:spacing w:before="300" w:after="120"/>
      </w:pPr>
      <w:r>
        <w:rPr>
          <w:rFonts w:ascii="Arial" w:cs="Arial" w:eastAsia="Arial" w:hAnsi="Arial"/>
          <w:b/>
          <w:bCs/>
          <w:color w:val="1B2A4A"/>
          <w:sz w:val="36"/>
          <w:szCs w:val="36"/>
        </w:rPr>
        <w:t xml:space="preserve">11.  Novelty vs. CNNPred — Explicit Comparison</w:t>
      </w:r>
    </w:p>
    <w:p>
      <w:pPr>
        <w:spacing w:before="80" w:after="80"/>
        <w:jc w:val="left"/>
      </w:pPr>
      <w:r>
        <w:rPr>
          <w:rFonts w:ascii="Arial" w:cs="Arial" w:eastAsia="Arial" w:hAnsi="Arial"/>
          <w:b w:val="false"/>
          <w:bCs w:val="false"/>
          <w:i w:val="false"/>
          <w:iCs w:val="false"/>
          <w:color w:val="000000"/>
          <w:sz w:val="22"/>
          <w:szCs w:val="22"/>
        </w:rPr>
        <w:t xml:space="preserve">The following table summarises precisely where and why this project improves upon CNNPred (Hoseinzade &amp; Haratizadeh, 2018):</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val="1B2A4A"/>
                <w:bCs w:val="1B2A4A"/>
                <w:color w:val="FFFFFF"/>
                <w:sz w:val="22"/>
                <w:szCs w:val="22"/>
              </w:rPr>
              <w:t xml:space="preserve">Dimension</w:t>
            </w:r>
          </w:p>
        </w:tc>
        <w:tc>
          <w:tcPr>
            <w:tcW w:type="dxa" w:w="4680"/>
            <w:tcBorders>
              <w:top w:val="single" w:color="CCCCCC" w:sz="1"/>
              <w:left w:val="single" w:color="CCCCCC" w:sz="1"/>
              <w:bottom w:val="single" w:color="CCCCCC" w:sz="1"/>
              <w:right w:val="single" w:color="CCCCCC" w:sz="1"/>
            </w:tcBorders>
            <w:shd w:fill="1A6B72" w:val="clear"/>
            <w:tcMar>
              <w:top w:type="dxa" w:w="80"/>
              <w:left w:type="dxa" w:w="140"/>
              <w:bottom w:type="dxa" w:w="80"/>
              <w:right w:type="dxa" w:w="140"/>
            </w:tcMar>
          </w:tcPr>
          <w:p>
            <w:r>
              <w:rPr>
                <w:rFonts w:ascii="Arial" w:cs="Arial" w:eastAsia="Arial" w:hAnsi="Arial"/>
                <w:b w:val="1B2A4A"/>
                <w:bCs w:val="1B2A4A"/>
                <w:color w:val="FFFFFF"/>
                <w:sz w:val="22"/>
                <w:szCs w:val="22"/>
              </w:rPr>
              <w:t xml:space="preserve">CNNPred (2018)</w:t>
            </w:r>
          </w:p>
        </w:tc>
      </w:tr>
      <w:tr>
        <w:tc>
          <w:tcPr>
            <w:tcW w:type="dxa" w:w="46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val="D6E8F5"/>
                <w:bCs w:val="D6E8F5"/>
                <w:color w:val="FFFFFF"/>
                <w:sz w:val="22"/>
                <w:szCs w:val="22"/>
              </w:rPr>
              <w:t xml:space="preserve">Convolution Type</w:t>
            </w:r>
          </w:p>
        </w:tc>
        <w:tc>
          <w:tcPr>
            <w:tcW w:type="dxa" w:w="4680"/>
            <w:tcBorders>
              <w:top w:val="single" w:color="CCCCCC" w:sz="1"/>
              <w:left w:val="single" w:color="CCCCCC" w:sz="1"/>
              <w:bottom w:val="single" w:color="CCCCCC" w:sz="1"/>
              <w:right w:val="single" w:color="CCCCCC" w:sz="1"/>
            </w:tcBorders>
            <w:shd w:fill="1A6B72" w:val="clear"/>
            <w:tcMar>
              <w:top w:type="dxa" w:w="80"/>
              <w:left w:type="dxa" w:w="140"/>
              <w:bottom w:type="dxa" w:w="80"/>
              <w:right w:type="dxa" w:w="140"/>
            </w:tcMar>
          </w:tcPr>
          <w:p>
            <w:r>
              <w:rPr>
                <w:rFonts w:ascii="Arial" w:cs="Arial" w:eastAsia="Arial" w:hAnsi="Arial"/>
                <w:b w:val="D6E8F5"/>
                <w:bCs w:val="D6E8F5"/>
                <w:color w:val="FFFFFF"/>
                <w:sz w:val="22"/>
                <w:szCs w:val="22"/>
              </w:rPr>
              <w:t xml:space="preserve">2D spatial+temporal (3×3 filters). Assumes image-like spatial relationships between RSI and Volume.</w:t>
            </w:r>
          </w:p>
        </w:tc>
      </w:tr>
      <w:tr>
        <w:tc>
          <w:tcPr>
            <w:tcW w:type="dxa" w:w="46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val="D6E8F5"/>
                <w:bCs w:val="D6E8F5"/>
                <w:color w:val="FFFFFF"/>
                <w:sz w:val="22"/>
                <w:szCs w:val="22"/>
              </w:rPr>
              <w:t xml:space="preserve">Labeling</w:t>
            </w:r>
          </w:p>
        </w:tc>
        <w:tc>
          <w:tcPr>
            <w:tcW w:type="dxa" w:w="4680"/>
            <w:tcBorders>
              <w:top w:val="single" w:color="CCCCCC" w:sz="1"/>
              <w:left w:val="single" w:color="CCCCCC" w:sz="1"/>
              <w:bottom w:val="single" w:color="CCCCCC" w:sz="1"/>
              <w:right w:val="single" w:color="CCCCCC" w:sz="1"/>
            </w:tcBorders>
            <w:shd w:fill="1A6B72" w:val="clear"/>
            <w:tcMar>
              <w:top w:type="dxa" w:w="80"/>
              <w:left w:type="dxa" w:w="140"/>
              <w:bottom w:type="dxa" w:w="80"/>
              <w:right w:type="dxa" w:w="140"/>
            </w:tcMar>
          </w:tcPr>
          <w:p>
            <w:r>
              <w:rPr>
                <w:rFonts w:ascii="Arial" w:cs="Arial" w:eastAsia="Arial" w:hAnsi="Arial"/>
                <w:b w:val="D6E8F5"/>
                <w:bCs w:val="D6E8F5"/>
                <w:color w:val="FFFFFF"/>
                <w:sz w:val="22"/>
                <w:szCs w:val="22"/>
              </w:rPr>
              <w:t xml:space="preserve">Binary: Close_{t+1} &gt; Close_t. Treats 0.01% noise identically to 5% trend. Epistemically broken.</w:t>
            </w:r>
          </w:p>
        </w:tc>
      </w:tr>
      <w:tr>
        <w:tc>
          <w:tcPr>
            <w:tcW w:type="dxa" w:w="46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val="D6E8F5"/>
                <w:bCs w:val="D6E8F5"/>
                <w:color w:val="FFFFFF"/>
                <w:sz w:val="22"/>
                <w:szCs w:val="22"/>
              </w:rPr>
              <w:t xml:space="preserve">Long-Range Context</w:t>
            </w:r>
          </w:p>
        </w:tc>
        <w:tc>
          <w:tcPr>
            <w:tcW w:type="dxa" w:w="4680"/>
            <w:tcBorders>
              <w:top w:val="single" w:color="CCCCCC" w:sz="1"/>
              <w:left w:val="single" w:color="CCCCCC" w:sz="1"/>
              <w:bottom w:val="single" w:color="CCCCCC" w:sz="1"/>
              <w:right w:val="single" w:color="CCCCCC" w:sz="1"/>
            </w:tcBorders>
            <w:shd w:fill="1A6B72" w:val="clear"/>
            <w:tcMar>
              <w:top w:type="dxa" w:w="80"/>
              <w:left w:type="dxa" w:w="140"/>
              <w:bottom w:type="dxa" w:w="80"/>
              <w:right w:type="dxa" w:w="140"/>
            </w:tcMar>
          </w:tcPr>
          <w:p>
            <w:r>
              <w:rPr>
                <w:rFonts w:ascii="Arial" w:cs="Arial" w:eastAsia="Arial" w:hAnsi="Arial"/>
                <w:b w:val="D6E8F5"/>
                <w:bCs w:val="D6E8F5"/>
                <w:color w:val="FFFFFF"/>
                <w:sz w:val="22"/>
                <w:szCs w:val="22"/>
              </w:rPr>
              <w:t xml:space="preserve">None. Pure CNN cannot connect events 60 days apart without extreme depth.</w:t>
            </w:r>
          </w:p>
        </w:tc>
      </w:tr>
      <w:tr>
        <w:tc>
          <w:tcPr>
            <w:tcW w:type="dxa" w:w="46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val="D6E8F5"/>
                <w:bCs w:val="D6E8F5"/>
                <w:color w:val="FFFFFF"/>
                <w:sz w:val="22"/>
                <w:szCs w:val="22"/>
              </w:rPr>
              <w:t xml:space="preserve">Validation</w:t>
            </w:r>
          </w:p>
        </w:tc>
        <w:tc>
          <w:tcPr>
            <w:tcW w:type="dxa" w:w="4680"/>
            <w:tcBorders>
              <w:top w:val="single" w:color="CCCCCC" w:sz="1"/>
              <w:left w:val="single" w:color="CCCCCC" w:sz="1"/>
              <w:bottom w:val="single" w:color="CCCCCC" w:sz="1"/>
              <w:right w:val="single" w:color="CCCCCC" w:sz="1"/>
            </w:tcBorders>
            <w:shd w:fill="1A6B72" w:val="clear"/>
            <w:tcMar>
              <w:top w:type="dxa" w:w="80"/>
              <w:left w:type="dxa" w:w="140"/>
              <w:bottom w:type="dxa" w:w="80"/>
              <w:right w:type="dxa" w:w="140"/>
            </w:tcMar>
          </w:tcPr>
          <w:p>
            <w:r>
              <w:rPr>
                <w:rFonts w:ascii="Arial" w:cs="Arial" w:eastAsia="Arial" w:hAnsi="Arial"/>
                <w:b w:val="D6E8F5"/>
                <w:bCs w:val="D6E8F5"/>
                <w:color w:val="FFFFFF"/>
                <w:sz w:val="22"/>
                <w:szCs w:val="22"/>
              </w:rPr>
              <w:t xml:space="preserve">Fixed 60/20/20 static split. Future data can implicitly leak into normalization.</w:t>
            </w:r>
          </w:p>
        </w:tc>
      </w:tr>
      <w:tr>
        <w:tc>
          <w:tcPr>
            <w:tcW w:type="dxa" w:w="46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val="D6E8F5"/>
                <w:bCs w:val="D6E8F5"/>
                <w:color w:val="FFFFFF"/>
                <w:sz w:val="22"/>
                <w:szCs w:val="22"/>
              </w:rPr>
              <w:t xml:space="preserve">Regime Awareness</w:t>
            </w:r>
          </w:p>
        </w:tc>
        <w:tc>
          <w:tcPr>
            <w:tcW w:type="dxa" w:w="4680"/>
            <w:tcBorders>
              <w:top w:val="single" w:color="CCCCCC" w:sz="1"/>
              <w:left w:val="single" w:color="CCCCCC" w:sz="1"/>
              <w:bottom w:val="single" w:color="CCCCCC" w:sz="1"/>
              <w:right w:val="single" w:color="CCCCCC" w:sz="1"/>
            </w:tcBorders>
            <w:shd w:fill="1A6B72" w:val="clear"/>
            <w:tcMar>
              <w:top w:type="dxa" w:w="80"/>
              <w:left w:type="dxa" w:w="140"/>
              <w:bottom w:type="dxa" w:w="80"/>
              <w:right w:type="dxa" w:w="140"/>
            </w:tcMar>
          </w:tcPr>
          <w:p>
            <w:r>
              <w:rPr>
                <w:rFonts w:ascii="Arial" w:cs="Arial" w:eastAsia="Arial" w:hAnsi="Arial"/>
                <w:b w:val="D6E8F5"/>
                <w:bCs w:val="D6E8F5"/>
                <w:color w:val="FFFFFF"/>
                <w:sz w:val="22"/>
                <w:szCs w:val="22"/>
              </w:rPr>
              <w:t xml:space="preserve">None. Performance reported as a single aggregate.</w:t>
            </w:r>
          </w:p>
        </w:tc>
      </w:tr>
      <w:tr>
        <w:tc>
          <w:tcPr>
            <w:tcW w:type="dxa" w:w="46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val="D6E8F5"/>
                <w:bCs w:val="D6E8F5"/>
                <w:color w:val="FFFFFF"/>
                <w:sz w:val="22"/>
                <w:szCs w:val="22"/>
              </w:rPr>
              <w:t xml:space="preserve">Class Balance</w:t>
            </w:r>
          </w:p>
        </w:tc>
        <w:tc>
          <w:tcPr>
            <w:tcW w:type="dxa" w:w="4680"/>
            <w:tcBorders>
              <w:top w:val="single" w:color="CCCCCC" w:sz="1"/>
              <w:left w:val="single" w:color="CCCCCC" w:sz="1"/>
              <w:bottom w:val="single" w:color="CCCCCC" w:sz="1"/>
              <w:right w:val="single" w:color="CCCCCC" w:sz="1"/>
            </w:tcBorders>
            <w:shd w:fill="1A6B72" w:val="clear"/>
            <w:tcMar>
              <w:top w:type="dxa" w:w="80"/>
              <w:left w:type="dxa" w:w="140"/>
              <w:bottom w:type="dxa" w:w="80"/>
              <w:right w:type="dxa" w:w="140"/>
            </w:tcMar>
          </w:tcPr>
          <w:p>
            <w:r>
              <w:rPr>
                <w:rFonts w:ascii="Arial" w:cs="Arial" w:eastAsia="Arial" w:hAnsi="Arial"/>
                <w:b w:val="D6E8F5"/>
                <w:bCs w:val="D6E8F5"/>
                <w:color w:val="FFFFFF"/>
                <w:sz w:val="22"/>
                <w:szCs w:val="22"/>
              </w:rPr>
              <w:t xml:space="preserve">Imbalanced binary classification on noisy labels.</w:t>
            </w:r>
          </w:p>
        </w:tc>
      </w:tr>
      <w:tr>
        <w:tc>
          <w:tcPr>
            <w:tcW w:type="dxa" w:w="468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val="D6E8F5"/>
                <w:bCs w:val="D6E8F5"/>
                <w:color w:val="FFFFFF"/>
                <w:sz w:val="22"/>
                <w:szCs w:val="22"/>
              </w:rPr>
              <w:t xml:space="preserve">Interpretability</w:t>
            </w:r>
          </w:p>
        </w:tc>
        <w:tc>
          <w:tcPr>
            <w:tcW w:type="dxa" w:w="4680"/>
            <w:tcBorders>
              <w:top w:val="single" w:color="CCCCCC" w:sz="1"/>
              <w:left w:val="single" w:color="CCCCCC" w:sz="1"/>
              <w:bottom w:val="single" w:color="CCCCCC" w:sz="1"/>
              <w:right w:val="single" w:color="CCCCCC" w:sz="1"/>
            </w:tcBorders>
            <w:shd w:fill="1A6B72" w:val="clear"/>
            <w:tcMar>
              <w:top w:type="dxa" w:w="80"/>
              <w:left w:type="dxa" w:w="140"/>
              <w:bottom w:type="dxa" w:w="80"/>
              <w:right w:type="dxa" w:w="140"/>
            </w:tcMar>
          </w:tcPr>
          <w:p>
            <w:r>
              <w:rPr>
                <w:rFonts w:ascii="Arial" w:cs="Arial" w:eastAsia="Arial" w:hAnsi="Arial"/>
                <w:b w:val="D6E8F5"/>
                <w:bCs w:val="D6E8F5"/>
                <w:color w:val="FFFFFF"/>
                <w:sz w:val="22"/>
                <w:szCs w:val="22"/>
              </w:rPr>
              <w:t xml:space="preserve">None.</w:t>
            </w:r>
          </w:p>
        </w:tc>
      </w:tr>
    </w:tbl>
    <w:p>
      <w:pPr>
        <w:spacing w:before="120" w:after="0"/>
      </w:pPr>
      <w:r>
        <w:t xml:space="preserve"/>
      </w:r>
    </w:p>
    <w:p>
      <w:pPr>
        <w:pBdr>
          <w:bottom w:val="single" w:color="1A6B72" w:sz="8" w:space="4"/>
        </w:pBdr>
        <w:spacing w:before="300" w:after="120"/>
      </w:pPr>
      <w:r>
        <w:rPr>
          <w:rFonts w:ascii="Arial" w:cs="Arial" w:eastAsia="Arial" w:hAnsi="Arial"/>
          <w:b/>
          <w:bCs/>
          <w:color w:val="1B2A4A"/>
          <w:sz w:val="36"/>
          <w:szCs w:val="36"/>
        </w:rPr>
        <w:t xml:space="preserve">12.  Scope Boundaries — What This Project Does Not Claim</w:t>
      </w:r>
    </w:p>
    <w:p>
      <w:pPr>
        <w:pStyle w:val="ListParagraph"/>
        <w:numPr>
          <w:ilvl w:val="0"/>
          <w:numId w:val="2"/>
        </w:numPr>
        <w:spacing w:before="40" w:after="40"/>
      </w:pPr>
      <w:r>
        <w:rPr>
          <w:rFonts w:ascii="Arial" w:cs="Arial" w:eastAsia="Arial" w:hAnsi="Arial"/>
          <w:color w:val="1A1A1A"/>
          <w:sz w:val="21"/>
          <w:szCs w:val="21"/>
        </w:rPr>
        <w:t xml:space="preserve">No price regression or point-estimate forecasting</w:t>
      </w:r>
    </w:p>
    <w:p>
      <w:pPr>
        <w:pStyle w:val="ListParagraph"/>
        <w:numPr>
          <w:ilvl w:val="0"/>
          <w:numId w:val="2"/>
        </w:numPr>
        <w:spacing w:before="40" w:after="40"/>
      </w:pPr>
      <w:r>
        <w:rPr>
          <w:rFonts w:ascii="Arial" w:cs="Arial" w:eastAsia="Arial" w:hAnsi="Arial"/>
          <w:color w:val="1A1A1A"/>
          <w:sz w:val="21"/>
          <w:szCs w:val="21"/>
        </w:rPr>
        <w:t xml:space="preserve">No trading strategy, portfolio construction, or backtesting</w:t>
      </w:r>
    </w:p>
    <w:p>
      <w:pPr>
        <w:pStyle w:val="ListParagraph"/>
        <w:numPr>
          <w:ilvl w:val="0"/>
          <w:numId w:val="2"/>
        </w:numPr>
        <w:spacing w:before="40" w:after="40"/>
      </w:pPr>
      <w:r>
        <w:rPr>
          <w:rFonts w:ascii="Arial" w:cs="Arial" w:eastAsia="Arial" w:hAnsi="Arial"/>
          <w:color w:val="1A1A1A"/>
          <w:sz w:val="21"/>
          <w:szCs w:val="21"/>
        </w:rPr>
        <w:t xml:space="preserve">No profitability claims, Sharpe ratio, or return statistics</w:t>
      </w:r>
    </w:p>
    <w:p>
      <w:pPr>
        <w:pStyle w:val="ListParagraph"/>
        <w:numPr>
          <w:ilvl w:val="0"/>
          <w:numId w:val="2"/>
        </w:numPr>
        <w:spacing w:before="40" w:after="40"/>
      </w:pPr>
      <w:r>
        <w:rPr>
          <w:rFonts w:ascii="Arial" w:cs="Arial" w:eastAsia="Arial" w:hAnsi="Arial"/>
          <w:color w:val="1A1A1A"/>
          <w:sz w:val="21"/>
          <w:szCs w:val="21"/>
        </w:rPr>
        <w:t xml:space="preserve">No claim of architectural novelty for the attention mechanism itself</w:t>
      </w:r>
    </w:p>
    <w:p>
      <w:pPr>
        <w:pStyle w:val="ListParagraph"/>
        <w:numPr>
          <w:ilvl w:val="0"/>
          <w:numId w:val="2"/>
        </w:numPr>
        <w:spacing w:before="40" w:after="40"/>
      </w:pPr>
      <w:r>
        <w:rPr>
          <w:rFonts w:ascii="Arial" w:cs="Arial" w:eastAsia="Arial" w:hAnsi="Arial"/>
          <w:color w:val="1A1A1A"/>
          <w:sz w:val="21"/>
          <w:szCs w:val="21"/>
        </w:rPr>
        <w:t xml:space="preserve">No generalization claims beyond the S&amp;P 500 on daily data</w:t>
      </w:r>
    </w:p>
    <w:p>
      <w:pPr>
        <w:pStyle w:val="ListParagraph"/>
        <w:numPr>
          <w:ilvl w:val="0"/>
          <w:numId w:val="2"/>
        </w:numPr>
        <w:spacing w:before="40" w:after="40"/>
      </w:pPr>
      <w:r>
        <w:rPr>
          <w:rFonts w:ascii="Arial" w:cs="Arial" w:eastAsia="Arial" w:hAnsi="Arial"/>
          <w:color w:val="1A1A1A"/>
          <w:sz w:val="21"/>
          <w:szCs w:val="21"/>
        </w:rPr>
        <w:t xml:space="preserve">No claim that the model is market-deployable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300"/>
              <w:left w:type="dxa" w:w="360"/>
              <w:bottom w:type="dxa" w:w="300"/>
              <w:right w:type="dxa" w:w="360"/>
            </w:tcMar>
          </w:tcPr>
          <w:p>
            <w:pPr>
              <w:spacing w:before="0" w:after="60"/>
              <w:jc w:val="center"/>
            </w:pPr>
            <w:r>
              <w:rPr>
                <w:rFonts w:ascii="Arial" w:cs="Arial" w:eastAsia="Arial" w:hAnsi="Arial"/>
                <w:b/>
                <w:bCs/>
                <w:color w:val="FFFFFF"/>
                <w:sz w:val="28"/>
                <w:szCs w:val="28"/>
              </w:rPr>
              <w:t xml:space="preserve">Final Characterization</w:t>
            </w:r>
          </w:p>
          <w:p>
            <w:pPr>
              <w:spacing w:before="0" w:after="80"/>
              <w:jc w:val="center"/>
            </w:pPr>
            <w:r>
              <w:rPr>
                <w:rFonts w:ascii="Arial" w:cs="Arial" w:eastAsia="Arial" w:hAnsi="Arial"/>
                <w:i/>
                <w:iCs/>
                <w:color w:val="A0C8E0"/>
                <w:sz w:val="22"/>
                <w:szCs w:val="22"/>
              </w:rPr>
              <w:t xml:space="preserve">This project is mathematically valid, architecturally principled, leak-free,</w:t>
            </w:r>
          </w:p>
          <w:p>
            <w:pPr>
              <w:spacing w:before="0" w:after="80"/>
              <w:jc w:val="center"/>
            </w:pPr>
            <w:r>
              <w:rPr>
                <w:rFonts w:ascii="Arial" w:cs="Arial" w:eastAsia="Arial" w:hAnsi="Arial"/>
                <w:i/>
                <w:iCs/>
                <w:color w:val="A0C8E0"/>
                <w:sz w:val="22"/>
                <w:szCs w:val="22"/>
              </w:rPr>
              <w:t xml:space="preserve">empirically honest, regime-aware, scoped correctly, and defensible</w:t>
            </w:r>
          </w:p>
          <w:p>
            <w:pPr>
              <w:spacing w:before="0" w:after="60"/>
              <w:jc w:val="center"/>
            </w:pPr>
            <w:r>
              <w:rPr>
                <w:rFonts w:ascii="Arial" w:cs="Arial" w:eastAsia="Arial" w:hAnsi="Arial"/>
                <w:i/>
                <w:iCs/>
                <w:color w:val="A0C8E0"/>
                <w:sz w:val="22"/>
                <w:szCs w:val="22"/>
              </w:rPr>
              <w:t xml:space="preserve">under rigorous examination.</w:t>
            </w:r>
          </w:p>
          <w:p>
            <w:pPr>
              <w:spacing w:before="0" w:after="0"/>
              <w:jc w:val="center"/>
            </w:pPr>
            <w:r>
              <w:rPr>
                <w:rFonts w:ascii="Arial" w:cs="Arial" w:eastAsia="Arial" w:hAnsi="Arial"/>
                <w:color w:val="FFFFFF"/>
                <w:sz w:val="21"/>
                <w:szCs w:val="21"/>
              </w:rPr>
              <w:t xml:space="preserve">It is designed to test WHEN and WHY modern temporal models help in finance —</w:t>
            </w:r>
          </w:p>
          <w:p>
            <w:pPr>
              <w:spacing w:before="0" w:after="0"/>
              <w:jc w:val="center"/>
            </w:pPr>
            <w:r>
              <w:rPr>
                <w:rFonts w:ascii="Arial" w:cs="Arial" w:eastAsia="Arial" w:hAnsi="Arial"/>
                <w:color w:val="FFFFFF"/>
                <w:sz w:val="21"/>
                <w:szCs w:val="21"/>
              </w:rPr>
              <w:t xml:space="preserve">not to make exaggerated claims about market prediction.</w:t>
            </w:r>
          </w:p>
        </w:tc>
      </w:tr>
    </w:tbl>
    <w:p>
      <w:pPr>
        <w:spacing w:before="60" w:after="0"/>
      </w:pPr>
      <w:r>
        <w:t xml:space="preserve"/>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A6B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2026-02-23T07:30:47.577Z</dcterms:created>
  <dcterms:modified xsi:type="dcterms:W3CDTF">2026-02-23T07:30:47.578Z</dcterms:modified>
</cp:coreProperties>
</file>

<file path=docProps/custom.xml><?xml version="1.0" encoding="utf-8"?>
<Properties xmlns="http://schemas.openxmlformats.org/officeDocument/2006/custom-properties" xmlns:vt="http://schemas.openxmlformats.org/officeDocument/2006/docPropsVTypes"/>
</file>