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LIABILITY. The liability cap is AED 100,000.</w:t>
      </w:r>
    </w:p>
    <w:p>
      <w:r>
        <w:t xml:space="preserve">2. PAYMENT. Payment is due within 30 days.</w:t>
      </w:r>
    </w:p>
    <w:p>
      <w:r>
        <w:t xml:space="preserve">3. REWORDING. The parties must give notice promptly.</w:t>
      </w:r>
    </w:p>
    <w:p>
      <w:r>
        <w:t xml:space="preserve">4. REMOVED. This clause applies to affiliates.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2026-10-02T05:20:12.091Z</dcterms:created>
  <dcterms:modified xsi:type="dcterms:W3CDTF">2026-10-02T05:20:12.091Z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