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LIABILITY. The liability cap is AED 1,000,000.</w:t>
      </w:r>
    </w:p>
    <w:p>
      <w:r>
        <w:t xml:space="preserve">2. PAYMENT. Payment is due within 60 days.</w:t>
      </w:r>
    </w:p>
    <w:p>
      <w:r>
        <w:t xml:space="preserve">3. REWORDING. The parties shall provide notice without delay.</w:t>
      </w:r>
    </w:p>
    <w:p>
      <w:r>
        <w:t xml:space="preserve">5. ADDED. The parties agree to mediation.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2026-10-02T06:13:53.637Z</dcterms:created>
  <dcterms:modified xsi:type="dcterms:W3CDTF">2026-10-02T06:13:53.637Z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