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SWTID1741149241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</w:t>
      </w:r>
      <w:r w:rsidDel="00000000" w:rsidR="00000000" w:rsidRPr="00000000">
        <w:rPr>
          <w:b w:val="1"/>
          <w:rtl w:val="0"/>
        </w:rPr>
        <w:t xml:space="preserve">HarmonyStream</w:t>
      </w:r>
      <w:r w:rsidDel="00000000" w:rsidR="00000000" w:rsidRPr="00000000">
        <w:rPr>
          <w:rtl w:val="0"/>
        </w:rPr>
        <w:t xml:space="preserve">, the Rhythmic Tunes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0" distT="0" distL="0" distR="0">
            <wp:extent cx="5943600" cy="2486376"/>
            <wp:effectExtent b="0" l="0" r="0" t="0"/>
            <wp:docPr descr="Screenshot 2024-01-02 150506.png" id="2" name="image1.png"/>
            <a:graphic>
              <a:graphicData uri="http://schemas.openxmlformats.org/drawingml/2006/picture">
                <pic:pic>
                  <pic:nvPicPr>
                    <pic:cNvPr descr="Screenshot 2024-01-02 150506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jPPyzOkXL+2auG7ZXf8w8jwvjg==">CgMxLjA4AHIhMTFOVUlYWnJQSjJsUnBTU1hzbkQwTUc2d1lLYmFVME91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