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left"/>
      </w:pPr>
      <w:r>
        <w:rPr>
          <w:b/>
          <w:color w:val="112244"/>
          <w:sz w:val="40"/>
        </w:rPr>
        <w:t>Source-Disjoint Audio Spectrogram Transformers with Consistency Regularization for Bioacoustic Sound Classification</w:t>
      </w:r>
    </w:p>
    <w:p>
      <w:pPr>
        <w:spacing w:after="200"/>
      </w:pPr>
      <w:r>
        <w:rPr>
          <w:b/>
          <w:sz w:val="20"/>
        </w:rPr>
        <w:t>Abstract—</w:t>
      </w:r>
      <w:r>
        <w:rPr>
          <w:sz w:val="20"/>
        </w:rPr>
        <w:t>Environmental sound classification in bioacoustic monitoring is frequently plagued by implicit data leakage when multi-segment or pitch-augmented variants of identical recording sources span across training and evaluation splits. In this work, we present a rigorous dual-evaluation framework and a source-consistency regularized Audio Spectrogram Transformer (AST) for the FSC22 bioacoustic benchmark dataset. First, we design a leakage-free, source-disjoint evaluation protocol utilizing nested StratifiedGroupKFold partitioning based on underlying FreeSound recording IDs, strictly locking an untouched test split containing 405 clips across 389 independent source groups. Second, we propose an AST fine-tuning framework incorporating differential learning rates across eight unfrozen transformer blocks, focal-smoothed cross-entropy loss, and dual logit-embedding consistency regularization (Jensen-Shannon divergence and cosine embedding distance). Under strict source-disjoint evaluation on unseen recordings, our multi-seed AST ensemble achieves 87.41% accuracy and an 87.54% Macro F1-score. Furthermore, under transductive source-consistent test-time probability aggregation across pitch variants, the ensemble reaches 98.44% accuracy and 98.42% Macro F1-score (over 1,215 evaluation rows). All source code, data splits, tables, and interactive high-resolution visualizations are made available via our complete Google Colab Notebook.</w:t>
      </w:r>
    </w:p>
    <w:p>
      <w:pPr>
        <w:spacing w:after="280"/>
      </w:pPr>
      <w:r>
        <w:rPr>
          <w:b/>
          <w:sz w:val="20"/>
        </w:rPr>
        <w:t>Keywords—</w:t>
      </w:r>
      <w:r>
        <w:rPr>
          <w:sz w:val="20"/>
        </w:rPr>
        <w:t>Bioacoustic Sound Classification, Audio Spectrogram Transformer (AST), Source-Disjoint Partitioning, Data Leakage Audit, Consistency Regularization, Focal Loss, Google Colab Notebook.</w:t>
      </w:r>
    </w:p>
    <w:tbl>
      <w:tblPr>
        <w:tblW w:type="auto" w:w="0"/>
        <w:jc w:val="center"/>
        <w:tblLook w:firstColumn="1" w:firstRow="1" w:lastColumn="0" w:lastRow="0" w:noHBand="0" w:noVBand="1" w:val="04A0"/>
      </w:tblPr>
      <w:tblGrid>
        <w:gridCol w:w="9360"/>
      </w:tblGrid>
      <w:tr>
        <w:tc>
          <w:tcPr>
            <w:tcW w:type="dxa" w:w="9360"/>
            <w:shd w:fill="EFF6FF"/>
            <w:tcMar>
              <w:top w:w="100" w:type="dxa"/>
              <w:bottom w:w="100" w:type="dxa"/>
              <w:left w:w="150" w:type="dxa"/>
              <w:right w:w="150" w:type="dxa"/>
            </w:tcMar>
            <w:tcBorders>
              <w:top w:val="single" w:sz="12" w:space="0" w:color="2563EB"/>
              <w:left w:val="single" w:sz="12" w:space="0" w:color="2563EB"/>
              <w:bottom w:val="single" w:sz="12" w:space="0" w:color="2563EB"/>
              <w:right w:val="single" w:sz="12" w:space="0" w:color="2563EB"/>
            </w:tcBorders>
          </w:tcPr>
          <w:p>
            <w:pPr>
              <w:spacing w:after="80"/>
            </w:pPr>
            <w:r>
              <w:rPr>
                <w:b/>
                <w:color w:val="1D4ED8"/>
                <w:sz w:val="22"/>
              </w:rPr>
              <w:t>Interactive Google Colab Notebook &amp; Code Access</w:t>
              <w:br/>
            </w:r>
            <w:r>
              <w:rPr>
                <w:sz w:val="19"/>
              </w:rPr>
              <w:t>To ensure complete reproducibility and open access, all experimental pipelines, source-disjoint partitioning algorithms, AST model fine-tuning code, multi-task consistency loss dynamics, evaluation tables, and colorful graphs are available in our Google Colab Notebook:</w:t>
              <w:br/>
            </w:r>
            <w:r>
              <w:rPr>
                <w:b/>
                <w:color w:val="2563EB"/>
                <w:sz w:val="19"/>
              </w:rPr>
              <w:t>ColabNotebook: https://colab.research.google.com/github/KanishkaM108/FSC22_Bioacoustic_AST/blob/main/FSC22_Bioacoustic_AST_Results_and_Evaluation.ipynb</w:t>
            </w:r>
          </w:p>
        </w:tc>
      </w:tr>
    </w:tbl>
    <w:p>
      <w:pPr>
        <w:spacing w:after="240"/>
      </w:pPr>
    </w:p>
    <w:p>
      <w:pPr>
        <w:spacing w:before="280" w:after="100"/>
      </w:pPr>
      <w:r>
        <w:rPr>
          <w:b/>
          <w:color w:val="112244"/>
          <w:sz w:val="26"/>
        </w:rPr>
        <w:t>1. INTRODUCTION</w:t>
      </w:r>
    </w:p>
    <w:p>
      <w:r>
        <w:t>Automatic bioacoustic sound classification plays a critical role in biodiversity monitoring, forest health assessment, wildlife population tracking, and environmental surveillance. Recent advances in deep learning, particularly convolutional neural networks and vision-inspired Transformer architectures, have enabled remarkable recognition accuracy on complex environmental audio benchmarks. However, a major methodological challenge in audio dataset evaluation stems from implicit data leakage, specifically when multiple audio clips or pitch-shifted augmented variants originating from the exact same physical recording source are distributed across both training and testing partitions.</w:t>
      </w:r>
    </w:p>
    <w:p>
      <w:r>
        <w:t>In standard evaluation splits, when clip-level random splitting is performed prior to augmentation or segment extraction, models often memorize ambient acoustic room impulses, recording device signatures, and background noise profiles unique to specific original recordings. This transductive overlap leads to overly optimistic performance claims, often exceeding 98% accuracy, which degrade significantly when deployed on completely unseen recording equipment, novel acoustic background conditions, or new geographic monitoring environments.</w:t>
      </w:r>
    </w:p>
    <w:p>
      <w:r>
        <w:t>To address this methodological challenge, we introduce a dual-evaluation framework applied to the Field Sound Classification 2022 dataset. First, we construct a strict, source-level grouping protocol derived from underlying FreeSound recording identifiers using nested StratifiedGroupKFold partitioning. This enforces complete isolation of underlying audio sources across train, validation, and test splits with zero source-group overlap, preventing clip-level or pitch-variant leakage. Second, we propose a fine-tuned Audio Spectrogram Transformer architecture incorporating differential learning rates across eight unfrozen transformer blocks, focal-smoothed cross-entropy classification loss, and dual logit-embedding consistency regularization across stochastic views. Finally, we provide a comprehensive comparative analysis demonstrating that while transductive source-consistent test-time augmentation reaches 98.44% accuracy, clean evaluation on locked, unseen source recordings yields 87.41% accuracy, setting a transparent benchmark for real-world bioacoustic generalization.</w:t>
      </w:r>
    </w:p>
    <w:p>
      <w:pPr>
        <w:spacing w:before="280" w:after="100"/>
      </w:pPr>
      <w:r>
        <w:rPr>
          <w:b/>
          <w:color w:val="112244"/>
          <w:sz w:val="26"/>
        </w:rPr>
        <w:t>2. LITERATURE SURVEY</w:t>
      </w:r>
    </w:p>
    <w:p>
      <w:r>
        <w:t>Audio classification has evolved from hand-crafted feature extractions, such as Mel-Frequency Cepstral Coefficients (MFCCs) and spectral centroids combined with traditional classifiers like Support Vector Machines and Random Forests, to end-to-end deep neural architectures. Early deep learning approaches relied on 2D Convolutional Neural Networks, including PANNs, ResNet variants, and VGGish backbones, applied directly to log-Mel spectrogram representations. More recently, self-attention architectures, specifically Audio Spectrogram Transformers (AST) and self-supervised models such as WavLM and AudioMAE, have established state-of-the-art recognition benchmarks on large-scale datasets including AudioSet, ESC-50, and UrbanSound8K.</w:t>
      </w:r>
    </w:p>
    <w:p>
      <w:r>
        <w:t>However, recent meta-analyses in audio recognition highlight widespread data leakage issues caused by inappropriate data splitting methodologies. Table 1 summarizes the studies most directly related to audio transformers, self-supervised audio pretraining, data leakage partitioning, consistency regularization, and loss function design, detailing their core mechanisms, key contributions, and remaining design gaps.</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2340"/>
        <w:gridCol w:w="2340"/>
        <w:gridCol w:w="2340"/>
        <w:gridCol w:w="2340"/>
      </w:tblGrid>
      <w:tr>
        <w:tc>
          <w:tcPr>
            <w:tcW w:type="dxa" w:w="2016"/>
            <w:tcMar>
              <w:top w:w="70" w:type="dxa"/>
              <w:bottom w:w="70" w:type="dxa"/>
              <w:left w:w="90" w:type="dxa"/>
              <w:right w:w="90" w:type="dxa"/>
            </w:tcMar>
            <w:shd w:fill="112244"/>
          </w:tcPr>
          <w:p>
            <w:pPr>
              <w:spacing w:line="252" w:lineRule="auto" w:after="40"/>
            </w:pPr>
            <w:r>
              <w:rPr>
                <w:b/>
                <w:color w:val="FFFFFF"/>
                <w:sz w:val="17"/>
              </w:rPr>
              <w:t>Study</w:t>
            </w:r>
          </w:p>
        </w:tc>
        <w:tc>
          <w:tcPr>
            <w:tcW w:type="dxa" w:w="2160"/>
            <w:tcMar>
              <w:top w:w="70" w:type="dxa"/>
              <w:bottom w:w="70" w:type="dxa"/>
              <w:left w:w="90" w:type="dxa"/>
              <w:right w:w="90" w:type="dxa"/>
            </w:tcMar>
            <w:shd w:fill="112244"/>
          </w:tcPr>
          <w:p>
            <w:pPr>
              <w:spacing w:line="252" w:lineRule="auto" w:after="40"/>
            </w:pPr>
            <w:r>
              <w:rPr>
                <w:b/>
                <w:color w:val="FFFFFF"/>
                <w:sz w:val="17"/>
              </w:rPr>
              <w:t>Core Mechanism</w:t>
            </w:r>
          </w:p>
        </w:tc>
        <w:tc>
          <w:tcPr>
            <w:tcW w:type="dxa" w:w="2880"/>
            <w:tcMar>
              <w:top w:w="70" w:type="dxa"/>
              <w:bottom w:w="70" w:type="dxa"/>
              <w:left w:w="90" w:type="dxa"/>
              <w:right w:w="90" w:type="dxa"/>
            </w:tcMar>
            <w:shd w:fill="112244"/>
          </w:tcPr>
          <w:p>
            <w:pPr>
              <w:spacing w:line="252" w:lineRule="auto" w:after="40"/>
            </w:pPr>
            <w:r>
              <w:rPr>
                <w:b/>
                <w:color w:val="FFFFFF"/>
                <w:sz w:val="17"/>
              </w:rPr>
              <w:t>Main Contribution</w:t>
            </w:r>
          </w:p>
        </w:tc>
        <w:tc>
          <w:tcPr>
            <w:tcW w:type="dxa" w:w="3024"/>
            <w:tcMar>
              <w:top w:w="70" w:type="dxa"/>
              <w:bottom w:w="70" w:type="dxa"/>
              <w:left w:w="90" w:type="dxa"/>
              <w:right w:w="90" w:type="dxa"/>
            </w:tcMar>
            <w:shd w:fill="112244"/>
          </w:tcPr>
          <w:p>
            <w:pPr>
              <w:spacing w:line="252" w:lineRule="auto" w:after="40"/>
            </w:pPr>
            <w:r>
              <w:rPr>
                <w:b/>
                <w:color w:val="FFFFFF"/>
                <w:sz w:val="17"/>
              </w:rPr>
              <w:t>Gap Relative to Proposed Work</w:t>
            </w:r>
          </w:p>
        </w:tc>
      </w:tr>
      <w:tr>
        <w:tc>
          <w:tcPr>
            <w:tcW w:type="dxa" w:w="2016"/>
            <w:tcMar>
              <w:top w:w="70" w:type="dxa"/>
              <w:bottom w:w="70" w:type="dxa"/>
              <w:left w:w="90" w:type="dxa"/>
              <w:right w:w="90" w:type="dxa"/>
            </w:tcMar>
            <w:shd w:fill="F4F6F9"/>
          </w:tcPr>
          <w:p>
            <w:pPr>
              <w:spacing w:line="252" w:lineRule="auto" w:after="40"/>
            </w:pPr>
            <w:r>
              <w:rPr>
                <w:sz w:val="17"/>
              </w:rPr>
              <w:t>[1] Gong et al. (2021)</w:t>
            </w:r>
          </w:p>
        </w:tc>
        <w:tc>
          <w:tcPr>
            <w:tcW w:type="dxa" w:w="2160"/>
            <w:tcMar>
              <w:top w:w="70" w:type="dxa"/>
              <w:bottom w:w="70" w:type="dxa"/>
              <w:left w:w="90" w:type="dxa"/>
              <w:right w:w="90" w:type="dxa"/>
            </w:tcMar>
            <w:shd w:fill="F4F6F9"/>
          </w:tcPr>
          <w:p>
            <w:pPr>
              <w:spacing w:line="252" w:lineRule="auto" w:after="40"/>
            </w:pPr>
            <w:r>
              <w:rPr>
                <w:sz w:val="17"/>
              </w:rPr>
              <w:t>Audio Spectrogram Transformer (AST)</w:t>
            </w:r>
          </w:p>
        </w:tc>
        <w:tc>
          <w:tcPr>
            <w:tcW w:type="dxa" w:w="2880"/>
            <w:tcMar>
              <w:top w:w="70" w:type="dxa"/>
              <w:bottom w:w="70" w:type="dxa"/>
              <w:left w:w="90" w:type="dxa"/>
              <w:right w:w="90" w:type="dxa"/>
            </w:tcMar>
            <w:shd w:fill="F4F6F9"/>
          </w:tcPr>
          <w:p>
            <w:pPr>
              <w:spacing w:line="252" w:lineRule="auto" w:after="40"/>
            </w:pPr>
            <w:r>
              <w:rPr>
                <w:sz w:val="17"/>
              </w:rPr>
              <w:t>First purely attention-based audio classifier pretrained on ImageNet and AudioSet.</w:t>
            </w:r>
          </w:p>
        </w:tc>
        <w:tc>
          <w:tcPr>
            <w:tcW w:type="dxa" w:w="3024"/>
            <w:tcMar>
              <w:top w:w="70" w:type="dxa"/>
              <w:bottom w:w="70" w:type="dxa"/>
              <w:left w:w="90" w:type="dxa"/>
              <w:right w:w="90" w:type="dxa"/>
            </w:tcMar>
            <w:shd w:fill="F4F6F9"/>
          </w:tcPr>
          <w:p>
            <w:pPr>
              <w:spacing w:line="252" w:lineRule="auto" w:after="40"/>
            </w:pPr>
            <w:r>
              <w:rPr>
                <w:sz w:val="17"/>
              </w:rPr>
              <w:t>Evaluated primarily on standard clip-level random splits; does not explicitly partition multi-segment source recordings.</w:t>
            </w:r>
          </w:p>
        </w:tc>
      </w:tr>
      <w:tr>
        <w:tc>
          <w:tcPr>
            <w:tcW w:type="dxa" w:w="2016"/>
            <w:tcMar>
              <w:top w:w="70" w:type="dxa"/>
              <w:bottom w:w="70" w:type="dxa"/>
              <w:left w:w="90" w:type="dxa"/>
              <w:right w:w="90" w:type="dxa"/>
            </w:tcMar>
          </w:tcPr>
          <w:p>
            <w:pPr>
              <w:spacing w:line="252" w:lineRule="auto" w:after="40"/>
            </w:pPr>
            <w:r>
              <w:rPr>
                <w:sz w:val="17"/>
              </w:rPr>
              <w:t>[2] Chen et al. (2022)</w:t>
            </w:r>
          </w:p>
        </w:tc>
        <w:tc>
          <w:tcPr>
            <w:tcW w:type="dxa" w:w="2160"/>
            <w:tcMar>
              <w:top w:w="70" w:type="dxa"/>
              <w:bottom w:w="70" w:type="dxa"/>
              <w:left w:w="90" w:type="dxa"/>
              <w:right w:w="90" w:type="dxa"/>
            </w:tcMar>
          </w:tcPr>
          <w:p>
            <w:pPr>
              <w:spacing w:line="252" w:lineRule="auto" w:after="40"/>
            </w:pPr>
            <w:r>
              <w:rPr>
                <w:sz w:val="17"/>
              </w:rPr>
              <w:t>AudioMAE (Masked Autoencoders)</w:t>
            </w:r>
          </w:p>
        </w:tc>
        <w:tc>
          <w:tcPr>
            <w:tcW w:type="dxa" w:w="2880"/>
            <w:tcMar>
              <w:top w:w="70" w:type="dxa"/>
              <w:bottom w:w="70" w:type="dxa"/>
              <w:left w:w="90" w:type="dxa"/>
              <w:right w:w="90" w:type="dxa"/>
            </w:tcMar>
          </w:tcPr>
          <w:p>
            <w:pPr>
              <w:spacing w:line="252" w:lineRule="auto" w:after="40"/>
            </w:pPr>
            <w:r>
              <w:rPr>
                <w:sz w:val="17"/>
              </w:rPr>
              <w:t>Self-supervised masked autoencoder pretraining for audio spectrograms.</w:t>
            </w:r>
          </w:p>
        </w:tc>
        <w:tc>
          <w:tcPr>
            <w:tcW w:type="dxa" w:w="3024"/>
            <w:tcMar>
              <w:top w:w="70" w:type="dxa"/>
              <w:bottom w:w="70" w:type="dxa"/>
              <w:left w:w="90" w:type="dxa"/>
              <w:right w:w="90" w:type="dxa"/>
            </w:tcMar>
          </w:tcPr>
          <w:p>
            <w:pPr>
              <w:spacing w:line="252" w:lineRule="auto" w:after="40"/>
            </w:pPr>
            <w:r>
              <w:rPr>
                <w:sz w:val="17"/>
              </w:rPr>
              <w:t>High computation requirement; does not address transductive augmentation overlap across recording hardware.</w:t>
            </w:r>
          </w:p>
        </w:tc>
      </w:tr>
      <w:tr>
        <w:tc>
          <w:tcPr>
            <w:tcW w:type="dxa" w:w="2016"/>
            <w:tcMar>
              <w:top w:w="70" w:type="dxa"/>
              <w:bottom w:w="70" w:type="dxa"/>
              <w:left w:w="90" w:type="dxa"/>
              <w:right w:w="90" w:type="dxa"/>
            </w:tcMar>
            <w:shd w:fill="F4F6F9"/>
          </w:tcPr>
          <w:p>
            <w:pPr>
              <w:spacing w:line="252" w:lineRule="auto" w:after="40"/>
            </w:pPr>
            <w:r>
              <w:rPr>
                <w:sz w:val="17"/>
              </w:rPr>
              <w:t>[3] Chen et al. (2022)</w:t>
            </w:r>
          </w:p>
        </w:tc>
        <w:tc>
          <w:tcPr>
            <w:tcW w:type="dxa" w:w="2160"/>
            <w:tcMar>
              <w:top w:w="70" w:type="dxa"/>
              <w:bottom w:w="70" w:type="dxa"/>
              <w:left w:w="90" w:type="dxa"/>
              <w:right w:w="90" w:type="dxa"/>
            </w:tcMar>
            <w:shd w:fill="F4F6F9"/>
          </w:tcPr>
          <w:p>
            <w:pPr>
              <w:spacing w:line="252" w:lineRule="auto" w:after="40"/>
            </w:pPr>
            <w:r>
              <w:rPr>
                <w:sz w:val="17"/>
              </w:rPr>
              <w:t>WavLM Self-Supervised Audio Model</w:t>
            </w:r>
          </w:p>
        </w:tc>
        <w:tc>
          <w:tcPr>
            <w:tcW w:type="dxa" w:w="2880"/>
            <w:tcMar>
              <w:top w:w="70" w:type="dxa"/>
              <w:bottom w:w="70" w:type="dxa"/>
              <w:left w:w="90" w:type="dxa"/>
              <w:right w:w="90" w:type="dxa"/>
            </w:tcMar>
            <w:shd w:fill="F4F6F9"/>
          </w:tcPr>
          <w:p>
            <w:pPr>
              <w:spacing w:line="252" w:lineRule="auto" w:after="40"/>
            </w:pPr>
            <w:r>
              <w:rPr>
                <w:sz w:val="17"/>
              </w:rPr>
              <w:t>Transformer model pretrained on full audio with gated relative position bias.</w:t>
            </w:r>
          </w:p>
        </w:tc>
        <w:tc>
          <w:tcPr>
            <w:tcW w:type="dxa" w:w="3024"/>
            <w:tcMar>
              <w:top w:w="70" w:type="dxa"/>
              <w:bottom w:w="70" w:type="dxa"/>
              <w:left w:w="90" w:type="dxa"/>
              <w:right w:w="90" w:type="dxa"/>
            </w:tcMar>
            <w:shd w:fill="F4F6F9"/>
          </w:tcPr>
          <w:p>
            <w:pPr>
              <w:spacing w:line="252" w:lineRule="auto" w:after="40"/>
            </w:pPr>
            <w:r>
              <w:rPr>
                <w:sz w:val="17"/>
              </w:rPr>
              <w:t>Optimized primarily for speech tasks; downstream environmental audio fine-tuning prone to background noise memorization without grouping.</w:t>
            </w:r>
          </w:p>
        </w:tc>
      </w:tr>
      <w:tr>
        <w:tc>
          <w:tcPr>
            <w:tcW w:type="dxa" w:w="2016"/>
            <w:tcMar>
              <w:top w:w="70" w:type="dxa"/>
              <w:bottom w:w="70" w:type="dxa"/>
              <w:left w:w="90" w:type="dxa"/>
              <w:right w:w="90" w:type="dxa"/>
            </w:tcMar>
          </w:tcPr>
          <w:p>
            <w:pPr>
              <w:spacing w:line="252" w:lineRule="auto" w:after="40"/>
            </w:pPr>
            <w:r>
              <w:rPr>
                <w:sz w:val="17"/>
              </w:rPr>
              <w:t>[4] Kong et al. (2020)</w:t>
            </w:r>
          </w:p>
        </w:tc>
        <w:tc>
          <w:tcPr>
            <w:tcW w:type="dxa" w:w="2160"/>
            <w:tcMar>
              <w:top w:w="70" w:type="dxa"/>
              <w:bottom w:w="70" w:type="dxa"/>
              <w:left w:w="90" w:type="dxa"/>
              <w:right w:w="90" w:type="dxa"/>
            </w:tcMar>
          </w:tcPr>
          <w:p>
            <w:pPr>
              <w:spacing w:line="252" w:lineRule="auto" w:after="40"/>
            </w:pPr>
            <w:r>
              <w:rPr>
                <w:sz w:val="17"/>
              </w:rPr>
              <w:t>PANNs: Pretrained Audio Neural Networks</w:t>
            </w:r>
          </w:p>
        </w:tc>
        <w:tc>
          <w:tcPr>
            <w:tcW w:type="dxa" w:w="2880"/>
            <w:tcMar>
              <w:top w:w="70" w:type="dxa"/>
              <w:bottom w:w="70" w:type="dxa"/>
              <w:left w:w="90" w:type="dxa"/>
              <w:right w:w="90" w:type="dxa"/>
            </w:tcMar>
          </w:tcPr>
          <w:p>
            <w:pPr>
              <w:spacing w:line="252" w:lineRule="auto" w:after="40"/>
            </w:pPr>
            <w:r>
              <w:rPr>
                <w:sz w:val="17"/>
              </w:rPr>
              <w:t>Benchmark CNN architectures (Cnn14, Wavegram-Logmel) for general audio recognition.</w:t>
            </w:r>
          </w:p>
        </w:tc>
        <w:tc>
          <w:tcPr>
            <w:tcW w:type="dxa" w:w="3024"/>
            <w:tcMar>
              <w:top w:w="70" w:type="dxa"/>
              <w:bottom w:w="70" w:type="dxa"/>
              <w:left w:w="90" w:type="dxa"/>
              <w:right w:w="90" w:type="dxa"/>
            </w:tcMar>
          </w:tcPr>
          <w:p>
            <w:pPr>
              <w:spacing w:line="252" w:lineRule="auto" w:after="40"/>
            </w:pPr>
            <w:r>
              <w:rPr>
                <w:sz w:val="17"/>
              </w:rPr>
              <w:t>Standard frame and clip sampling causes acoustic environment leakage across splits.</w:t>
            </w:r>
          </w:p>
        </w:tc>
      </w:tr>
      <w:tr>
        <w:tc>
          <w:tcPr>
            <w:tcW w:type="dxa" w:w="2016"/>
            <w:tcMar>
              <w:top w:w="70" w:type="dxa"/>
              <w:bottom w:w="70" w:type="dxa"/>
              <w:left w:w="90" w:type="dxa"/>
              <w:right w:w="90" w:type="dxa"/>
            </w:tcMar>
            <w:shd w:fill="F4F6F9"/>
          </w:tcPr>
          <w:p>
            <w:pPr>
              <w:spacing w:line="252" w:lineRule="auto" w:after="40"/>
            </w:pPr>
            <w:r>
              <w:rPr>
                <w:sz w:val="17"/>
              </w:rPr>
              <w:t>[5] Fonseca et al. (2021)</w:t>
            </w:r>
          </w:p>
        </w:tc>
        <w:tc>
          <w:tcPr>
            <w:tcW w:type="dxa" w:w="2160"/>
            <w:tcMar>
              <w:top w:w="70" w:type="dxa"/>
              <w:bottom w:w="70" w:type="dxa"/>
              <w:left w:w="90" w:type="dxa"/>
              <w:right w:w="90" w:type="dxa"/>
            </w:tcMar>
            <w:shd w:fill="F4F6F9"/>
          </w:tcPr>
          <w:p>
            <w:pPr>
              <w:spacing w:line="252" w:lineRule="auto" w:after="40"/>
            </w:pPr>
            <w:r>
              <w:rPr>
                <w:sz w:val="17"/>
              </w:rPr>
              <w:t>FSD50K Open Dataset &amp; Baselines</w:t>
            </w:r>
          </w:p>
        </w:tc>
        <w:tc>
          <w:tcPr>
            <w:tcW w:type="dxa" w:w="2880"/>
            <w:tcMar>
              <w:top w:w="70" w:type="dxa"/>
              <w:bottom w:w="70" w:type="dxa"/>
              <w:left w:w="90" w:type="dxa"/>
              <w:right w:w="90" w:type="dxa"/>
            </w:tcMar>
            <w:shd w:fill="F4F6F9"/>
          </w:tcPr>
          <w:p>
            <w:pPr>
              <w:spacing w:line="252" w:lineRule="auto" w:after="40"/>
            </w:pPr>
            <w:r>
              <w:rPr>
                <w:sz w:val="17"/>
              </w:rPr>
              <w:t>Multi-label audio dataset with crowdsourced annotations and baseline CNNs.</w:t>
            </w:r>
          </w:p>
        </w:tc>
        <w:tc>
          <w:tcPr>
            <w:tcW w:type="dxa" w:w="3024"/>
            <w:tcMar>
              <w:top w:w="70" w:type="dxa"/>
              <w:bottom w:w="70" w:type="dxa"/>
              <w:left w:w="90" w:type="dxa"/>
              <w:right w:w="90" w:type="dxa"/>
            </w:tcMar>
            <w:shd w:fill="F4F6F9"/>
          </w:tcPr>
          <w:p>
            <w:pPr>
              <w:spacing w:line="252" w:lineRule="auto" w:after="40"/>
            </w:pPr>
            <w:r>
              <w:rPr>
                <w:sz w:val="17"/>
              </w:rPr>
              <w:t>Focuses on multi-label evaluation but lacks source-consistent logit and embedding loss constraints.</w:t>
            </w:r>
          </w:p>
        </w:tc>
      </w:tr>
      <w:tr>
        <w:tc>
          <w:tcPr>
            <w:tcW w:type="dxa" w:w="2016"/>
            <w:tcMar>
              <w:top w:w="70" w:type="dxa"/>
              <w:bottom w:w="70" w:type="dxa"/>
              <w:left w:w="90" w:type="dxa"/>
              <w:right w:w="90" w:type="dxa"/>
            </w:tcMar>
          </w:tcPr>
          <w:p>
            <w:pPr>
              <w:spacing w:line="252" w:lineRule="auto" w:after="40"/>
            </w:pPr>
            <w:r>
              <w:rPr>
                <w:sz w:val="17"/>
              </w:rPr>
              <w:t>[6] Lin et al. (2022)</w:t>
            </w:r>
          </w:p>
        </w:tc>
        <w:tc>
          <w:tcPr>
            <w:tcW w:type="dxa" w:w="2160"/>
            <w:tcMar>
              <w:top w:w="70" w:type="dxa"/>
              <w:bottom w:w="70" w:type="dxa"/>
              <w:left w:w="90" w:type="dxa"/>
              <w:right w:w="90" w:type="dxa"/>
            </w:tcMar>
          </w:tcPr>
          <w:p>
            <w:pPr>
              <w:spacing w:line="252" w:lineRule="auto" w:after="40"/>
            </w:pPr>
            <w:r>
              <w:rPr>
                <w:sz w:val="17"/>
              </w:rPr>
              <w:t>FSC22 Field Sound Benchmark Dataset</w:t>
            </w:r>
          </w:p>
        </w:tc>
        <w:tc>
          <w:tcPr>
            <w:tcW w:type="dxa" w:w="2880"/>
            <w:tcMar>
              <w:top w:w="70" w:type="dxa"/>
              <w:bottom w:w="70" w:type="dxa"/>
              <w:left w:w="90" w:type="dxa"/>
              <w:right w:w="90" w:type="dxa"/>
            </w:tcMar>
          </w:tcPr>
          <w:p>
            <w:pPr>
              <w:spacing w:line="252" w:lineRule="auto" w:after="40"/>
            </w:pPr>
            <w:r>
              <w:rPr>
                <w:sz w:val="17"/>
              </w:rPr>
              <w:t>Introduced the FSC22 27-class bioacoustic and environmental sound benchmark.</w:t>
            </w:r>
          </w:p>
        </w:tc>
        <w:tc>
          <w:tcPr>
            <w:tcW w:type="dxa" w:w="3024"/>
            <w:tcMar>
              <w:top w:w="70" w:type="dxa"/>
              <w:bottom w:w="70" w:type="dxa"/>
              <w:left w:w="90" w:type="dxa"/>
              <w:right w:w="90" w:type="dxa"/>
            </w:tcMar>
          </w:tcPr>
          <w:p>
            <w:pPr>
              <w:spacing w:line="252" w:lineRule="auto" w:after="40"/>
            </w:pPr>
            <w:r>
              <w:rPr>
                <w:sz w:val="17"/>
              </w:rPr>
              <w:t>Baseline models evaluated on augmentation-before-split protocol, resulting in transductive performance estimates.</w:t>
            </w:r>
          </w:p>
        </w:tc>
      </w:tr>
      <w:tr>
        <w:tc>
          <w:tcPr>
            <w:tcW w:type="dxa" w:w="2016"/>
            <w:tcMar>
              <w:top w:w="70" w:type="dxa"/>
              <w:bottom w:w="70" w:type="dxa"/>
              <w:left w:w="90" w:type="dxa"/>
              <w:right w:w="90" w:type="dxa"/>
            </w:tcMar>
            <w:shd w:fill="F4F6F9"/>
          </w:tcPr>
          <w:p>
            <w:pPr>
              <w:spacing w:line="252" w:lineRule="auto" w:after="40"/>
            </w:pPr>
            <w:r>
              <w:rPr>
                <w:sz w:val="17"/>
              </w:rPr>
              <w:t>[7] Tarvainen &amp; Valpola (2017)</w:t>
            </w:r>
          </w:p>
        </w:tc>
        <w:tc>
          <w:tcPr>
            <w:tcW w:type="dxa" w:w="2160"/>
            <w:tcMar>
              <w:top w:w="70" w:type="dxa"/>
              <w:bottom w:w="70" w:type="dxa"/>
              <w:left w:w="90" w:type="dxa"/>
              <w:right w:w="90" w:type="dxa"/>
            </w:tcMar>
            <w:shd w:fill="F4F6F9"/>
          </w:tcPr>
          <w:p>
            <w:pPr>
              <w:spacing w:line="252" w:lineRule="auto" w:after="40"/>
            </w:pPr>
            <w:r>
              <w:rPr>
                <w:sz w:val="17"/>
              </w:rPr>
              <w:t>Mean Teacher Consistency Regularization</w:t>
            </w:r>
          </w:p>
        </w:tc>
        <w:tc>
          <w:tcPr>
            <w:tcW w:type="dxa" w:w="2880"/>
            <w:tcMar>
              <w:top w:w="70" w:type="dxa"/>
              <w:bottom w:w="70" w:type="dxa"/>
              <w:left w:w="90" w:type="dxa"/>
              <w:right w:w="90" w:type="dxa"/>
            </w:tcMar>
            <w:shd w:fill="F4F6F9"/>
          </w:tcPr>
          <w:p>
            <w:pPr>
              <w:spacing w:line="252" w:lineRule="auto" w:after="40"/>
            </w:pPr>
            <w:r>
              <w:rPr>
                <w:sz w:val="17"/>
              </w:rPr>
              <w:t>Consistency loss between teacher and student predictions under stochastic views.</w:t>
            </w:r>
          </w:p>
        </w:tc>
        <w:tc>
          <w:tcPr>
            <w:tcW w:type="dxa" w:w="3024"/>
            <w:tcMar>
              <w:top w:w="70" w:type="dxa"/>
              <w:bottom w:w="70" w:type="dxa"/>
              <w:left w:w="90" w:type="dxa"/>
              <w:right w:w="90" w:type="dxa"/>
            </w:tcMar>
            <w:shd w:fill="F4F6F9"/>
          </w:tcPr>
          <w:p>
            <w:pPr>
              <w:spacing w:line="252" w:lineRule="auto" w:after="40"/>
            </w:pPr>
            <w:r>
              <w:rPr>
                <w:sz w:val="17"/>
              </w:rPr>
              <w:t>Originally designed for computer vision; lacks bioacoustic frequency-time shift TTA integration.</w:t>
            </w:r>
          </w:p>
        </w:tc>
      </w:tr>
      <w:tr>
        <w:tc>
          <w:tcPr>
            <w:tcW w:type="dxa" w:w="2016"/>
            <w:tcMar>
              <w:top w:w="70" w:type="dxa"/>
              <w:bottom w:w="70" w:type="dxa"/>
              <w:left w:w="90" w:type="dxa"/>
              <w:right w:w="90" w:type="dxa"/>
            </w:tcMar>
          </w:tcPr>
          <w:p>
            <w:pPr>
              <w:spacing w:line="252" w:lineRule="auto" w:after="40"/>
            </w:pPr>
            <w:r>
              <w:rPr>
                <w:sz w:val="17"/>
              </w:rPr>
              <w:t>[8] Lin et al. (2017)</w:t>
            </w:r>
          </w:p>
        </w:tc>
        <w:tc>
          <w:tcPr>
            <w:tcW w:type="dxa" w:w="2160"/>
            <w:tcMar>
              <w:top w:w="70" w:type="dxa"/>
              <w:bottom w:w="70" w:type="dxa"/>
              <w:left w:w="90" w:type="dxa"/>
              <w:right w:w="90" w:type="dxa"/>
            </w:tcMar>
          </w:tcPr>
          <w:p>
            <w:pPr>
              <w:spacing w:line="252" w:lineRule="auto" w:after="40"/>
            </w:pPr>
            <w:r>
              <w:rPr>
                <w:sz w:val="17"/>
              </w:rPr>
              <w:t>Focal Loss for Object Detection</w:t>
            </w:r>
          </w:p>
        </w:tc>
        <w:tc>
          <w:tcPr>
            <w:tcW w:type="dxa" w:w="2880"/>
            <w:tcMar>
              <w:top w:w="70" w:type="dxa"/>
              <w:bottom w:w="70" w:type="dxa"/>
              <w:left w:w="90" w:type="dxa"/>
              <w:right w:w="90" w:type="dxa"/>
            </w:tcMar>
          </w:tcPr>
          <w:p>
            <w:pPr>
              <w:spacing w:line="252" w:lineRule="auto" w:after="40"/>
            </w:pPr>
            <w:r>
              <w:rPr>
                <w:sz w:val="17"/>
              </w:rPr>
              <w:t>Modulates cross-entropy loss to focus training on hard negative examples.</w:t>
            </w:r>
          </w:p>
        </w:tc>
        <w:tc>
          <w:tcPr>
            <w:tcW w:type="dxa" w:w="3024"/>
            <w:tcMar>
              <w:top w:w="70" w:type="dxa"/>
              <w:bottom w:w="70" w:type="dxa"/>
              <w:left w:w="90" w:type="dxa"/>
              <w:right w:w="90" w:type="dxa"/>
            </w:tcMar>
          </w:tcPr>
          <w:p>
            <w:pPr>
              <w:spacing w:line="252" w:lineRule="auto" w:after="40"/>
            </w:pPr>
            <w:r>
              <w:rPr>
                <w:sz w:val="17"/>
              </w:rPr>
              <w:t>Applied in computer vision; needs adaptation to bioacoustic imbalanced sound event classification.</w:t>
            </w:r>
          </w:p>
        </w:tc>
      </w:tr>
    </w:tbl>
    <w:p>
      <w:pPr>
        <w:spacing w:after="240"/>
        <w:jc w:val="center"/>
      </w:pPr>
      <w:r>
        <w:rPr>
          <w:i/>
          <w:sz w:val="18"/>
        </w:rPr>
        <w:t>Table 1: Literature Survey Summary of Audio Deep Learning and Data Partitioning Studies.</w:t>
      </w:r>
    </w:p>
    <w:p>
      <w:r>
        <w:t>As observed from the survey, while high classification accuracies have been reported on benchmarks using self-attention and deep convolutional backbones, existing works rarely audit for transductive source overlap where augmented or multi-segment variants of identical original audio clips are distributed across training and evaluation partitions. This work directly addresses this unresolved design gap by pairing a source-disjoint protocol with logit and embedding consistency regularization.</w:t>
      </w:r>
    </w:p>
    <w:p>
      <w:pPr>
        <w:spacing w:before="280" w:after="100"/>
      </w:pPr>
      <w:r>
        <w:rPr>
          <w:b/>
          <w:color w:val="112244"/>
          <w:sz w:val="26"/>
        </w:rPr>
        <w:t>3. METHODOLOGY</w:t>
      </w:r>
    </w:p>
    <w:p>
      <w:r>
        <w:t>Our methodology consists of three main components: Source-Disjoint Data Partitioning, Consistency-Regularized Audio Spectrogram Transformer Fine-Tuning, and Multi-Seed Test-Time Augmentation (TTA) Ensembling. Figure 1 illustrates the high-level architectural workflow of the proposed framework.</w:t>
      </w:r>
    </w:p>
    <w:p>
      <w:pPr>
        <w:spacing w:after="40"/>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fsc22_ast_architecture_diagram_1785837332929.png"/>
                    <pic:cNvPicPr/>
                  </pic:nvPicPr>
                  <pic:blipFill>
                    <a:blip r:embed="rId9"/>
                    <a:stretch>
                      <a:fillRect/>
                    </a:stretch>
                  </pic:blipFill>
                  <pic:spPr>
                    <a:xfrm>
                      <a:off x="0" y="0"/>
                      <a:ext cx="5303520" cy="5303520"/>
                    </a:xfrm>
                    <a:prstGeom prst="rect"/>
                  </pic:spPr>
                </pic:pic>
              </a:graphicData>
            </a:graphic>
          </wp:inline>
        </w:drawing>
      </w:r>
    </w:p>
    <w:p>
      <w:pPr>
        <w:spacing w:after="240"/>
        <w:jc w:val="center"/>
      </w:pPr>
      <w:r>
        <w:rPr>
          <w:i/>
          <w:sz w:val="18"/>
        </w:rPr>
        <w:t>Figure 1: High-level architectural workflow of the proposed Source-Consistency Regularized Audio Spectrogram Transformer (AST) pipeline for FSC22 bioacoustic classification.</w:t>
      </w:r>
    </w:p>
    <w:p>
      <w:pPr>
        <w:spacing w:before="200" w:after="60"/>
      </w:pPr>
      <w:r>
        <w:rPr>
          <w:b/>
          <w:color w:val="224477"/>
          <w:sz w:val="23"/>
        </w:rPr>
        <w:t>3.1 Source-Disjoint Protocol Design</w:t>
      </w:r>
    </w:p>
    <w:p>
      <w:r>
        <w:t>In the FSC22 dataset, multiple extracted audio clips often originate from the same underlying primary FreeSound recording source file. For example, segments named 17548_A.wav and 17548_B.wav belong to the same parent audio recording 17548. To completely eliminate data leakage across evaluation splits, the grouping key is extracted as the stem prefix of the Source File Name metadata attribute.</w:t>
      </w:r>
    </w:p>
    <w:p>
      <w:r>
        <w:t>We construct a 5-fold outer StratifiedGroupKFold partition to isolate test source groups, followed by a 5-fold inner StratifiedGroupKFold partition to split the remaining source groups into training and validation sets. Crucially, all pitch-shifted variants (original, pitch_down_2, pitch_up_2) strictly inherit the partition assignment of their parent recording source. Table 2 details the split statistics, confirming zero source-group overlap across all partitions. Figure 2 visualizes the sample distribution across splits.</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1872"/>
        <w:gridCol w:w="1872"/>
        <w:gridCol w:w="1872"/>
        <w:gridCol w:w="1872"/>
        <w:gridCol w:w="1872"/>
      </w:tblGrid>
      <w:tr>
        <w:tc>
          <w:tcPr>
            <w:tcW w:type="dxa" w:w="2592"/>
            <w:tcMar>
              <w:top w:w="70" w:type="dxa"/>
              <w:bottom w:w="70" w:type="dxa"/>
              <w:left w:w="90" w:type="dxa"/>
              <w:right w:w="90" w:type="dxa"/>
            </w:tcMar>
            <w:shd w:fill="112244"/>
          </w:tcPr>
          <w:p>
            <w:pPr>
              <w:spacing w:line="252" w:lineRule="auto" w:after="40"/>
            </w:pPr>
            <w:r>
              <w:rPr>
                <w:b/>
                <w:color w:val="FFFFFF"/>
                <w:sz w:val="18"/>
              </w:rPr>
              <w:t>Split Partition</w:t>
            </w:r>
          </w:p>
        </w:tc>
        <w:tc>
          <w:tcPr>
            <w:tcW w:type="dxa" w:w="1728"/>
            <w:tcMar>
              <w:top w:w="70" w:type="dxa"/>
              <w:bottom w:w="70" w:type="dxa"/>
              <w:left w:w="90" w:type="dxa"/>
              <w:right w:w="90" w:type="dxa"/>
            </w:tcMar>
            <w:shd w:fill="112244"/>
          </w:tcPr>
          <w:p>
            <w:pPr>
              <w:spacing w:line="252" w:lineRule="auto" w:after="40"/>
            </w:pPr>
            <w:r>
              <w:rPr>
                <w:b/>
                <w:color w:val="FFFFFF"/>
                <w:sz w:val="18"/>
              </w:rPr>
              <w:t>Original Audio Clips</w:t>
            </w:r>
          </w:p>
        </w:tc>
        <w:tc>
          <w:tcPr>
            <w:tcW w:type="dxa" w:w="2160"/>
            <w:tcMar>
              <w:top w:w="70" w:type="dxa"/>
              <w:bottom w:w="70" w:type="dxa"/>
              <w:left w:w="90" w:type="dxa"/>
              <w:right w:w="90" w:type="dxa"/>
            </w:tcMar>
            <w:shd w:fill="112244"/>
          </w:tcPr>
          <w:p>
            <w:pPr>
              <w:spacing w:line="252" w:lineRule="auto" w:after="40"/>
            </w:pPr>
            <w:r>
              <w:rPr>
                <w:b/>
                <w:color w:val="FFFFFF"/>
                <w:sz w:val="18"/>
              </w:rPr>
              <w:t>Feature Rows (with Pitch Variants)</w:t>
            </w:r>
          </w:p>
        </w:tc>
        <w:tc>
          <w:tcPr>
            <w:tcW w:type="dxa" w:w="1584"/>
            <w:tcMar>
              <w:top w:w="70" w:type="dxa"/>
              <w:bottom w:w="70" w:type="dxa"/>
              <w:left w:w="90" w:type="dxa"/>
              <w:right w:w="90" w:type="dxa"/>
            </w:tcMar>
            <w:shd w:fill="112244"/>
          </w:tcPr>
          <w:p>
            <w:pPr>
              <w:spacing w:line="252" w:lineRule="auto" w:after="40"/>
            </w:pPr>
            <w:r>
              <w:rPr>
                <w:b/>
                <w:color w:val="FFFFFF"/>
                <w:sz w:val="18"/>
              </w:rPr>
              <w:t>Unique Source Groups</w:t>
            </w:r>
          </w:p>
        </w:tc>
        <w:tc>
          <w:tcPr>
            <w:tcW w:type="dxa" w:w="2016"/>
            <w:tcMar>
              <w:top w:w="70" w:type="dxa"/>
              <w:bottom w:w="70" w:type="dxa"/>
              <w:left w:w="90" w:type="dxa"/>
              <w:right w:w="90" w:type="dxa"/>
            </w:tcMar>
            <w:shd w:fill="112244"/>
          </w:tcPr>
          <w:p>
            <w:pPr>
              <w:spacing w:line="252" w:lineRule="auto" w:after="40"/>
            </w:pPr>
            <w:r>
              <w:rPr>
                <w:b/>
                <w:color w:val="FFFFFF"/>
                <w:sz w:val="18"/>
              </w:rPr>
              <w:t>Source Overlap across Splits</w:t>
            </w:r>
          </w:p>
        </w:tc>
      </w:tr>
      <w:tr>
        <w:tc>
          <w:tcPr>
            <w:tcW w:type="dxa" w:w="2592"/>
            <w:tcMar>
              <w:top w:w="70" w:type="dxa"/>
              <w:bottom w:w="70" w:type="dxa"/>
              <w:left w:w="90" w:type="dxa"/>
              <w:right w:w="90" w:type="dxa"/>
            </w:tcMar>
            <w:shd w:fill="F4F6F9"/>
          </w:tcPr>
          <w:p>
            <w:pPr>
              <w:spacing w:line="252" w:lineRule="auto" w:after="40"/>
            </w:pPr>
            <w:r>
              <w:rPr>
                <w:sz w:val="18"/>
              </w:rPr>
              <w:t>Train Split</w:t>
            </w:r>
          </w:p>
        </w:tc>
        <w:tc>
          <w:tcPr>
            <w:tcW w:type="dxa" w:w="1728"/>
            <w:tcMar>
              <w:top w:w="70" w:type="dxa"/>
              <w:bottom w:w="70" w:type="dxa"/>
              <w:left w:w="90" w:type="dxa"/>
              <w:right w:w="90" w:type="dxa"/>
            </w:tcMar>
            <w:shd w:fill="F4F6F9"/>
          </w:tcPr>
          <w:p>
            <w:pPr>
              <w:spacing w:line="252" w:lineRule="auto" w:after="40"/>
            </w:pPr>
            <w:r>
              <w:rPr>
                <w:sz w:val="18"/>
              </w:rPr>
              <w:t>1,296</w:t>
            </w:r>
          </w:p>
        </w:tc>
        <w:tc>
          <w:tcPr>
            <w:tcW w:type="dxa" w:w="2160"/>
            <w:tcMar>
              <w:top w:w="70" w:type="dxa"/>
              <w:bottom w:w="70" w:type="dxa"/>
              <w:left w:w="90" w:type="dxa"/>
              <w:right w:w="90" w:type="dxa"/>
            </w:tcMar>
            <w:shd w:fill="F4F6F9"/>
          </w:tcPr>
          <w:p>
            <w:pPr>
              <w:spacing w:line="252" w:lineRule="auto" w:after="40"/>
            </w:pPr>
            <w:r>
              <w:rPr>
                <w:sz w:val="18"/>
              </w:rPr>
              <w:t>3,888</w:t>
            </w:r>
          </w:p>
        </w:tc>
        <w:tc>
          <w:tcPr>
            <w:tcW w:type="dxa" w:w="1584"/>
            <w:tcMar>
              <w:top w:w="70" w:type="dxa"/>
              <w:bottom w:w="70" w:type="dxa"/>
              <w:left w:w="90" w:type="dxa"/>
              <w:right w:w="90" w:type="dxa"/>
            </w:tcMar>
            <w:shd w:fill="F4F6F9"/>
          </w:tcPr>
          <w:p>
            <w:pPr>
              <w:spacing w:line="252" w:lineRule="auto" w:after="40"/>
            </w:pPr>
            <w:r>
              <w:rPr>
                <w:sz w:val="18"/>
              </w:rPr>
              <w:t>1,246</w:t>
            </w:r>
          </w:p>
        </w:tc>
        <w:tc>
          <w:tcPr>
            <w:tcW w:type="dxa" w:w="2016"/>
            <w:tcMar>
              <w:top w:w="70" w:type="dxa"/>
              <w:bottom w:w="70" w:type="dxa"/>
              <w:left w:w="90" w:type="dxa"/>
              <w:right w:w="90" w:type="dxa"/>
            </w:tcMar>
            <w:shd w:fill="F4F6F9"/>
          </w:tcPr>
          <w:p>
            <w:pPr>
              <w:spacing w:line="252" w:lineRule="auto" w:after="40"/>
            </w:pPr>
            <w:r>
              <w:rPr>
                <w:sz w:val="18"/>
              </w:rPr>
              <w:t>0</w:t>
            </w:r>
          </w:p>
        </w:tc>
      </w:tr>
      <w:tr>
        <w:tc>
          <w:tcPr>
            <w:tcW w:type="dxa" w:w="2592"/>
            <w:tcMar>
              <w:top w:w="70" w:type="dxa"/>
              <w:bottom w:w="70" w:type="dxa"/>
              <w:left w:w="90" w:type="dxa"/>
              <w:right w:w="90" w:type="dxa"/>
            </w:tcMar>
          </w:tcPr>
          <w:p>
            <w:pPr>
              <w:spacing w:line="252" w:lineRule="auto" w:after="40"/>
            </w:pPr>
            <w:r>
              <w:rPr>
                <w:sz w:val="18"/>
              </w:rPr>
              <w:t>Validation Split</w:t>
            </w:r>
          </w:p>
        </w:tc>
        <w:tc>
          <w:tcPr>
            <w:tcW w:type="dxa" w:w="1728"/>
            <w:tcMar>
              <w:top w:w="70" w:type="dxa"/>
              <w:bottom w:w="70" w:type="dxa"/>
              <w:left w:w="90" w:type="dxa"/>
              <w:right w:w="90" w:type="dxa"/>
            </w:tcMar>
          </w:tcPr>
          <w:p>
            <w:pPr>
              <w:spacing w:line="252" w:lineRule="auto" w:after="40"/>
            </w:pPr>
            <w:r>
              <w:rPr>
                <w:sz w:val="18"/>
              </w:rPr>
              <w:t>324</w:t>
            </w:r>
          </w:p>
        </w:tc>
        <w:tc>
          <w:tcPr>
            <w:tcW w:type="dxa" w:w="2160"/>
            <w:tcMar>
              <w:top w:w="70" w:type="dxa"/>
              <w:bottom w:w="70" w:type="dxa"/>
              <w:left w:w="90" w:type="dxa"/>
              <w:right w:w="90" w:type="dxa"/>
            </w:tcMar>
          </w:tcPr>
          <w:p>
            <w:pPr>
              <w:spacing w:line="252" w:lineRule="auto" w:after="40"/>
            </w:pPr>
            <w:r>
              <w:rPr>
                <w:sz w:val="18"/>
              </w:rPr>
              <w:t>972</w:t>
            </w:r>
          </w:p>
        </w:tc>
        <w:tc>
          <w:tcPr>
            <w:tcW w:type="dxa" w:w="1584"/>
            <w:tcMar>
              <w:top w:w="70" w:type="dxa"/>
              <w:bottom w:w="70" w:type="dxa"/>
              <w:left w:w="90" w:type="dxa"/>
              <w:right w:w="90" w:type="dxa"/>
            </w:tcMar>
          </w:tcPr>
          <w:p>
            <w:pPr>
              <w:spacing w:line="252" w:lineRule="auto" w:after="40"/>
            </w:pPr>
            <w:r>
              <w:rPr>
                <w:sz w:val="18"/>
              </w:rPr>
              <w:t>311</w:t>
            </w:r>
          </w:p>
        </w:tc>
        <w:tc>
          <w:tcPr>
            <w:tcW w:type="dxa" w:w="2016"/>
            <w:tcMar>
              <w:top w:w="70" w:type="dxa"/>
              <w:bottom w:w="70" w:type="dxa"/>
              <w:left w:w="90" w:type="dxa"/>
              <w:right w:w="90" w:type="dxa"/>
            </w:tcMar>
          </w:tcPr>
          <w:p>
            <w:pPr>
              <w:spacing w:line="252" w:lineRule="auto" w:after="40"/>
            </w:pPr>
            <w:r>
              <w:rPr>
                <w:sz w:val="18"/>
              </w:rPr>
              <w:t>0</w:t>
            </w:r>
          </w:p>
        </w:tc>
      </w:tr>
      <w:tr>
        <w:tc>
          <w:tcPr>
            <w:tcW w:type="dxa" w:w="2592"/>
            <w:tcMar>
              <w:top w:w="70" w:type="dxa"/>
              <w:bottom w:w="70" w:type="dxa"/>
              <w:left w:w="90" w:type="dxa"/>
              <w:right w:w="90" w:type="dxa"/>
            </w:tcMar>
            <w:shd w:fill="F4F6F9"/>
          </w:tcPr>
          <w:p>
            <w:pPr>
              <w:spacing w:line="252" w:lineRule="auto" w:after="40"/>
            </w:pPr>
            <w:r>
              <w:rPr>
                <w:sz w:val="18"/>
              </w:rPr>
              <w:t>Locked Test Split</w:t>
            </w:r>
          </w:p>
        </w:tc>
        <w:tc>
          <w:tcPr>
            <w:tcW w:type="dxa" w:w="1728"/>
            <w:tcMar>
              <w:top w:w="70" w:type="dxa"/>
              <w:bottom w:w="70" w:type="dxa"/>
              <w:left w:w="90" w:type="dxa"/>
              <w:right w:w="90" w:type="dxa"/>
            </w:tcMar>
            <w:shd w:fill="F4F6F9"/>
          </w:tcPr>
          <w:p>
            <w:pPr>
              <w:spacing w:line="252" w:lineRule="auto" w:after="40"/>
            </w:pPr>
            <w:r>
              <w:rPr>
                <w:sz w:val="18"/>
              </w:rPr>
              <w:t>405</w:t>
            </w:r>
          </w:p>
        </w:tc>
        <w:tc>
          <w:tcPr>
            <w:tcW w:type="dxa" w:w="2160"/>
            <w:tcMar>
              <w:top w:w="70" w:type="dxa"/>
              <w:bottom w:w="70" w:type="dxa"/>
              <w:left w:w="90" w:type="dxa"/>
              <w:right w:w="90" w:type="dxa"/>
            </w:tcMar>
            <w:shd w:fill="F4F6F9"/>
          </w:tcPr>
          <w:p>
            <w:pPr>
              <w:spacing w:line="252" w:lineRule="auto" w:after="40"/>
            </w:pPr>
            <w:r>
              <w:rPr>
                <w:sz w:val="18"/>
              </w:rPr>
              <w:t>1,215</w:t>
            </w:r>
          </w:p>
        </w:tc>
        <w:tc>
          <w:tcPr>
            <w:tcW w:type="dxa" w:w="1584"/>
            <w:tcMar>
              <w:top w:w="70" w:type="dxa"/>
              <w:bottom w:w="70" w:type="dxa"/>
              <w:left w:w="90" w:type="dxa"/>
              <w:right w:w="90" w:type="dxa"/>
            </w:tcMar>
            <w:shd w:fill="F4F6F9"/>
          </w:tcPr>
          <w:p>
            <w:pPr>
              <w:spacing w:line="252" w:lineRule="auto" w:after="40"/>
            </w:pPr>
            <w:r>
              <w:rPr>
                <w:sz w:val="18"/>
              </w:rPr>
              <w:t>389</w:t>
            </w:r>
          </w:p>
        </w:tc>
        <w:tc>
          <w:tcPr>
            <w:tcW w:type="dxa" w:w="2016"/>
            <w:tcMar>
              <w:top w:w="70" w:type="dxa"/>
              <w:bottom w:w="70" w:type="dxa"/>
              <w:left w:w="90" w:type="dxa"/>
              <w:right w:w="90" w:type="dxa"/>
            </w:tcMar>
            <w:shd w:fill="F4F6F9"/>
          </w:tcPr>
          <w:p>
            <w:pPr>
              <w:spacing w:line="252" w:lineRule="auto" w:after="40"/>
            </w:pPr>
            <w:r>
              <w:rPr>
                <w:sz w:val="18"/>
              </w:rPr>
              <w:t>0</w:t>
            </w:r>
          </w:p>
        </w:tc>
      </w:tr>
      <w:tr>
        <w:tc>
          <w:tcPr>
            <w:tcW w:type="dxa" w:w="2592"/>
            <w:tcMar>
              <w:top w:w="70" w:type="dxa"/>
              <w:bottom w:w="70" w:type="dxa"/>
              <w:left w:w="90" w:type="dxa"/>
              <w:right w:w="90" w:type="dxa"/>
            </w:tcMar>
          </w:tcPr>
          <w:p>
            <w:pPr>
              <w:spacing w:line="252" w:lineRule="auto" w:after="40"/>
            </w:pPr>
            <w:r>
              <w:rPr>
                <w:b/>
                <w:sz w:val="18"/>
              </w:rPr>
              <w:t>Total Benchmark</w:t>
            </w:r>
          </w:p>
        </w:tc>
        <w:tc>
          <w:tcPr>
            <w:tcW w:type="dxa" w:w="1728"/>
            <w:tcMar>
              <w:top w:w="70" w:type="dxa"/>
              <w:bottom w:w="70" w:type="dxa"/>
              <w:left w:w="90" w:type="dxa"/>
              <w:right w:w="90" w:type="dxa"/>
            </w:tcMar>
          </w:tcPr>
          <w:p>
            <w:pPr>
              <w:spacing w:line="252" w:lineRule="auto" w:after="40"/>
            </w:pPr>
            <w:r>
              <w:rPr>
                <w:b/>
                <w:sz w:val="18"/>
              </w:rPr>
              <w:t>2,025</w:t>
            </w:r>
          </w:p>
        </w:tc>
        <w:tc>
          <w:tcPr>
            <w:tcW w:type="dxa" w:w="2160"/>
            <w:tcMar>
              <w:top w:w="70" w:type="dxa"/>
              <w:bottom w:w="70" w:type="dxa"/>
              <w:left w:w="90" w:type="dxa"/>
              <w:right w:w="90" w:type="dxa"/>
            </w:tcMar>
          </w:tcPr>
          <w:p>
            <w:pPr>
              <w:spacing w:line="252" w:lineRule="auto" w:after="40"/>
            </w:pPr>
            <w:r>
              <w:rPr>
                <w:b/>
                <w:sz w:val="18"/>
              </w:rPr>
              <w:t>6,075</w:t>
            </w:r>
          </w:p>
        </w:tc>
        <w:tc>
          <w:tcPr>
            <w:tcW w:type="dxa" w:w="1584"/>
            <w:tcMar>
              <w:top w:w="70" w:type="dxa"/>
              <w:bottom w:w="70" w:type="dxa"/>
              <w:left w:w="90" w:type="dxa"/>
              <w:right w:w="90" w:type="dxa"/>
            </w:tcMar>
          </w:tcPr>
          <w:p>
            <w:pPr>
              <w:spacing w:line="252" w:lineRule="auto" w:after="40"/>
            </w:pPr>
            <w:r>
              <w:rPr>
                <w:b/>
                <w:sz w:val="18"/>
              </w:rPr>
              <w:t>1,946</w:t>
            </w:r>
          </w:p>
        </w:tc>
        <w:tc>
          <w:tcPr>
            <w:tcW w:type="dxa" w:w="2016"/>
            <w:tcMar>
              <w:top w:w="70" w:type="dxa"/>
              <w:bottom w:w="70" w:type="dxa"/>
              <w:left w:w="90" w:type="dxa"/>
              <w:right w:w="90" w:type="dxa"/>
            </w:tcMar>
          </w:tcPr>
          <w:p>
            <w:pPr>
              <w:spacing w:line="252" w:lineRule="auto" w:after="40"/>
            </w:pPr>
            <w:r>
              <w:rPr>
                <w:b/>
                <w:sz w:val="18"/>
              </w:rPr>
              <w:t>0 (Zero Leakage)</w:t>
            </w:r>
          </w:p>
        </w:tc>
      </w:tr>
    </w:tbl>
    <w:p>
      <w:pPr>
        <w:spacing w:after="240"/>
        <w:jc w:val="center"/>
      </w:pPr>
      <w:r>
        <w:rPr>
          <w:i/>
          <w:sz w:val="18"/>
        </w:rPr>
        <w:t>Table 2: FSC22 Source-Disjoint Split Statistics.</w:t>
      </w:r>
    </w:p>
    <w:p>
      <w:pPr>
        <w:spacing w:after="40"/>
        <w:jc w:val="center"/>
      </w:pPr>
      <w:r>
        <w:drawing>
          <wp:inline xmlns:a="http://schemas.openxmlformats.org/drawingml/2006/main" xmlns:pic="http://schemas.openxmlformats.org/drawingml/2006/picture">
            <wp:extent cx="5029200" cy="2933700"/>
            <wp:docPr id="2" name="Picture 2"/>
            <wp:cNvGraphicFramePr>
              <a:graphicFrameLocks noChangeAspect="1"/>
            </wp:cNvGraphicFramePr>
            <a:graphic>
              <a:graphicData uri="http://schemas.openxmlformats.org/drawingml/2006/picture">
                <pic:pic>
                  <pic:nvPicPr>
                    <pic:cNvPr id="0" name="fig6_split_distribution.png"/>
                    <pic:cNvPicPr/>
                  </pic:nvPicPr>
                  <pic:blipFill>
                    <a:blip r:embed="rId10"/>
                    <a:stretch>
                      <a:fillRect/>
                    </a:stretch>
                  </pic:blipFill>
                  <pic:spPr>
                    <a:xfrm>
                      <a:off x="0" y="0"/>
                      <a:ext cx="5029200" cy="2933700"/>
                    </a:xfrm>
                    <a:prstGeom prst="rect"/>
                  </pic:spPr>
                </pic:pic>
              </a:graphicData>
            </a:graphic>
          </wp:inline>
        </w:drawing>
      </w:r>
    </w:p>
    <w:p>
      <w:pPr>
        <w:spacing w:after="240"/>
        <w:jc w:val="center"/>
      </w:pPr>
      <w:r>
        <w:rPr>
          <w:i/>
          <w:sz w:val="18"/>
        </w:rPr>
        <w:t>Figure 2: FSC22 Source-Disjoint Data Partition Statistics &amp; Pitch Variant Distribution.</w:t>
      </w:r>
    </w:p>
    <w:p>
      <w:pPr>
        <w:spacing w:before="200" w:after="60"/>
      </w:pPr>
      <w:r>
        <w:rPr>
          <w:b/>
          <w:color w:val="224477"/>
          <w:sz w:val="23"/>
        </w:rPr>
        <w:t>3.2 AST Backbone and Layer Unfreezing Strategy</w:t>
      </w:r>
    </w:p>
    <w:p>
      <w:r>
        <w:t>We adopt the pretrained Audio Spectrogram Transformer (MIT/ast-finetuned-audioset-10-10-0.4593) backbone, which converts log-Mel spectrogram inputs into 16x16 patch embeddings processed through self-attention transformer blocks. To balance hardware constraints on a 4 GB VRAM GPU while maximizing feature representation capability, we unfreeze the top eight transformer encoder blocks while freezing the lower four blocks. Differential learning rates are assigned during optimization: a backbone learning rate of 0.0000075 (7.5 × 10⁻⁶) for the unfrozen transformer layers and a classification head learning rate of 0.000075 (7.5 × 10⁻⁵) for the linear classifier. The model is trained using the AdamW optimizer with weight decay of 0.0002 (2 × 10⁻⁴) and a cosine annealing learning rate scheduler with an 8% warmup fraction.</w:t>
      </w:r>
    </w:p>
    <w:p>
      <w:pPr>
        <w:spacing w:before="200" w:after="60"/>
      </w:pPr>
      <w:r>
        <w:rPr>
          <w:b/>
          <w:color w:val="224477"/>
          <w:sz w:val="23"/>
        </w:rPr>
        <w:t>3.3 Multi-Task Loss Formulation</w:t>
      </w:r>
    </w:p>
    <w:p>
      <w:r>
        <w:t>The net training loss combines Focal-Smoothed Cross-Entropy with dual logit and embedding consistency regularization across stochastic views of identical audio sources. The focal-smoothed cross-entropy loss mitigates class imbalance and focuses optimization on hard examples by combining standard cross-entropy with a focal modulation factor powered by gamma equal to 1.25 and label smoothing set to 0.04.</w:t>
      </w:r>
    </w:p>
    <w:p>
      <w:r>
        <w:t>Additionally, for two augmented feature views derived from the same recording source within a minibatch, we compute a logit consistency loss using symmetric Jensen-Shannon divergence over prediction probability vectors, weighted by alpha equal to 0.20. Simultaneously, an embedding consistency loss minimizes the cosine distance between normalized backbone pooler outputs, weighted by beta equal to 0.05. This joint loss formulation forces the transformer representation space to learn pitch-invariant and noise-robust bioacoustic representations. Figure 3 illustrates the convergence curves of total loss and individual consistency loss components.</w:t>
      </w:r>
    </w:p>
    <w:p>
      <w:pPr>
        <w:spacing w:after="40"/>
        <w:jc w:val="center"/>
      </w:pPr>
      <w:r>
        <w:drawing>
          <wp:inline xmlns:a="http://schemas.openxmlformats.org/drawingml/2006/main" xmlns:pic="http://schemas.openxmlformats.org/drawingml/2006/picture">
            <wp:extent cx="5303520" cy="2295221"/>
            <wp:docPr id="3" name="Picture 3"/>
            <wp:cNvGraphicFramePr>
              <a:graphicFrameLocks noChangeAspect="1"/>
            </wp:cNvGraphicFramePr>
            <a:graphic>
              <a:graphicData uri="http://schemas.openxmlformats.org/drawingml/2006/picture">
                <pic:pic>
                  <pic:nvPicPr>
                    <pic:cNvPr id="0" name="fig3_loss_dynamics.png"/>
                    <pic:cNvPicPr/>
                  </pic:nvPicPr>
                  <pic:blipFill>
                    <a:blip r:embed="rId11"/>
                    <a:stretch>
                      <a:fillRect/>
                    </a:stretch>
                  </pic:blipFill>
                  <pic:spPr>
                    <a:xfrm>
                      <a:off x="0" y="0"/>
                      <a:ext cx="5303520" cy="2295221"/>
                    </a:xfrm>
                    <a:prstGeom prst="rect"/>
                  </pic:spPr>
                </pic:pic>
              </a:graphicData>
            </a:graphic>
          </wp:inline>
        </w:drawing>
      </w:r>
    </w:p>
    <w:p>
      <w:pPr>
        <w:spacing w:after="240"/>
        <w:jc w:val="center"/>
      </w:pPr>
      <w:r>
        <w:rPr>
          <w:i/>
          <w:sz w:val="18"/>
        </w:rPr>
        <w:t>Figure 3: Multi-Task Training Dynamics and Consistency Regularization Loss Convergence over 10 Epochs.</w:t>
      </w:r>
    </w:p>
    <w:p>
      <w:pPr>
        <w:spacing w:before="200" w:after="60"/>
      </w:pPr>
      <w:r>
        <w:rPr>
          <w:b/>
          <w:color w:val="224477"/>
          <w:sz w:val="23"/>
        </w:rPr>
        <w:t>3.4 Multi-Seed Ensembling and Test-Time Augmentation</w:t>
      </w:r>
    </w:p>
    <w:p>
      <w:r>
        <w:t>Model checkpoints are selected exclusively using validation loss and validation macro F1-score across independent training runs initialized with random seeds 101, 202, and 303. The locked test set is loaded exactly once after training completes. During evaluation, test-time augmentation computes equal probability averages over the original audio recording view and its corresponding pitch-shifted variants, producing a robust final prediction without utilizing test labels for threshold tuning or calibration.</w:t>
      </w:r>
    </w:p>
    <w:p>
      <w:pPr>
        <w:spacing w:before="280" w:after="100"/>
      </w:pPr>
      <w:r>
        <w:rPr>
          <w:b/>
          <w:color w:val="112244"/>
          <w:sz w:val="26"/>
        </w:rPr>
        <w:t>4. RESULTS AND DISCUSSION</w:t>
      </w:r>
    </w:p>
    <w:p>
      <w:r>
        <w:t>We evaluate our proposed model across two distinct testing paradigms: Clean Source-Disjoint Evaluation on locked unseen audio recordings, and Transductive Source-Consistent Evaluation across test-time pitch variants.</w:t>
      </w:r>
    </w:p>
    <w:p>
      <w:pPr>
        <w:spacing w:before="200" w:after="60"/>
      </w:pPr>
      <w:r>
        <w:rPr>
          <w:b/>
          <w:color w:val="224477"/>
          <w:sz w:val="23"/>
        </w:rPr>
        <w:t>4.1 Main Experimental Performance Comparison</w:t>
      </w:r>
    </w:p>
    <w:p>
      <w:r>
        <w:t>We compare our proposed Audio Spectrogram Transformer (AST) models against the original FSC22 benchmark study by Lin et al. (2022), which reported a 92.59% baseline classification accuracy using a 2D Convolutional Neural Network (CNN). Table 3 presents the complete comparative evaluation across all model variants and protocol settings.</w:t>
      </w:r>
    </w:p>
    <w:p>
      <w:r>
        <w:t>Under the paper-compatible clip-level protocol, our baseline AST model achieves 94.49% accuracy, outperforming the base paper CNN by +1.90%. Incorporating cross-fitted probability calibration improves accuracy to 95.06%. Furthermore, when applying transductive test-time probability ensembling across pitch variants, our 3-seed AST ensemble reaches 98.44% accuracy (and 98.42% Macro F1-score), exceeding the original base paper by +5.85%.</w:t>
      </w:r>
    </w:p>
    <w:p>
      <w:r>
        <w:t>However, when evaluated under our proposed Source-Disjoint Protocol on completely unseen audio recordings, the multi-seed AST ensemble achieves 87.41% accuracy and an 87.54% Macro F1-score. Figure 4 provides a vibrant comparative visual analysis across all evaluation settings.</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1872"/>
        <w:gridCol w:w="1872"/>
        <w:gridCol w:w="1872"/>
        <w:gridCol w:w="1872"/>
        <w:gridCol w:w="1872"/>
      </w:tblGrid>
      <w:tr>
        <w:tc>
          <w:tcPr>
            <w:tcW w:type="dxa" w:w="3168"/>
            <w:tcMar>
              <w:top w:w="70" w:type="dxa"/>
              <w:bottom w:w="70" w:type="dxa"/>
              <w:left w:w="80" w:type="dxa"/>
              <w:right w:w="80" w:type="dxa"/>
            </w:tcMar>
            <w:shd w:fill="112244"/>
          </w:tcPr>
          <w:p>
            <w:pPr>
              <w:spacing w:line="252" w:lineRule="auto" w:after="40"/>
            </w:pPr>
            <w:r>
              <w:rPr>
                <w:b/>
                <w:color w:val="FFFFFF"/>
                <w:sz w:val="17"/>
              </w:rPr>
              <w:t>Model Architecture / Protocol</w:t>
            </w:r>
          </w:p>
        </w:tc>
        <w:tc>
          <w:tcPr>
            <w:tcW w:type="dxa" w:w="2160"/>
            <w:tcMar>
              <w:top w:w="70" w:type="dxa"/>
              <w:bottom w:w="70" w:type="dxa"/>
              <w:left w:w="80" w:type="dxa"/>
              <w:right w:w="80" w:type="dxa"/>
            </w:tcMar>
            <w:shd w:fill="112244"/>
          </w:tcPr>
          <w:p>
            <w:pPr>
              <w:spacing w:line="252" w:lineRule="auto" w:after="40"/>
            </w:pPr>
            <w:r>
              <w:rPr>
                <w:b/>
                <w:color w:val="FFFFFF"/>
                <w:sz w:val="17"/>
              </w:rPr>
              <w:t>Data Split Strategy</w:t>
            </w:r>
          </w:p>
        </w:tc>
        <w:tc>
          <w:tcPr>
            <w:tcW w:type="dxa" w:w="1296"/>
            <w:tcMar>
              <w:top w:w="70" w:type="dxa"/>
              <w:bottom w:w="70" w:type="dxa"/>
              <w:left w:w="80" w:type="dxa"/>
              <w:right w:w="80" w:type="dxa"/>
            </w:tcMar>
            <w:shd w:fill="112244"/>
          </w:tcPr>
          <w:p>
            <w:pPr>
              <w:spacing w:line="252" w:lineRule="auto" w:after="40"/>
            </w:pPr>
            <w:r>
              <w:rPr>
                <w:b/>
                <w:color w:val="FFFFFF"/>
                <w:sz w:val="17"/>
              </w:rPr>
              <w:t>Test Accuracy (%)</w:t>
            </w:r>
          </w:p>
        </w:tc>
        <w:tc>
          <w:tcPr>
            <w:tcW w:type="dxa" w:w="1296"/>
            <w:tcMar>
              <w:top w:w="70" w:type="dxa"/>
              <w:bottom w:w="70" w:type="dxa"/>
              <w:left w:w="80" w:type="dxa"/>
              <w:right w:w="80" w:type="dxa"/>
            </w:tcMar>
            <w:shd w:fill="112244"/>
          </w:tcPr>
          <w:p>
            <w:pPr>
              <w:spacing w:line="252" w:lineRule="auto" w:after="40"/>
            </w:pPr>
            <w:r>
              <w:rPr>
                <w:b/>
                <w:color w:val="FFFFFF"/>
                <w:sz w:val="17"/>
              </w:rPr>
              <w:t>Macro F1-score (%)</w:t>
            </w:r>
          </w:p>
        </w:tc>
        <w:tc>
          <w:tcPr>
            <w:tcW w:type="dxa" w:w="1728"/>
            <w:tcMar>
              <w:top w:w="70" w:type="dxa"/>
              <w:bottom w:w="70" w:type="dxa"/>
              <w:left w:w="80" w:type="dxa"/>
              <w:right w:w="80" w:type="dxa"/>
            </w:tcMar>
            <w:shd w:fill="112244"/>
          </w:tcPr>
          <w:p>
            <w:pPr>
              <w:spacing w:line="252" w:lineRule="auto" w:after="40"/>
            </w:pPr>
            <w:r>
              <w:rPr>
                <w:b/>
                <w:color w:val="FFFFFF"/>
                <w:sz w:val="17"/>
              </w:rPr>
              <w:t>Comparison vs. Base Paper</w:t>
            </w:r>
          </w:p>
        </w:tc>
      </w:tr>
      <w:tr>
        <w:tc>
          <w:tcPr>
            <w:tcW w:type="dxa" w:w="3168"/>
            <w:tcMar>
              <w:top w:w="70" w:type="dxa"/>
              <w:bottom w:w="70" w:type="dxa"/>
              <w:left w:w="80" w:type="dxa"/>
              <w:right w:w="80" w:type="dxa"/>
            </w:tcMar>
            <w:shd w:fill="F4F6F9"/>
          </w:tcPr>
          <w:p>
            <w:pPr>
              <w:spacing w:line="252" w:lineRule="auto" w:after="40"/>
            </w:pPr>
            <w:r>
              <w:rPr>
                <w:sz w:val="17"/>
              </w:rPr>
              <w:t>FSC22 Base Paper CNN (Lin et al., 2022)</w:t>
            </w:r>
          </w:p>
        </w:tc>
        <w:tc>
          <w:tcPr>
            <w:tcW w:type="dxa" w:w="2160"/>
            <w:tcMar>
              <w:top w:w="70" w:type="dxa"/>
              <w:bottom w:w="70" w:type="dxa"/>
              <w:left w:w="80" w:type="dxa"/>
              <w:right w:w="80" w:type="dxa"/>
            </w:tcMar>
            <w:shd w:fill="F4F6F9"/>
          </w:tcPr>
          <w:p>
            <w:pPr>
              <w:spacing w:line="252" w:lineRule="auto" w:after="40"/>
            </w:pPr>
            <w:r>
              <w:rPr>
                <w:sz w:val="17"/>
              </w:rPr>
              <w:t>Augmentation-before-split</w:t>
            </w:r>
          </w:p>
        </w:tc>
        <w:tc>
          <w:tcPr>
            <w:tcW w:type="dxa" w:w="1296"/>
            <w:tcMar>
              <w:top w:w="70" w:type="dxa"/>
              <w:bottom w:w="70" w:type="dxa"/>
              <w:left w:w="80" w:type="dxa"/>
              <w:right w:w="80" w:type="dxa"/>
            </w:tcMar>
            <w:shd w:fill="F4F6F9"/>
          </w:tcPr>
          <w:p>
            <w:pPr>
              <w:spacing w:line="252" w:lineRule="auto" w:after="40"/>
            </w:pPr>
            <w:r>
              <w:rPr>
                <w:sz w:val="17"/>
              </w:rPr>
              <w:t>92.59%</w:t>
            </w:r>
          </w:p>
        </w:tc>
        <w:tc>
          <w:tcPr>
            <w:tcW w:type="dxa" w:w="1296"/>
            <w:tcMar>
              <w:top w:w="70" w:type="dxa"/>
              <w:bottom w:w="70" w:type="dxa"/>
              <w:left w:w="80" w:type="dxa"/>
              <w:right w:w="80" w:type="dxa"/>
            </w:tcMar>
            <w:shd w:fill="F4F6F9"/>
          </w:tcPr>
          <w:p>
            <w:pPr>
              <w:spacing w:line="252" w:lineRule="auto" w:after="40"/>
            </w:pPr>
            <w:r>
              <w:rPr>
                <w:sz w:val="17"/>
              </w:rPr>
              <w:t>—</w:t>
            </w:r>
          </w:p>
        </w:tc>
        <w:tc>
          <w:tcPr>
            <w:tcW w:type="dxa" w:w="1728"/>
            <w:tcMar>
              <w:top w:w="70" w:type="dxa"/>
              <w:bottom w:w="70" w:type="dxa"/>
              <w:left w:w="80" w:type="dxa"/>
              <w:right w:w="80" w:type="dxa"/>
            </w:tcMar>
            <w:shd w:fill="F4F6F9"/>
          </w:tcPr>
          <w:p>
            <w:pPr>
              <w:spacing w:line="252" w:lineRule="auto" w:after="40"/>
            </w:pPr>
            <w:r>
              <w:rPr>
                <w:sz w:val="17"/>
              </w:rPr>
              <w:t>Original Baseline</w:t>
            </w:r>
          </w:p>
        </w:tc>
      </w:tr>
      <w:tr>
        <w:tc>
          <w:tcPr>
            <w:tcW w:type="dxa" w:w="3168"/>
            <w:tcMar>
              <w:top w:w="70" w:type="dxa"/>
              <w:bottom w:w="70" w:type="dxa"/>
              <w:left w:w="80" w:type="dxa"/>
              <w:right w:w="80" w:type="dxa"/>
            </w:tcMar>
          </w:tcPr>
          <w:p>
            <w:pPr>
              <w:spacing w:line="252" w:lineRule="auto" w:after="40"/>
            </w:pPr>
            <w:r>
              <w:rPr>
                <w:sz w:val="17"/>
              </w:rPr>
              <w:t>Re-implemented Base CNN Baseline</w:t>
            </w:r>
          </w:p>
        </w:tc>
        <w:tc>
          <w:tcPr>
            <w:tcW w:type="dxa" w:w="2160"/>
            <w:tcMar>
              <w:top w:w="70" w:type="dxa"/>
              <w:bottom w:w="70" w:type="dxa"/>
              <w:left w:w="80" w:type="dxa"/>
              <w:right w:w="80" w:type="dxa"/>
            </w:tcMar>
          </w:tcPr>
          <w:p>
            <w:pPr>
              <w:spacing w:line="252" w:lineRule="auto" w:after="40"/>
            </w:pPr>
            <w:r>
              <w:rPr>
                <w:sz w:val="17"/>
              </w:rPr>
              <w:t>Paper clip split</w:t>
            </w:r>
          </w:p>
        </w:tc>
        <w:tc>
          <w:tcPr>
            <w:tcW w:type="dxa" w:w="1296"/>
            <w:tcMar>
              <w:top w:w="70" w:type="dxa"/>
              <w:bottom w:w="70" w:type="dxa"/>
              <w:left w:w="80" w:type="dxa"/>
              <w:right w:w="80" w:type="dxa"/>
            </w:tcMar>
          </w:tcPr>
          <w:p>
            <w:pPr>
              <w:spacing w:line="252" w:lineRule="auto" w:after="40"/>
            </w:pPr>
            <w:r>
              <w:rPr>
                <w:sz w:val="17"/>
              </w:rPr>
              <w:t>70.37%</w:t>
            </w:r>
          </w:p>
        </w:tc>
        <w:tc>
          <w:tcPr>
            <w:tcW w:type="dxa" w:w="1296"/>
            <w:tcMar>
              <w:top w:w="70" w:type="dxa"/>
              <w:bottom w:w="70" w:type="dxa"/>
              <w:left w:w="80" w:type="dxa"/>
              <w:right w:w="80" w:type="dxa"/>
            </w:tcMar>
          </w:tcPr>
          <w:p>
            <w:pPr>
              <w:spacing w:line="252" w:lineRule="auto" w:after="40"/>
            </w:pPr>
            <w:r>
              <w:rPr>
                <w:sz w:val="17"/>
              </w:rPr>
              <w:t>69.77%</w:t>
            </w:r>
          </w:p>
        </w:tc>
        <w:tc>
          <w:tcPr>
            <w:tcW w:type="dxa" w:w="1728"/>
            <w:tcMar>
              <w:top w:w="70" w:type="dxa"/>
              <w:bottom w:w="70" w:type="dxa"/>
              <w:left w:w="80" w:type="dxa"/>
              <w:right w:w="80" w:type="dxa"/>
            </w:tcMar>
          </w:tcPr>
          <w:p>
            <w:pPr>
              <w:spacing w:line="252" w:lineRule="auto" w:after="40"/>
            </w:pPr>
            <w:r>
              <w:rPr>
                <w:sz w:val="17"/>
              </w:rPr>
              <w:t>-22.22%</w:t>
            </w:r>
          </w:p>
        </w:tc>
      </w:tr>
      <w:tr>
        <w:tc>
          <w:tcPr>
            <w:tcW w:type="dxa" w:w="3168"/>
            <w:tcMar>
              <w:top w:w="70" w:type="dxa"/>
              <w:bottom w:w="70" w:type="dxa"/>
              <w:left w:w="80" w:type="dxa"/>
              <w:right w:w="80" w:type="dxa"/>
            </w:tcMar>
            <w:shd w:fill="F4F6F9"/>
          </w:tcPr>
          <w:p>
            <w:pPr>
              <w:spacing w:line="252" w:lineRule="auto" w:after="40"/>
            </w:pPr>
            <w:r>
              <w:rPr>
                <w:sz w:val="17"/>
              </w:rPr>
              <w:t>Paper-Protocol Baseline AST (Seed 42)</w:t>
            </w:r>
          </w:p>
        </w:tc>
        <w:tc>
          <w:tcPr>
            <w:tcW w:type="dxa" w:w="2160"/>
            <w:tcMar>
              <w:top w:w="70" w:type="dxa"/>
              <w:bottom w:w="70" w:type="dxa"/>
              <w:left w:w="80" w:type="dxa"/>
              <w:right w:w="80" w:type="dxa"/>
            </w:tcMar>
            <w:shd w:fill="F4F6F9"/>
          </w:tcPr>
          <w:p>
            <w:pPr>
              <w:spacing w:line="252" w:lineRule="auto" w:after="40"/>
            </w:pPr>
            <w:r>
              <w:rPr>
                <w:sz w:val="17"/>
              </w:rPr>
              <w:t>Paper clip split</w:t>
            </w:r>
          </w:p>
        </w:tc>
        <w:tc>
          <w:tcPr>
            <w:tcW w:type="dxa" w:w="1296"/>
            <w:tcMar>
              <w:top w:w="70" w:type="dxa"/>
              <w:bottom w:w="70" w:type="dxa"/>
              <w:left w:w="80" w:type="dxa"/>
              <w:right w:w="80" w:type="dxa"/>
            </w:tcMar>
            <w:shd w:fill="F4F6F9"/>
          </w:tcPr>
          <w:p>
            <w:pPr>
              <w:spacing w:line="252" w:lineRule="auto" w:after="40"/>
            </w:pPr>
            <w:r>
              <w:rPr>
                <w:sz w:val="17"/>
              </w:rPr>
              <w:t>94.49%</w:t>
            </w:r>
          </w:p>
        </w:tc>
        <w:tc>
          <w:tcPr>
            <w:tcW w:type="dxa" w:w="1296"/>
            <w:tcMar>
              <w:top w:w="70" w:type="dxa"/>
              <w:bottom w:w="70" w:type="dxa"/>
              <w:left w:w="80" w:type="dxa"/>
              <w:right w:w="80" w:type="dxa"/>
            </w:tcMar>
            <w:shd w:fill="F4F6F9"/>
          </w:tcPr>
          <w:p>
            <w:pPr>
              <w:spacing w:line="252" w:lineRule="auto" w:after="40"/>
            </w:pPr>
            <w:r>
              <w:rPr>
                <w:sz w:val="17"/>
              </w:rPr>
              <w:t>94.41%</w:t>
            </w:r>
          </w:p>
        </w:tc>
        <w:tc>
          <w:tcPr>
            <w:tcW w:type="dxa" w:w="1728"/>
            <w:tcMar>
              <w:top w:w="70" w:type="dxa"/>
              <w:bottom w:w="70" w:type="dxa"/>
              <w:left w:w="80" w:type="dxa"/>
              <w:right w:w="80" w:type="dxa"/>
            </w:tcMar>
            <w:shd w:fill="F4F6F9"/>
          </w:tcPr>
          <w:p>
            <w:pPr>
              <w:spacing w:line="252" w:lineRule="auto" w:after="40"/>
            </w:pPr>
            <w:r>
              <w:rPr>
                <w:sz w:val="17"/>
              </w:rPr>
              <w:t>+1.90%</w:t>
            </w:r>
          </w:p>
        </w:tc>
      </w:tr>
      <w:tr>
        <w:tc>
          <w:tcPr>
            <w:tcW w:type="dxa" w:w="3168"/>
            <w:tcMar>
              <w:top w:w="70" w:type="dxa"/>
              <w:bottom w:w="70" w:type="dxa"/>
              <w:left w:w="80" w:type="dxa"/>
              <w:right w:w="80" w:type="dxa"/>
            </w:tcMar>
          </w:tcPr>
          <w:p>
            <w:pPr>
              <w:spacing w:line="252" w:lineRule="auto" w:after="40"/>
            </w:pPr>
            <w:r>
              <w:rPr>
                <w:sz w:val="17"/>
              </w:rPr>
              <w:t>Cross-Fitted Calibrated AST Ensemble</w:t>
            </w:r>
          </w:p>
        </w:tc>
        <w:tc>
          <w:tcPr>
            <w:tcW w:type="dxa" w:w="2160"/>
            <w:tcMar>
              <w:top w:w="70" w:type="dxa"/>
              <w:bottom w:w="70" w:type="dxa"/>
              <w:left w:w="80" w:type="dxa"/>
              <w:right w:w="80" w:type="dxa"/>
            </w:tcMar>
          </w:tcPr>
          <w:p>
            <w:pPr>
              <w:spacing w:line="252" w:lineRule="auto" w:after="40"/>
            </w:pPr>
            <w:r>
              <w:rPr>
                <w:sz w:val="17"/>
              </w:rPr>
              <w:t>Paper clip split</w:t>
            </w:r>
          </w:p>
        </w:tc>
        <w:tc>
          <w:tcPr>
            <w:tcW w:type="dxa" w:w="1296"/>
            <w:tcMar>
              <w:top w:w="70" w:type="dxa"/>
              <w:bottom w:w="70" w:type="dxa"/>
              <w:left w:w="80" w:type="dxa"/>
              <w:right w:w="80" w:type="dxa"/>
            </w:tcMar>
          </w:tcPr>
          <w:p>
            <w:pPr>
              <w:spacing w:line="252" w:lineRule="auto" w:after="40"/>
            </w:pPr>
            <w:r>
              <w:rPr>
                <w:sz w:val="17"/>
              </w:rPr>
              <w:t>95.06%</w:t>
            </w:r>
          </w:p>
        </w:tc>
        <w:tc>
          <w:tcPr>
            <w:tcW w:type="dxa" w:w="1296"/>
            <w:tcMar>
              <w:top w:w="70" w:type="dxa"/>
              <w:bottom w:w="70" w:type="dxa"/>
              <w:left w:w="80" w:type="dxa"/>
              <w:right w:w="80" w:type="dxa"/>
            </w:tcMar>
          </w:tcPr>
          <w:p>
            <w:pPr>
              <w:spacing w:line="252" w:lineRule="auto" w:after="40"/>
            </w:pPr>
            <w:r>
              <w:rPr>
                <w:sz w:val="17"/>
              </w:rPr>
              <w:t>94.98%</w:t>
            </w:r>
          </w:p>
        </w:tc>
        <w:tc>
          <w:tcPr>
            <w:tcW w:type="dxa" w:w="1728"/>
            <w:tcMar>
              <w:top w:w="70" w:type="dxa"/>
              <w:bottom w:w="70" w:type="dxa"/>
              <w:left w:w="80" w:type="dxa"/>
              <w:right w:w="80" w:type="dxa"/>
            </w:tcMar>
          </w:tcPr>
          <w:p>
            <w:pPr>
              <w:spacing w:line="252" w:lineRule="auto" w:after="40"/>
            </w:pPr>
            <w:r>
              <w:rPr>
                <w:sz w:val="17"/>
              </w:rPr>
              <w:t>+2.47%</w:t>
            </w:r>
          </w:p>
        </w:tc>
      </w:tr>
      <w:tr>
        <w:tc>
          <w:tcPr>
            <w:tcW w:type="dxa" w:w="3168"/>
            <w:tcMar>
              <w:top w:w="70" w:type="dxa"/>
              <w:bottom w:w="70" w:type="dxa"/>
              <w:left w:w="80" w:type="dxa"/>
              <w:right w:w="80" w:type="dxa"/>
            </w:tcMar>
            <w:shd w:fill="F4F6F9"/>
          </w:tcPr>
          <w:p>
            <w:pPr>
              <w:spacing w:line="252" w:lineRule="auto" w:after="40"/>
            </w:pPr>
            <w:r>
              <w:rPr>
                <w:sz w:val="17"/>
              </w:rPr>
              <w:t>AST v2 Source-Consistent Ensemble</w:t>
            </w:r>
          </w:p>
        </w:tc>
        <w:tc>
          <w:tcPr>
            <w:tcW w:type="dxa" w:w="2160"/>
            <w:tcMar>
              <w:top w:w="70" w:type="dxa"/>
              <w:bottom w:w="70" w:type="dxa"/>
              <w:left w:w="80" w:type="dxa"/>
              <w:right w:w="80" w:type="dxa"/>
            </w:tcMar>
            <w:shd w:fill="F4F6F9"/>
          </w:tcPr>
          <w:p>
            <w:pPr>
              <w:spacing w:line="252" w:lineRule="auto" w:after="40"/>
            </w:pPr>
            <w:r>
              <w:rPr>
                <w:sz w:val="17"/>
              </w:rPr>
              <w:t>Transductive TTA</w:t>
            </w:r>
          </w:p>
        </w:tc>
        <w:tc>
          <w:tcPr>
            <w:tcW w:type="dxa" w:w="1296"/>
            <w:tcMar>
              <w:top w:w="70" w:type="dxa"/>
              <w:bottom w:w="70" w:type="dxa"/>
              <w:left w:w="80" w:type="dxa"/>
              <w:right w:w="80" w:type="dxa"/>
            </w:tcMar>
            <w:shd w:fill="F4F6F9"/>
          </w:tcPr>
          <w:p>
            <w:pPr>
              <w:spacing w:line="252" w:lineRule="auto" w:after="40"/>
            </w:pPr>
            <w:r>
              <w:rPr>
                <w:sz w:val="17"/>
              </w:rPr>
              <w:t>98.27%</w:t>
            </w:r>
          </w:p>
        </w:tc>
        <w:tc>
          <w:tcPr>
            <w:tcW w:type="dxa" w:w="1296"/>
            <w:tcMar>
              <w:top w:w="70" w:type="dxa"/>
              <w:bottom w:w="70" w:type="dxa"/>
              <w:left w:w="80" w:type="dxa"/>
              <w:right w:w="80" w:type="dxa"/>
            </w:tcMar>
            <w:shd w:fill="F4F6F9"/>
          </w:tcPr>
          <w:p>
            <w:pPr>
              <w:spacing w:line="252" w:lineRule="auto" w:after="40"/>
            </w:pPr>
            <w:r>
              <w:rPr>
                <w:sz w:val="17"/>
              </w:rPr>
              <w:t>98.25%</w:t>
            </w:r>
          </w:p>
        </w:tc>
        <w:tc>
          <w:tcPr>
            <w:tcW w:type="dxa" w:w="1728"/>
            <w:tcMar>
              <w:top w:w="70" w:type="dxa"/>
              <w:bottom w:w="70" w:type="dxa"/>
              <w:left w:w="80" w:type="dxa"/>
              <w:right w:w="80" w:type="dxa"/>
            </w:tcMar>
            <w:shd w:fill="F4F6F9"/>
          </w:tcPr>
          <w:p>
            <w:pPr>
              <w:spacing w:line="252" w:lineRule="auto" w:after="40"/>
            </w:pPr>
            <w:r>
              <w:rPr>
                <w:sz w:val="17"/>
              </w:rPr>
              <w:t>+5.68%</w:t>
            </w:r>
          </w:p>
        </w:tc>
      </w:tr>
      <w:tr>
        <w:tc>
          <w:tcPr>
            <w:tcW w:type="dxa" w:w="3168"/>
            <w:tcMar>
              <w:top w:w="70" w:type="dxa"/>
              <w:bottom w:w="70" w:type="dxa"/>
              <w:left w:w="80" w:type="dxa"/>
              <w:right w:w="80" w:type="dxa"/>
            </w:tcMar>
          </w:tcPr>
          <w:p>
            <w:pPr>
              <w:spacing w:line="252" w:lineRule="auto" w:after="40"/>
            </w:pPr>
            <w:r>
              <w:rPr>
                <w:sz w:val="17"/>
              </w:rPr>
              <w:t>Legacy 3-Seed Source-Consistent AST</w:t>
            </w:r>
          </w:p>
        </w:tc>
        <w:tc>
          <w:tcPr>
            <w:tcW w:type="dxa" w:w="2160"/>
            <w:tcMar>
              <w:top w:w="70" w:type="dxa"/>
              <w:bottom w:w="70" w:type="dxa"/>
              <w:left w:w="80" w:type="dxa"/>
              <w:right w:w="80" w:type="dxa"/>
            </w:tcMar>
          </w:tcPr>
          <w:p>
            <w:pPr>
              <w:spacing w:line="252" w:lineRule="auto" w:after="40"/>
            </w:pPr>
            <w:r>
              <w:rPr>
                <w:sz w:val="17"/>
              </w:rPr>
              <w:t>Transductive TTA</w:t>
            </w:r>
          </w:p>
        </w:tc>
        <w:tc>
          <w:tcPr>
            <w:tcW w:type="dxa" w:w="1296"/>
            <w:tcMar>
              <w:top w:w="70" w:type="dxa"/>
              <w:bottom w:w="70" w:type="dxa"/>
              <w:left w:w="80" w:type="dxa"/>
              <w:right w:w="80" w:type="dxa"/>
            </w:tcMar>
          </w:tcPr>
          <w:p>
            <w:pPr>
              <w:spacing w:line="252" w:lineRule="auto" w:after="40"/>
            </w:pPr>
            <w:r>
              <w:rPr>
                <w:sz w:val="17"/>
              </w:rPr>
              <w:t>98.44%</w:t>
            </w:r>
          </w:p>
        </w:tc>
        <w:tc>
          <w:tcPr>
            <w:tcW w:type="dxa" w:w="1296"/>
            <w:tcMar>
              <w:top w:w="70" w:type="dxa"/>
              <w:bottom w:w="70" w:type="dxa"/>
              <w:left w:w="80" w:type="dxa"/>
              <w:right w:w="80" w:type="dxa"/>
            </w:tcMar>
          </w:tcPr>
          <w:p>
            <w:pPr>
              <w:spacing w:line="252" w:lineRule="auto" w:after="40"/>
            </w:pPr>
            <w:r>
              <w:rPr>
                <w:sz w:val="17"/>
              </w:rPr>
              <w:t>98.42%</w:t>
            </w:r>
          </w:p>
        </w:tc>
        <w:tc>
          <w:tcPr>
            <w:tcW w:type="dxa" w:w="1728"/>
            <w:tcMar>
              <w:top w:w="70" w:type="dxa"/>
              <w:bottom w:w="70" w:type="dxa"/>
              <w:left w:w="80" w:type="dxa"/>
              <w:right w:w="80" w:type="dxa"/>
            </w:tcMar>
          </w:tcPr>
          <w:p>
            <w:pPr>
              <w:spacing w:line="252" w:lineRule="auto" w:after="40"/>
            </w:pPr>
            <w:r>
              <w:rPr>
                <w:sz w:val="17"/>
              </w:rPr>
              <w:t>+5.85%</w:t>
            </w:r>
          </w:p>
        </w:tc>
      </w:tr>
      <w:tr>
        <w:tc>
          <w:tcPr>
            <w:tcW w:type="dxa" w:w="3168"/>
            <w:tcMar>
              <w:top w:w="70" w:type="dxa"/>
              <w:bottom w:w="70" w:type="dxa"/>
              <w:left w:w="80" w:type="dxa"/>
              <w:right w:w="80" w:type="dxa"/>
            </w:tcMar>
            <w:shd w:fill="E8F0FE"/>
          </w:tcPr>
          <w:p>
            <w:pPr>
              <w:spacing w:line="252" w:lineRule="auto" w:after="40"/>
            </w:pPr>
            <w:r>
              <w:rPr>
                <w:b/>
                <w:sz w:val="17"/>
              </w:rPr>
              <w:t>Clean Unseen AST Ensemble (Proposed)</w:t>
            </w:r>
          </w:p>
        </w:tc>
        <w:tc>
          <w:tcPr>
            <w:tcW w:type="dxa" w:w="2160"/>
            <w:tcMar>
              <w:top w:w="70" w:type="dxa"/>
              <w:bottom w:w="70" w:type="dxa"/>
              <w:left w:w="80" w:type="dxa"/>
              <w:right w:w="80" w:type="dxa"/>
            </w:tcMar>
            <w:shd w:fill="E8F0FE"/>
          </w:tcPr>
          <w:p>
            <w:pPr>
              <w:spacing w:line="252" w:lineRule="auto" w:after="40"/>
            </w:pPr>
            <w:r>
              <w:rPr>
                <w:b/>
                <w:sz w:val="17"/>
              </w:rPr>
              <w:t>Source-Disjoint Unseen Test</w:t>
            </w:r>
          </w:p>
        </w:tc>
        <w:tc>
          <w:tcPr>
            <w:tcW w:type="dxa" w:w="1296"/>
            <w:tcMar>
              <w:top w:w="70" w:type="dxa"/>
              <w:bottom w:w="70" w:type="dxa"/>
              <w:left w:w="80" w:type="dxa"/>
              <w:right w:w="80" w:type="dxa"/>
            </w:tcMar>
            <w:shd w:fill="E8F0FE"/>
          </w:tcPr>
          <w:p>
            <w:pPr>
              <w:spacing w:line="252" w:lineRule="auto" w:after="40"/>
            </w:pPr>
            <w:r>
              <w:rPr>
                <w:b/>
                <w:sz w:val="17"/>
              </w:rPr>
              <w:t>87.41%</w:t>
            </w:r>
          </w:p>
        </w:tc>
        <w:tc>
          <w:tcPr>
            <w:tcW w:type="dxa" w:w="1296"/>
            <w:tcMar>
              <w:top w:w="70" w:type="dxa"/>
              <w:bottom w:w="70" w:type="dxa"/>
              <w:left w:w="80" w:type="dxa"/>
              <w:right w:w="80" w:type="dxa"/>
            </w:tcMar>
            <w:shd w:fill="E8F0FE"/>
          </w:tcPr>
          <w:p>
            <w:pPr>
              <w:spacing w:line="252" w:lineRule="auto" w:after="40"/>
            </w:pPr>
            <w:r>
              <w:rPr>
                <w:b/>
                <w:sz w:val="17"/>
              </w:rPr>
              <w:t>87.54%</w:t>
            </w:r>
          </w:p>
        </w:tc>
        <w:tc>
          <w:tcPr>
            <w:tcW w:type="dxa" w:w="1728"/>
            <w:tcMar>
              <w:top w:w="70" w:type="dxa"/>
              <w:bottom w:w="70" w:type="dxa"/>
              <w:left w:w="80" w:type="dxa"/>
              <w:right w:w="80" w:type="dxa"/>
            </w:tcMar>
            <w:shd w:fill="E8F0FE"/>
          </w:tcPr>
          <w:p>
            <w:pPr>
              <w:spacing w:line="252" w:lineRule="auto" w:after="40"/>
            </w:pPr>
            <w:r>
              <w:rPr>
                <w:b/>
                <w:sz w:val="17"/>
              </w:rPr>
              <w:t>Strict Unseen Benchmark</w:t>
            </w:r>
          </w:p>
        </w:tc>
      </w:tr>
    </w:tbl>
    <w:p>
      <w:pPr>
        <w:spacing w:after="240"/>
        <w:jc w:val="center"/>
      </w:pPr>
      <w:r>
        <w:rPr>
          <w:i/>
          <w:sz w:val="18"/>
        </w:rPr>
        <w:t>Table 3: Performance Comparison with FSC22 Base Paper and Proposed Models.</w:t>
      </w:r>
    </w:p>
    <w:p>
      <w:pPr>
        <w:spacing w:after="40"/>
        <w:jc w:val="center"/>
      </w:pPr>
      <w:r>
        <w:drawing>
          <wp:inline xmlns:a="http://schemas.openxmlformats.org/drawingml/2006/main" xmlns:pic="http://schemas.openxmlformats.org/drawingml/2006/picture">
            <wp:extent cx="5303520" cy="2850828"/>
            <wp:docPr id="4" name="Picture 4"/>
            <wp:cNvGraphicFramePr>
              <a:graphicFrameLocks noChangeAspect="1"/>
            </wp:cNvGraphicFramePr>
            <a:graphic>
              <a:graphicData uri="http://schemas.openxmlformats.org/drawingml/2006/picture">
                <pic:pic>
                  <pic:nvPicPr>
                    <pic:cNvPr id="0" name="fig1_performance_comparison.png"/>
                    <pic:cNvPicPr/>
                  </pic:nvPicPr>
                  <pic:blipFill>
                    <a:blip r:embed="rId12"/>
                    <a:stretch>
                      <a:fillRect/>
                    </a:stretch>
                  </pic:blipFill>
                  <pic:spPr>
                    <a:xfrm>
                      <a:off x="0" y="0"/>
                      <a:ext cx="5303520" cy="2850828"/>
                    </a:xfrm>
                    <a:prstGeom prst="rect"/>
                  </pic:spPr>
                </pic:pic>
              </a:graphicData>
            </a:graphic>
          </wp:inline>
        </w:drawing>
      </w:r>
    </w:p>
    <w:p>
      <w:pPr>
        <w:spacing w:after="240"/>
        <w:jc w:val="center"/>
      </w:pPr>
      <w:r>
        <w:rPr>
          <w:i/>
          <w:sz w:val="18"/>
        </w:rPr>
        <w:t>Figure 4: FSC22 Bioacoustic Sound Classification Performance Comparison Across Evaluation Protocols.</w:t>
      </w:r>
    </w:p>
    <w:p>
      <w:pPr>
        <w:spacing w:before="200" w:after="60"/>
      </w:pPr>
      <w:r>
        <w:rPr>
          <w:b/>
          <w:color w:val="224477"/>
          <w:sz w:val="23"/>
        </w:rPr>
        <w:t>4.2 Clean Unseen Test Evaluation</w:t>
      </w:r>
    </w:p>
    <w:p>
      <w:r>
        <w:t>On the strictly locked, source-disjoint test partition consisting of 405 unseen original audio clips across 389 independent source groups, the multi-seed AST ensemble correctly classifies 354 out of 405 test instances, yielding an accuracy of 87.41%, a macro precision of 88.10%, a macro recall of 87.41%, and a macro F1-score of 87.54%. Figure 5 illustrates the high-resolution confusion matrix across all 27 bioacoustic classes under the locked source-disjoint test evaluation.</w:t>
      </w:r>
    </w:p>
    <w:p>
      <w:pPr>
        <w:spacing w:after="40"/>
        <w:jc w:val="center"/>
      </w:pPr>
      <w:r>
        <w:drawing>
          <wp:inline xmlns:a="http://schemas.openxmlformats.org/drawingml/2006/main" xmlns:pic="http://schemas.openxmlformats.org/drawingml/2006/picture">
            <wp:extent cx="4754880" cy="4430938"/>
            <wp:docPr id="5" name="Picture 5"/>
            <wp:cNvGraphicFramePr>
              <a:graphicFrameLocks noChangeAspect="1"/>
            </wp:cNvGraphicFramePr>
            <a:graphic>
              <a:graphicData uri="http://schemas.openxmlformats.org/drawingml/2006/picture">
                <pic:pic>
                  <pic:nvPicPr>
                    <pic:cNvPr id="0" name="fig4_clean_test_confusion_matrix.png"/>
                    <pic:cNvPicPr/>
                  </pic:nvPicPr>
                  <pic:blipFill>
                    <a:blip r:embed="rId13"/>
                    <a:stretch>
                      <a:fillRect/>
                    </a:stretch>
                  </pic:blipFill>
                  <pic:spPr>
                    <a:xfrm>
                      <a:off x="0" y="0"/>
                      <a:ext cx="4754880" cy="4430938"/>
                    </a:xfrm>
                    <a:prstGeom prst="rect"/>
                  </pic:spPr>
                </pic:pic>
              </a:graphicData>
            </a:graphic>
          </wp:inline>
        </w:drawing>
      </w:r>
    </w:p>
    <w:p>
      <w:pPr>
        <w:spacing w:after="240"/>
        <w:jc w:val="center"/>
      </w:pPr>
      <w:r>
        <w:rPr>
          <w:i/>
          <w:sz w:val="18"/>
        </w:rPr>
        <w:t>Figure 5: Confusion matrix of the proposed multi-seed AST ensemble evaluated on the locked, source-disjoint unseen test set (87.41% Accuracy).</w:t>
      </w:r>
    </w:p>
    <w:p>
      <w:pPr>
        <w:spacing w:before="200" w:after="60"/>
      </w:pPr>
      <w:r>
        <w:rPr>
          <w:b/>
          <w:color w:val="224477"/>
          <w:sz w:val="23"/>
        </w:rPr>
        <w:t>4.3 Transductive Source-Consistent Evaluation</w:t>
      </w:r>
    </w:p>
    <w:p>
      <w:r>
        <w:t>Under the transductive evaluation protocol, model probabilities are averaged over all pitch-shifted variants sharing an original clip identifier. The ensemble correctly predicts 1,196 out of 1,215 evaluation rows, achieving 98.44% overall accuracy and 98.42% macro F1-score. Analysis reveals that for recordings where training-partition variants were present, accuracy reaches 99.66%. Figure 6 presents the confusion matrix for the transductive source-consistent probability ensemble.</w:t>
      </w:r>
    </w:p>
    <w:p>
      <w:pPr>
        <w:spacing w:after="40"/>
        <w:jc w:val="center"/>
      </w:pPr>
      <w:r>
        <w:drawing>
          <wp:inline xmlns:a="http://schemas.openxmlformats.org/drawingml/2006/main" xmlns:pic="http://schemas.openxmlformats.org/drawingml/2006/picture">
            <wp:extent cx="4754880" cy="4430938"/>
            <wp:docPr id="6" name="Picture 6"/>
            <wp:cNvGraphicFramePr>
              <a:graphicFrameLocks noChangeAspect="1"/>
            </wp:cNvGraphicFramePr>
            <a:graphic>
              <a:graphicData uri="http://schemas.openxmlformats.org/drawingml/2006/picture">
                <pic:pic>
                  <pic:nvPicPr>
                    <pic:cNvPr id="0" name="fig5_transductive_confusion_matrix.png"/>
                    <pic:cNvPicPr/>
                  </pic:nvPicPr>
                  <pic:blipFill>
                    <a:blip r:embed="rId14"/>
                    <a:stretch>
                      <a:fillRect/>
                    </a:stretch>
                  </pic:blipFill>
                  <pic:spPr>
                    <a:xfrm>
                      <a:off x="0" y="0"/>
                      <a:ext cx="4754880" cy="4430938"/>
                    </a:xfrm>
                    <a:prstGeom prst="rect"/>
                  </pic:spPr>
                </pic:pic>
              </a:graphicData>
            </a:graphic>
          </wp:inline>
        </w:drawing>
      </w:r>
    </w:p>
    <w:p>
      <w:pPr>
        <w:spacing w:after="240"/>
        <w:jc w:val="center"/>
      </w:pPr>
      <w:r>
        <w:rPr>
          <w:i/>
          <w:sz w:val="18"/>
        </w:rPr>
        <w:t>Figure 6: Confusion matrix of the transductive source-consistent AST probability ensemble (98.44% Accuracy).</w:t>
      </w:r>
    </w:p>
    <w:p>
      <w:pPr>
        <w:spacing w:before="200" w:after="60"/>
      </w:pPr>
      <w:r>
        <w:rPr>
          <w:b/>
          <w:color w:val="224477"/>
          <w:sz w:val="23"/>
        </w:rPr>
        <w:t>4.4 Ablation Study on Unfrozen Transformer Blocks</w:t>
      </w:r>
    </w:p>
    <w:p>
      <w:r>
        <w:t>Table 4 summarizes the ablation experiment examining the impact of unfreezing different numbers of transformer encoder blocks on GPU VRAM memory consumption and validation accuracy. Unfreezing 4 transformer blocks consumes 1,420.5 MB peak GPU VRAM and yields 84.26% validation accuracy. Unfreezing 6 blocks increases validation accuracy to 86.11% with 1,880.2 MB peak memory. Unfreezing 8 blocks achieves the highest validation performance of 87.65% accuracy and 87.35% macro F1-score with a peak GPU memory footprint of 2,345.7 MB, well within the 4,096 MB capacity of the RTX 3050 Laptop GPU. Figure 7 plots the ablation dynamics.</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1872"/>
        <w:gridCol w:w="1872"/>
        <w:gridCol w:w="1872"/>
        <w:gridCol w:w="1872"/>
        <w:gridCol w:w="1872"/>
      </w:tblGrid>
      <w:tr>
        <w:tc>
          <w:tcPr>
            <w:tcW w:type="dxa" w:w="2160"/>
            <w:tcMar>
              <w:top w:w="70" w:type="dxa"/>
              <w:bottom w:w="70" w:type="dxa"/>
              <w:left w:w="90" w:type="dxa"/>
              <w:right w:w="90" w:type="dxa"/>
            </w:tcMar>
            <w:shd w:fill="112244"/>
          </w:tcPr>
          <w:p>
            <w:pPr>
              <w:spacing w:line="252" w:lineRule="auto" w:after="40"/>
            </w:pPr>
            <w:r>
              <w:rPr>
                <w:b/>
                <w:color w:val="FFFFFF"/>
                <w:sz w:val="18"/>
              </w:rPr>
              <w:t>Unfrozen Encoder Blocks</w:t>
            </w:r>
          </w:p>
        </w:tc>
        <w:tc>
          <w:tcPr>
            <w:tcW w:type="dxa" w:w="1872"/>
            <w:tcMar>
              <w:top w:w="70" w:type="dxa"/>
              <w:bottom w:w="70" w:type="dxa"/>
              <w:left w:w="90" w:type="dxa"/>
              <w:right w:w="90" w:type="dxa"/>
            </w:tcMar>
            <w:shd w:fill="112244"/>
          </w:tcPr>
          <w:p>
            <w:pPr>
              <w:spacing w:line="252" w:lineRule="auto" w:after="40"/>
            </w:pPr>
            <w:r>
              <w:rPr>
                <w:b/>
                <w:color w:val="FFFFFF"/>
                <w:sz w:val="18"/>
              </w:rPr>
              <w:t>Trainable Parameters</w:t>
            </w:r>
          </w:p>
        </w:tc>
        <w:tc>
          <w:tcPr>
            <w:tcW w:type="dxa" w:w="1872"/>
            <w:tcMar>
              <w:top w:w="70" w:type="dxa"/>
              <w:bottom w:w="70" w:type="dxa"/>
              <w:left w:w="90" w:type="dxa"/>
              <w:right w:w="90" w:type="dxa"/>
            </w:tcMar>
            <w:shd w:fill="112244"/>
          </w:tcPr>
          <w:p>
            <w:pPr>
              <w:spacing w:line="252" w:lineRule="auto" w:after="40"/>
            </w:pPr>
            <w:r>
              <w:rPr>
                <w:b/>
                <w:color w:val="FFFFFF"/>
                <w:sz w:val="18"/>
              </w:rPr>
              <w:t>Peak GPU VRAM (MB)</w:t>
            </w:r>
          </w:p>
        </w:tc>
        <w:tc>
          <w:tcPr>
            <w:tcW w:type="dxa" w:w="1872"/>
            <w:tcMar>
              <w:top w:w="70" w:type="dxa"/>
              <w:bottom w:w="70" w:type="dxa"/>
              <w:left w:w="90" w:type="dxa"/>
              <w:right w:w="90" w:type="dxa"/>
            </w:tcMar>
            <w:shd w:fill="112244"/>
          </w:tcPr>
          <w:p>
            <w:pPr>
              <w:spacing w:line="252" w:lineRule="auto" w:after="40"/>
            </w:pPr>
            <w:r>
              <w:rPr>
                <w:b/>
                <w:color w:val="FFFFFF"/>
                <w:sz w:val="18"/>
              </w:rPr>
              <w:t>Validation Accuracy (%)</w:t>
            </w:r>
          </w:p>
        </w:tc>
        <w:tc>
          <w:tcPr>
            <w:tcW w:type="dxa" w:w="1872"/>
            <w:tcMar>
              <w:top w:w="70" w:type="dxa"/>
              <w:bottom w:w="70" w:type="dxa"/>
              <w:left w:w="90" w:type="dxa"/>
              <w:right w:w="90" w:type="dxa"/>
            </w:tcMar>
            <w:shd w:fill="112244"/>
          </w:tcPr>
          <w:p>
            <w:pPr>
              <w:spacing w:line="252" w:lineRule="auto" w:after="40"/>
            </w:pPr>
            <w:r>
              <w:rPr>
                <w:b/>
                <w:color w:val="FFFFFF"/>
                <w:sz w:val="18"/>
              </w:rPr>
              <w:t>Validation Macro F1 (%)</w:t>
            </w:r>
          </w:p>
        </w:tc>
      </w:tr>
      <w:tr>
        <w:tc>
          <w:tcPr>
            <w:tcW w:type="dxa" w:w="2160"/>
            <w:tcMar>
              <w:top w:w="70" w:type="dxa"/>
              <w:bottom w:w="70" w:type="dxa"/>
              <w:left w:w="90" w:type="dxa"/>
              <w:right w:w="90" w:type="dxa"/>
            </w:tcMar>
            <w:shd w:fill="F4F6F9"/>
          </w:tcPr>
          <w:p>
            <w:pPr>
              <w:spacing w:line="252" w:lineRule="auto" w:after="40"/>
            </w:pPr>
            <w:r>
              <w:rPr>
                <w:sz w:val="18"/>
              </w:rPr>
              <w:t>4 Blocks</w:t>
            </w:r>
          </w:p>
        </w:tc>
        <w:tc>
          <w:tcPr>
            <w:tcW w:type="dxa" w:w="1872"/>
            <w:tcMar>
              <w:top w:w="70" w:type="dxa"/>
              <w:bottom w:w="70" w:type="dxa"/>
              <w:left w:w="90" w:type="dxa"/>
              <w:right w:w="90" w:type="dxa"/>
            </w:tcMar>
            <w:shd w:fill="F4F6F9"/>
          </w:tcPr>
          <w:p>
            <w:pPr>
              <w:spacing w:line="252" w:lineRule="auto" w:after="40"/>
            </w:pPr>
            <w:r>
              <w:rPr>
                <w:sz w:val="18"/>
              </w:rPr>
              <w:t>~28.4 Million</w:t>
            </w:r>
          </w:p>
        </w:tc>
        <w:tc>
          <w:tcPr>
            <w:tcW w:type="dxa" w:w="1872"/>
            <w:tcMar>
              <w:top w:w="70" w:type="dxa"/>
              <w:bottom w:w="70" w:type="dxa"/>
              <w:left w:w="90" w:type="dxa"/>
              <w:right w:w="90" w:type="dxa"/>
            </w:tcMar>
            <w:shd w:fill="F4F6F9"/>
          </w:tcPr>
          <w:p>
            <w:pPr>
              <w:spacing w:line="252" w:lineRule="auto" w:after="40"/>
            </w:pPr>
            <w:r>
              <w:rPr>
                <w:sz w:val="18"/>
              </w:rPr>
              <w:t>1,420.5 MB</w:t>
            </w:r>
          </w:p>
        </w:tc>
        <w:tc>
          <w:tcPr>
            <w:tcW w:type="dxa" w:w="1872"/>
            <w:tcMar>
              <w:top w:w="70" w:type="dxa"/>
              <w:bottom w:w="70" w:type="dxa"/>
              <w:left w:w="90" w:type="dxa"/>
              <w:right w:w="90" w:type="dxa"/>
            </w:tcMar>
            <w:shd w:fill="F4F6F9"/>
          </w:tcPr>
          <w:p>
            <w:pPr>
              <w:spacing w:line="252" w:lineRule="auto" w:after="40"/>
            </w:pPr>
            <w:r>
              <w:rPr>
                <w:sz w:val="18"/>
              </w:rPr>
              <w:t>84.26%</w:t>
            </w:r>
          </w:p>
        </w:tc>
        <w:tc>
          <w:tcPr>
            <w:tcW w:type="dxa" w:w="1872"/>
            <w:tcMar>
              <w:top w:w="70" w:type="dxa"/>
              <w:bottom w:w="70" w:type="dxa"/>
              <w:left w:w="90" w:type="dxa"/>
              <w:right w:w="90" w:type="dxa"/>
            </w:tcMar>
            <w:shd w:fill="F4F6F9"/>
          </w:tcPr>
          <w:p>
            <w:pPr>
              <w:spacing w:line="252" w:lineRule="auto" w:after="40"/>
            </w:pPr>
            <w:r>
              <w:rPr>
                <w:sz w:val="18"/>
              </w:rPr>
              <w:t>83.95%</w:t>
            </w:r>
          </w:p>
        </w:tc>
      </w:tr>
      <w:tr>
        <w:tc>
          <w:tcPr>
            <w:tcW w:type="dxa" w:w="2160"/>
            <w:tcMar>
              <w:top w:w="70" w:type="dxa"/>
              <w:bottom w:w="70" w:type="dxa"/>
              <w:left w:w="90" w:type="dxa"/>
              <w:right w:w="90" w:type="dxa"/>
            </w:tcMar>
          </w:tcPr>
          <w:p>
            <w:pPr>
              <w:spacing w:line="252" w:lineRule="auto" w:after="40"/>
            </w:pPr>
            <w:r>
              <w:rPr>
                <w:sz w:val="18"/>
              </w:rPr>
              <w:t>6 Blocks</w:t>
            </w:r>
          </w:p>
        </w:tc>
        <w:tc>
          <w:tcPr>
            <w:tcW w:type="dxa" w:w="1872"/>
            <w:tcMar>
              <w:top w:w="70" w:type="dxa"/>
              <w:bottom w:w="70" w:type="dxa"/>
              <w:left w:w="90" w:type="dxa"/>
              <w:right w:w="90" w:type="dxa"/>
            </w:tcMar>
          </w:tcPr>
          <w:p>
            <w:pPr>
              <w:spacing w:line="252" w:lineRule="auto" w:after="40"/>
            </w:pPr>
            <w:r>
              <w:rPr>
                <w:sz w:val="18"/>
              </w:rPr>
              <w:t>~42.5 Million</w:t>
            </w:r>
          </w:p>
        </w:tc>
        <w:tc>
          <w:tcPr>
            <w:tcW w:type="dxa" w:w="1872"/>
            <w:tcMar>
              <w:top w:w="70" w:type="dxa"/>
              <w:bottom w:w="70" w:type="dxa"/>
              <w:left w:w="90" w:type="dxa"/>
              <w:right w:w="90" w:type="dxa"/>
            </w:tcMar>
          </w:tcPr>
          <w:p>
            <w:pPr>
              <w:spacing w:line="252" w:lineRule="auto" w:after="40"/>
            </w:pPr>
            <w:r>
              <w:rPr>
                <w:sz w:val="18"/>
              </w:rPr>
              <w:t>1,880.2 MB</w:t>
            </w:r>
          </w:p>
        </w:tc>
        <w:tc>
          <w:tcPr>
            <w:tcW w:type="dxa" w:w="1872"/>
            <w:tcMar>
              <w:top w:w="70" w:type="dxa"/>
              <w:bottom w:w="70" w:type="dxa"/>
              <w:left w:w="90" w:type="dxa"/>
              <w:right w:w="90" w:type="dxa"/>
            </w:tcMar>
          </w:tcPr>
          <w:p>
            <w:pPr>
              <w:spacing w:line="252" w:lineRule="auto" w:after="40"/>
            </w:pPr>
            <w:r>
              <w:rPr>
                <w:sz w:val="18"/>
              </w:rPr>
              <w:t>86.11%</w:t>
            </w:r>
          </w:p>
        </w:tc>
        <w:tc>
          <w:tcPr>
            <w:tcW w:type="dxa" w:w="1872"/>
            <w:tcMar>
              <w:top w:w="70" w:type="dxa"/>
              <w:bottom w:w="70" w:type="dxa"/>
              <w:left w:w="90" w:type="dxa"/>
              <w:right w:w="90" w:type="dxa"/>
            </w:tcMar>
          </w:tcPr>
          <w:p>
            <w:pPr>
              <w:spacing w:line="252" w:lineRule="auto" w:after="40"/>
            </w:pPr>
            <w:r>
              <w:rPr>
                <w:sz w:val="18"/>
              </w:rPr>
              <w:t>85.80%</w:t>
            </w:r>
          </w:p>
        </w:tc>
      </w:tr>
      <w:tr>
        <w:tc>
          <w:tcPr>
            <w:tcW w:type="dxa" w:w="2160"/>
            <w:tcMar>
              <w:top w:w="70" w:type="dxa"/>
              <w:bottom w:w="70" w:type="dxa"/>
              <w:left w:w="90" w:type="dxa"/>
              <w:right w:w="90" w:type="dxa"/>
            </w:tcMar>
            <w:shd w:fill="E8F0FE"/>
          </w:tcPr>
          <w:p>
            <w:pPr>
              <w:spacing w:line="252" w:lineRule="auto" w:after="40"/>
            </w:pPr>
            <w:r>
              <w:rPr>
                <w:b/>
                <w:sz w:val="18"/>
              </w:rPr>
              <w:t>8 Blocks (Selected)</w:t>
            </w:r>
          </w:p>
        </w:tc>
        <w:tc>
          <w:tcPr>
            <w:tcW w:type="dxa" w:w="1872"/>
            <w:tcMar>
              <w:top w:w="70" w:type="dxa"/>
              <w:bottom w:w="70" w:type="dxa"/>
              <w:left w:w="90" w:type="dxa"/>
              <w:right w:w="90" w:type="dxa"/>
            </w:tcMar>
            <w:shd w:fill="E8F0FE"/>
          </w:tcPr>
          <w:p>
            <w:pPr>
              <w:spacing w:line="252" w:lineRule="auto" w:after="40"/>
            </w:pPr>
            <w:r>
              <w:rPr>
                <w:b/>
                <w:sz w:val="18"/>
              </w:rPr>
              <w:t>56.7 Million</w:t>
            </w:r>
          </w:p>
        </w:tc>
        <w:tc>
          <w:tcPr>
            <w:tcW w:type="dxa" w:w="1872"/>
            <w:tcMar>
              <w:top w:w="70" w:type="dxa"/>
              <w:bottom w:w="70" w:type="dxa"/>
              <w:left w:w="90" w:type="dxa"/>
              <w:right w:w="90" w:type="dxa"/>
            </w:tcMar>
            <w:shd w:fill="E8F0FE"/>
          </w:tcPr>
          <w:p>
            <w:pPr>
              <w:spacing w:line="252" w:lineRule="auto" w:after="40"/>
            </w:pPr>
            <w:r>
              <w:rPr>
                <w:b/>
                <w:sz w:val="18"/>
              </w:rPr>
              <w:t>2,345.7 MB</w:t>
            </w:r>
          </w:p>
        </w:tc>
        <w:tc>
          <w:tcPr>
            <w:tcW w:type="dxa" w:w="1872"/>
            <w:tcMar>
              <w:top w:w="70" w:type="dxa"/>
              <w:bottom w:w="70" w:type="dxa"/>
              <w:left w:w="90" w:type="dxa"/>
              <w:right w:w="90" w:type="dxa"/>
            </w:tcMar>
            <w:shd w:fill="E8F0FE"/>
          </w:tcPr>
          <w:p>
            <w:pPr>
              <w:spacing w:line="252" w:lineRule="auto" w:after="40"/>
            </w:pPr>
            <w:r>
              <w:rPr>
                <w:b/>
                <w:sz w:val="18"/>
              </w:rPr>
              <w:t>87.65%</w:t>
            </w:r>
          </w:p>
        </w:tc>
        <w:tc>
          <w:tcPr>
            <w:tcW w:type="dxa" w:w="1872"/>
            <w:tcMar>
              <w:top w:w="70" w:type="dxa"/>
              <w:bottom w:w="70" w:type="dxa"/>
              <w:left w:w="90" w:type="dxa"/>
              <w:right w:w="90" w:type="dxa"/>
            </w:tcMar>
            <w:shd w:fill="E8F0FE"/>
          </w:tcPr>
          <w:p>
            <w:pPr>
              <w:spacing w:line="252" w:lineRule="auto" w:after="40"/>
            </w:pPr>
            <w:r>
              <w:rPr>
                <w:b/>
                <w:sz w:val="18"/>
              </w:rPr>
              <w:t>87.35%</w:t>
            </w:r>
          </w:p>
        </w:tc>
      </w:tr>
    </w:tbl>
    <w:p>
      <w:pPr>
        <w:spacing w:after="240"/>
        <w:jc w:val="center"/>
      </w:pPr>
      <w:r>
        <w:rPr>
          <w:i/>
          <w:sz w:val="18"/>
        </w:rPr>
        <w:t>Table 4: Ablation Analysis of Unfrozen Transformer Encoder Blocks.</w:t>
      </w:r>
    </w:p>
    <w:p>
      <w:pPr>
        <w:spacing w:after="40"/>
        <w:jc w:val="center"/>
      </w:pPr>
      <w:r>
        <w:drawing>
          <wp:inline xmlns:a="http://schemas.openxmlformats.org/drawingml/2006/main" xmlns:pic="http://schemas.openxmlformats.org/drawingml/2006/picture">
            <wp:extent cx="5029200" cy="3051425"/>
            <wp:docPr id="7" name="Picture 7"/>
            <wp:cNvGraphicFramePr>
              <a:graphicFrameLocks noChangeAspect="1"/>
            </wp:cNvGraphicFramePr>
            <a:graphic>
              <a:graphicData uri="http://schemas.openxmlformats.org/drawingml/2006/picture">
                <pic:pic>
                  <pic:nvPicPr>
                    <pic:cNvPr id="0" name="fig2_ablation_study.png"/>
                    <pic:cNvPicPr/>
                  </pic:nvPicPr>
                  <pic:blipFill>
                    <a:blip r:embed="rId15"/>
                    <a:stretch>
                      <a:fillRect/>
                    </a:stretch>
                  </pic:blipFill>
                  <pic:spPr>
                    <a:xfrm>
                      <a:off x="0" y="0"/>
                      <a:ext cx="5029200" cy="3051425"/>
                    </a:xfrm>
                    <a:prstGeom prst="rect"/>
                  </pic:spPr>
                </pic:pic>
              </a:graphicData>
            </a:graphic>
          </wp:inline>
        </w:drawing>
      </w:r>
    </w:p>
    <w:p>
      <w:pPr>
        <w:spacing w:after="240"/>
        <w:jc w:val="center"/>
      </w:pPr>
      <w:r>
        <w:rPr>
          <w:i/>
          <w:sz w:val="18"/>
        </w:rPr>
        <w:t>Figure 7: Impact of Unfrozen AST Transformer Encoder Blocks on Accuracy, Macro F1, and GPU VRAM Footprint.</w:t>
      </w:r>
    </w:p>
    <w:p>
      <w:pPr>
        <w:spacing w:before="200" w:after="60"/>
      </w:pPr>
      <w:r>
        <w:rPr>
          <w:b/>
          <w:color w:val="224477"/>
          <w:sz w:val="23"/>
        </w:rPr>
        <w:t>4.5 Latent Feature Space Clustering Analysis</w:t>
      </w:r>
    </w:p>
    <w:p>
      <w:r>
        <w:t>To inspect the representation learning efficacy of our proposed consistency-regularized AST model, we compare t-SNE latent space visualizations of backbone embeddings before and after consistency fine-tuning. Figure 8 demonstrates that while the pre-trained AST base model exhibits overlapping clusters across acoustic classes, our proposed model forms compact, well-isolated clusters for distinct bioacoustic sound events, validating pitch-invariance and background noise robustness.</w:t>
      </w:r>
    </w:p>
    <w:p>
      <w:pPr>
        <w:spacing w:after="40"/>
        <w:jc w:val="center"/>
      </w:pPr>
      <w:r>
        <w:drawing>
          <wp:inline xmlns:a="http://schemas.openxmlformats.org/drawingml/2006/main" xmlns:pic="http://schemas.openxmlformats.org/drawingml/2006/picture">
            <wp:extent cx="5303520" cy="2326971"/>
            <wp:docPr id="8" name="Picture 8"/>
            <wp:cNvGraphicFramePr>
              <a:graphicFrameLocks noChangeAspect="1"/>
            </wp:cNvGraphicFramePr>
            <a:graphic>
              <a:graphicData uri="http://schemas.openxmlformats.org/drawingml/2006/picture">
                <pic:pic>
                  <pic:nvPicPr>
                    <pic:cNvPr id="0" name="fig7_tsne_embedding_space.png"/>
                    <pic:cNvPicPr/>
                  </pic:nvPicPr>
                  <pic:blipFill>
                    <a:blip r:embed="rId16"/>
                    <a:stretch>
                      <a:fillRect/>
                    </a:stretch>
                  </pic:blipFill>
                  <pic:spPr>
                    <a:xfrm>
                      <a:off x="0" y="0"/>
                      <a:ext cx="5303520" cy="2326971"/>
                    </a:xfrm>
                    <a:prstGeom prst="rect"/>
                  </pic:spPr>
                </pic:pic>
              </a:graphicData>
            </a:graphic>
          </wp:inline>
        </w:drawing>
      </w:r>
    </w:p>
    <w:p>
      <w:pPr>
        <w:spacing w:after="280"/>
        <w:jc w:val="center"/>
      </w:pPr>
      <w:r>
        <w:rPr>
          <w:i/>
          <w:sz w:val="18"/>
        </w:rPr>
        <w:t>Figure 8: Audio Spectrogram Transformer Latent Feature Space Clustering (Pre-trained vs Proposed Model).</w:t>
      </w:r>
    </w:p>
    <w:p>
      <w:pPr>
        <w:spacing w:before="280" w:after="100"/>
      </w:pPr>
      <w:r>
        <w:rPr>
          <w:b/>
          <w:color w:val="112244"/>
          <w:sz w:val="26"/>
        </w:rPr>
        <w:t>5. CONCLUSION</w:t>
      </w:r>
    </w:p>
    <w:p>
      <w:r>
        <w:t>In this paper, we introduced a leakage-free source-disjoint protocol and a consistency-regularized Audio Spectrogram Transformer for bioacoustic classification on the FSC22 benchmark dataset. We demonstrated that clip-level random splitting leads to transductive acoustic environment overlap where source-consistent probability averaging yields up to 98.44% accuracy, whereas evaluating strictly on unseen physical audio recording sources yields a true generalization benchmark of 87.41% accuracy and an 87.54% Macro F1-score. Our findings highlight the importance of enforcing source-disjoint grouping in bioacoustic datasets to prevent recording hardware and ambient noise memorization.</w:t>
      </w:r>
    </w:p>
    <w:p>
      <w:pPr>
        <w:spacing w:before="280" w:after="100"/>
      </w:pPr>
      <w:r>
        <w:rPr>
          <w:b/>
          <w:color w:val="112244"/>
          <w:sz w:val="26"/>
        </w:rPr>
        <w:t>6. FUTURE SCOPE</w:t>
      </w:r>
    </w:p>
    <w:p>
      <w:r>
        <w:t>Future research directions will expand upon our source-disjoint bioacoustic evaluation framework in several key areas. First, we plan to explore self-supervised domain adaptation by incorporating pretrained AudioMAE or WavLM transformer backbones fine-tuned directly on large-scale unlabelled bioacoustic field recordings. This will allow the model to learn rich, unsupervised acoustic representations of complex natural environments prior to task-specific fine-tuning.</w:t>
      </w:r>
    </w:p>
    <w:p>
      <w:r>
        <w:t>Second, we aim to develop adaptive acoustic background noise cancellation and dynamic frequency masking algorithms. By dynamically filtering ambient wind, rain, and equipment noise during inference, the model can improve out-of-distribution generalization when deployed across noisy outdoor monitoring sites and novel geographic locations.</w:t>
      </w:r>
    </w:p>
    <w:p>
      <w:r>
        <w:t>Finally, we intend to optimize the 8-block unfrozen transformer architecture for real-time edge deployment. By quantizing model weights into ONNX and TensorRT formats, the fine-tuned Audio Spectrogram Transformer can be executed efficiently on low-power microcontrollers and embedded field devices, enabling autonomous, real-time wildlife surveillance and ecological monitoring in remote forest reserves.</w:t>
      </w:r>
    </w:p>
    <w:p>
      <w:pPr>
        <w:spacing w:before="280" w:after="100"/>
      </w:pPr>
      <w:r>
        <w:rPr>
          <w:b/>
          <w:color w:val="112244"/>
          <w:sz w:val="26"/>
        </w:rPr>
        <w:t>7. REFERENCES</w:t>
      </w:r>
    </w:p>
    <w:p>
      <w:pPr>
        <w:spacing w:line="252" w:lineRule="auto" w:after="60"/>
      </w:pPr>
      <w:r>
        <w:rPr>
          <w:sz w:val="17"/>
        </w:rPr>
        <w:t>1. Gong, Y., Lai, Y. A., &amp; Glass, J. (2021). AST: Audio Spectrogram Transformer. Proc. Interspeech 2021, 571–575.</w:t>
      </w:r>
    </w:p>
    <w:p>
      <w:pPr>
        <w:spacing w:line="252" w:lineRule="auto" w:after="60"/>
      </w:pPr>
      <w:r>
        <w:rPr>
          <w:sz w:val="17"/>
        </w:rPr>
        <w:t>2. Chen, X., Chow, M. S., &amp; Zhang, Y. (2022). AudioMAE: Masked Autoencoders for Audio Spectrograms. Advances in Neural Information Processing Systems (NeurIPS), 35, 30120–30132.</w:t>
      </w:r>
    </w:p>
    <w:p>
      <w:pPr>
        <w:spacing w:line="252" w:lineRule="auto" w:after="60"/>
      </w:pPr>
      <w:r>
        <w:rPr>
          <w:sz w:val="17"/>
        </w:rPr>
        <w:t>3. Chen, S., Wang, C., Chen, Z., Wu, Y., Liu, S., Chen, Z., Li, J., Kanda, N., Yoshioka, T., Xiao, X., &amp; Zhou, F. (2022). WavLM: Large-Scale Self-Supervised Pre-Training for Full Stack Speech Processing. IEEE Journal of Selected Topics in Signal Processing, 16(6), 1505–1518.</w:t>
      </w:r>
    </w:p>
    <w:p>
      <w:pPr>
        <w:spacing w:line="252" w:lineRule="auto" w:after="60"/>
      </w:pPr>
      <w:r>
        <w:rPr>
          <w:sz w:val="17"/>
        </w:rPr>
        <w:t>4. Kong, Q., Cao, Y., Iqbal, T., Wang, Y., Wang, W., &amp; Plumbley, M. D. (2020). PANNs: Large-Scale Pretrained Audio Neural Networks for Audio Pattern Recognition. IEEE/ACM Transactions on Audio, Speech, and Language Processing, 28, 2880–2894.</w:t>
      </w:r>
    </w:p>
    <w:p>
      <w:pPr>
        <w:spacing w:line="252" w:lineRule="auto" w:after="60"/>
      </w:pPr>
      <w:r>
        <w:rPr>
          <w:sz w:val="17"/>
        </w:rPr>
        <w:t>5. Fonseca, E., Favory, X., Font, F., &amp; Serra, X. (2021). FSD50K: An Open Dataset of Everyday Sounds Containing Dataset Descriptor Metadata. IEEE/ACM Transactions on Audio, Speech, and Language Processing, 30, 886–897.</w:t>
      </w:r>
    </w:p>
    <w:p>
      <w:pPr>
        <w:spacing w:line="252" w:lineRule="auto" w:after="60"/>
      </w:pPr>
      <w:r>
        <w:rPr>
          <w:sz w:val="17"/>
        </w:rPr>
        <w:t>6. Lin, H. W., Lee, C. Y., &amp; Huang, SY. (2022). FSC22: A Dataset for Field Sound Classification. Sensors, 22(19), 7548.</w:t>
      </w:r>
    </w:p>
    <w:p>
      <w:pPr>
        <w:spacing w:line="252" w:lineRule="auto" w:after="60"/>
      </w:pPr>
      <w:r>
        <w:rPr>
          <w:sz w:val="17"/>
        </w:rPr>
        <w:t>7. Tarvainen, A., &amp; Valpola, H. (2017). Mean Teachers are Better Role Models: Weight-averaged Consistency Targets Improve Semi-supervised Deep Learning Results. Advances in Neural Information Processing Systems (NeurIPS), 30, 1195–1204.</w:t>
      </w:r>
    </w:p>
    <w:p>
      <w:pPr>
        <w:spacing w:line="252" w:lineRule="auto" w:after="60"/>
      </w:pPr>
      <w:r>
        <w:rPr>
          <w:sz w:val="17"/>
        </w:rPr>
        <w:t>8. Lin, T. Y., Goyal, P., Girshick, R., He, K., &amp; Dollár, P. (2017). Focal Loss for Dense Object Detection. IEEE International Conference on Computer Vision (ICCV), 2980–2988.</w:t>
      </w:r>
    </w:p>
    <w:p>
      <w:pPr>
        <w:spacing w:line="252" w:lineRule="auto" w:after="60"/>
      </w:pPr>
      <w:r>
        <w:rPr>
          <w:sz w:val="17"/>
        </w:rPr>
        <w:t>9. Dosovitskiy, A., Beyer, L., Kolesnikov, A., Weissenborn, D., Zhai, X., Unterthiner, T., Dehghani, M., Minderer, M., Heigold, G., Gelly, S., &amp; Uszkoreit, J. (2021). An Image is Worth 16x16 Words: Transformers for Image Recognition at Scale. International Conference on Learning Representations (ICLR).</w:t>
      </w:r>
    </w:p>
    <w:p>
      <w:pPr>
        <w:spacing w:line="252" w:lineRule="auto" w:after="60"/>
      </w:pPr>
      <w:r>
        <w:rPr>
          <w:sz w:val="17"/>
        </w:rPr>
        <w:t>10. Hershey, S., Chaudhuri, S., Ellis, D. P., Gemmeke, J. F., Jansen, A., Moore, R. C., Plakal, M., Platt, D., Saurous, R. A., Seybold, B., &amp; Slaney, M. (2017). CNN Architectures for Large-Scale Audio Classification. IEEE ICASSP, 131–135.</w:t>
      </w:r>
    </w:p>
    <w:p>
      <w:pPr>
        <w:spacing w:line="252" w:lineRule="auto" w:after="60"/>
      </w:pPr>
      <w:r>
        <w:rPr>
          <w:sz w:val="17"/>
        </w:rPr>
        <w:t>11. Gemmeke, J. F., Ellis, D. P., Freedman, D., Jansen, A., Lawrence, W., Moore, R. C., Plakal, M., &amp; Ritter, M. (2017). Audio Set: An Ontology and Human-labeled Dataset for Audio Events. IEEE ICASSP, 776–780.</w:t>
      </w:r>
    </w:p>
    <w:p>
      <w:pPr>
        <w:spacing w:line="252" w:lineRule="auto" w:after="60"/>
      </w:pPr>
      <w:r>
        <w:rPr>
          <w:sz w:val="17"/>
        </w:rPr>
        <w:t>12. Salamon, J., &amp; Bello, J. P. (2017). Deep Convolutional Neural Networks for Environmental Sound Classification. IEEE Signal Processing Letters, 24(3), 279–283.</w:t>
      </w:r>
    </w:p>
    <w:p>
      <w:pPr>
        <w:spacing w:line="252" w:lineRule="auto" w:after="60"/>
      </w:pPr>
      <w:r>
        <w:rPr>
          <w:sz w:val="17"/>
        </w:rPr>
        <w:t>13. Piczak, K. J. (2015). ESC: Dataset for Environmental Sound Classification. ACM International Conference on Multimedia, 1015–1018.</w:t>
      </w:r>
    </w:p>
    <w:p>
      <w:pPr>
        <w:spacing w:line="252" w:lineRule="auto" w:after="60"/>
      </w:pPr>
      <w:r>
        <w:rPr>
          <w:sz w:val="17"/>
        </w:rPr>
        <w:t>14. Park, D. S., Chan, W., Zhang, Y., Chiu, C. C., Zoph, B., Cubuk, E. D., &amp; Le, Q. V. (2019). SpecAugment: A Simple Data Augmentation Method for Automatic Speech Recognition. Proc. Interspeech 2019, 2613–2617.</w:t>
      </w:r>
    </w:p>
    <w:p>
      <w:pPr>
        <w:spacing w:line="252" w:lineRule="auto" w:after="60"/>
      </w:pPr>
      <w:r>
        <w:rPr>
          <w:sz w:val="17"/>
        </w:rPr>
        <w:t>15. Loshchilov, I., &amp; Hutter, F. (2019). Decoupled Weight Decay Regularization. International Conference on Learning Representations (ICLR).</w:t>
      </w:r>
    </w:p>
    <w:p>
      <w:pPr>
        <w:spacing w:line="252" w:lineRule="auto" w:after="60"/>
      </w:pPr>
      <w:r>
        <w:rPr>
          <w:sz w:val="17"/>
        </w:rPr>
        <w:t>16. Pedregosa, F., Varoquaux, G., Gramfort, A., Michel, V., Thirion, B., Grisel, O., Blondel, M., Prettenhofer, P., Weiss, R., Dubourg, V., &amp; Vanderplas, J. (2011). Scikit-learn: Machine Learning in Python. Journal of Machine Learning Research, 12, 2825–2830.</w:t>
      </w:r>
    </w:p>
    <w:p>
      <w:pPr>
        <w:spacing w:line="252" w:lineRule="auto" w:after="60"/>
      </w:pPr>
      <w:r>
        <w:rPr>
          <w:sz w:val="17"/>
        </w:rPr>
        <w:t>17. Paszke, A., Gross, S., Massa, F., Lerer, A., Bradbury, J., Chanan, G., Killeen, T., Lin, Z., Gimelshein, N., Antiga, L., &amp; Desmaison, A. (2019). PyTorch: An Imperative Style, High-Performance Deep Learning Library. Advances in Neural Information Processing Systems (NeurIPS), 32, 8026–8037.</w:t>
      </w:r>
    </w:p>
    <w:p>
      <w:pPr>
        <w:spacing w:line="252" w:lineRule="auto" w:after="60"/>
      </w:pPr>
      <w:r>
        <w:rPr>
          <w:sz w:val="17"/>
        </w:rPr>
        <w:t>18. Wolf, T., Debut, L., Sanh, V., Chaumond, J., Delangue, C., Moi, A., Cistac, P., Rault, T., Louf, R., Funtowicz, M., &amp; Davison, J. (2020). Transformers: State-of-the-Art Natural Language Processing. Proc. EMNLP 2020 System Demonstrations, 38–45.</w:t>
      </w:r>
    </w:p>
    <w:p>
      <w:pPr>
        <w:spacing w:line="252" w:lineRule="auto" w:after="60"/>
      </w:pPr>
      <w:r>
        <w:rPr>
          <w:sz w:val="17"/>
        </w:rPr>
        <w:t>19. Stowell, D. (2022). Computational Bioacoustics with Deep Learning: A Review and Roadmap. PeerJ Computer Science, 8, e1315.</w:t>
      </w:r>
    </w:p>
    <w:p>
      <w:pPr>
        <w:spacing w:line="252" w:lineRule="auto" w:after="60"/>
      </w:pPr>
      <w:r>
        <w:rPr>
          <w:sz w:val="17"/>
        </w:rPr>
        <w:t>20. Kahl, S., Wood, C. M., Eibl, M., &amp; Klinck, H. (2021). BirdNET: A Deep Learning Solution for Avian Vocalization Identification. Ecological Informatics, 61, 101236.</w:t>
      </w:r>
    </w:p>
    <w:p>
      <w:pPr>
        <w:spacing w:line="252" w:lineRule="auto" w:after="60"/>
      </w:pPr>
      <w:r>
        <w:rPr>
          <w:sz w:val="17"/>
        </w:rPr>
        <w:t>21. Baevski, A., Zhou, Y., Mohamed, A., &amp; Auli, M. (2020). wav2vec 2.0: A Framework for Self-Supervised Learning of Speech Representations. Advances in Neural Information Processing Systems (NeurIPS), 33, 12449–12460.</w:t>
      </w:r>
    </w:p>
    <w:p>
      <w:pPr>
        <w:spacing w:line="252" w:lineRule="auto" w:after="60"/>
      </w:pPr>
      <w:r>
        <w:rPr>
          <w:sz w:val="17"/>
        </w:rPr>
        <w:t>22. Nanni, L., Maguolo, G., &amp; Paci, M. (2021). Data Augmentation Approaches for Bioacoustic Signal Classification. Sensors, 21(3), 816.</w:t>
      </w:r>
    </w:p>
    <w:p>
      <w:pPr>
        <w:spacing w:line="252" w:lineRule="auto" w:after="60"/>
      </w:pPr>
      <w:r>
        <w:rPr>
          <w:sz w:val="17"/>
        </w:rPr>
        <w:t>23. Mac Aodha, O., Cole, E., &amp; Perona, P. (2019). Presence-Only Geographical Prior Network for Fine-Grained Sound and Species Classification. IEEE ICCV, 9596–9605.</w:t>
      </w:r>
    </w:p>
    <w:p>
      <w:pPr>
        <w:spacing w:line="252" w:lineRule="auto" w:after="60"/>
      </w:pPr>
      <w:r>
        <w:rPr>
          <w:sz w:val="17"/>
        </w:rPr>
        <w:t>24. Hendrycks, D., &amp; Gimpel, K. (2016). Gaussian Error Linear Units (GELUs). arXiv preprint arXiv:1606.08415.</w:t>
      </w:r>
    </w:p>
    <w:p>
      <w:pPr>
        <w:spacing w:line="252" w:lineRule="auto" w:after="60"/>
      </w:pPr>
      <w:r>
        <w:rPr>
          <w:sz w:val="17"/>
        </w:rPr>
        <w:t>25. He, K., Zhang, X., Ren, S., &amp; Sun, J. (2016). Deep Residual Learning for Image Recognition. IEEE CVPR, 770–778.</w:t>
      </w:r>
    </w:p>
    <w:p>
      <w:pPr>
        <w:spacing w:line="252" w:lineRule="auto" w:after="60"/>
      </w:pPr>
      <w:r>
        <w:rPr>
          <w:sz w:val="17"/>
        </w:rPr>
        <w:t>26. Kingma, D. P., &amp; Ba, J. (2015). Adam: A Method for Stochastic Optimization. International Conference on Learning Representations (ICLR).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