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Financial Audit &amp; Revenue Reconciliation</w:t>
      </w:r>
    </w:p>
    <w:p>
      <w:pPr>
        <w:pStyle w:val="Heading1"/>
      </w:pPr>
      <w:r>
        <w:t>1. Audit Summary &amp; Accounting Discrepancies</w:t>
      </w:r>
    </w:p>
    <w:p>
      <w:r>
        <w:t>The Corporate Internal Audit Group has completed its periodic examination of third-quarter commercial revenue. Following adjustments for promotional allowances, sales returns, and deferred marketplace commissions, recognized Net Commercial Revenue stands at $49.8M.</w:t>
      </w:r>
    </w:p>
    <w:p>
      <w:r>
        <w:t>Notice of Data Variance: Operating sales memoranda previously indicated gross booking volumes of $52.4M. The $2.6M variance represents unaccrued marketplace markdown charges and regional freight equalization deductions.</w:t>
      </w:r>
    </w:p>
    <w:p>
      <w:pPr>
        <w:pStyle w:val="Heading1"/>
      </w:pPr>
      <w:r>
        <w:t>2. Regional Revenue Reconciliation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Operating Region</w:t>
            </w:r>
          </w:p>
        </w:tc>
        <w:tc>
          <w:tcPr>
            <w:tcW w:type="dxa" w:w="2160"/>
          </w:tcPr>
          <w:p>
            <w:r>
              <w:t>Reported Revenue</w:t>
            </w:r>
          </w:p>
        </w:tc>
        <w:tc>
          <w:tcPr>
            <w:tcW w:type="dxa" w:w="2160"/>
          </w:tcPr>
          <w:p>
            <w:r>
              <w:t>Adjusted Margin</w:t>
            </w:r>
          </w:p>
        </w:tc>
        <w:tc>
          <w:tcPr>
            <w:tcW w:type="dxa" w:w="2160"/>
          </w:tcPr>
          <w:p>
            <w:r>
              <w:t>Audit Status</w:t>
            </w:r>
          </w:p>
        </w:tc>
      </w:tr>
      <w:tr>
        <w:tc>
          <w:tcPr>
            <w:tcW w:type="dxa" w:w="2160"/>
          </w:tcPr>
          <w:p>
            <w:r>
              <w:t>North America</w:t>
            </w:r>
          </w:p>
        </w:tc>
        <w:tc>
          <w:tcPr>
            <w:tcW w:type="dxa" w:w="2160"/>
          </w:tcPr>
          <w:p>
            <w:r>
              <w:t>$21.5M</w:t>
            </w:r>
          </w:p>
        </w:tc>
        <w:tc>
          <w:tcPr>
            <w:tcW w:type="dxa" w:w="2160"/>
          </w:tcPr>
          <w:p>
            <w:r>
              <w:t>$3.8M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Europe</w:t>
            </w:r>
          </w:p>
        </w:tc>
        <w:tc>
          <w:tcPr>
            <w:tcW w:type="dxa" w:w="2160"/>
          </w:tcPr>
          <w:p>
            <w:r>
              <w:t>$14.2M</w:t>
            </w:r>
          </w:p>
        </w:tc>
        <w:tc>
          <w:tcPr>
            <w:tcW w:type="dxa" w:w="2160"/>
          </w:tcPr>
          <w:p>
            <w:r>
              <w:t>$1.6M</w:t>
            </w:r>
          </w:p>
        </w:tc>
        <w:tc>
          <w:tcPr>
            <w:tcW w:type="dxa" w:w="2160"/>
          </w:tcPr>
          <w:p>
            <w:r>
              <w:t>Audit Adjustment</w:t>
            </w:r>
          </w:p>
        </w:tc>
      </w:tr>
      <w:tr>
        <w:tc>
          <w:tcPr>
            <w:tcW w:type="dxa" w:w="2160"/>
          </w:tcPr>
          <w:p>
            <w:r>
              <w:t>Asia Pacific</w:t>
            </w:r>
          </w:p>
        </w:tc>
        <w:tc>
          <w:tcPr>
            <w:tcW w:type="dxa" w:w="2160"/>
          </w:tcPr>
          <w:p>
            <w:r>
              <w:t>$9.6M</w:t>
            </w:r>
          </w:p>
        </w:tc>
        <w:tc>
          <w:tcPr>
            <w:tcW w:type="dxa" w:w="2160"/>
          </w:tcPr>
          <w:p>
            <w:r>
              <w:t>$1.9M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Latin America</w:t>
            </w:r>
          </w:p>
        </w:tc>
        <w:tc>
          <w:tcPr>
            <w:tcW w:type="dxa" w:w="2160"/>
          </w:tcPr>
          <w:p>
            <w:r>
              <w:t>$4.5M</w:t>
            </w:r>
          </w:p>
        </w:tc>
        <w:tc>
          <w:tcPr>
            <w:tcW w:type="dxa" w:w="2160"/>
          </w:tcPr>
          <w:p>
            <w:r>
              <w:t>$0.8M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1"/>
      </w:pPr>
      <w:r>
        <w:t>3. Internal Control Recommendations</w:t>
      </w:r>
    </w:p>
    <w:p>
      <w:r>
        <w:t>Audit recommendation: Institute automated daily ERP margin checks to prevent unapproved price degradation. Reconcile booking volumes with billing ledger on a continuous 48-hour cycle to avoid end-of-quarter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Internal Audit &amp; Financial Control Review</dc:title>
  <dc:subject/>
  <dc:creator>Corporate Financial Audit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