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Multi-Tenant Connectivity, Identity &amp; Retry Architecture</w:t>
      </w:r>
    </w:p>
    <w:p>
      <w:pPr>
        <w:spacing w:after="400"/>
      </w:pPr>
      <w:r>
        <w:rPr>
          <w:i/>
          <w:iCs/>
          <w:sz w:val="28"/>
          <w:szCs w:val="28"/>
        </w:rPr>
        <w:t xml:space="preserve">Level 1 Architecture Specification</w:t>
      </w:r>
    </w:p>
    <w:p>
      <w:pPr>
        <w:spacing w:after="120"/>
      </w:pPr>
      <w:r>
        <w:t xml:space="preserve">Status: Frozen — Level 1 &amp; Level 1.5 (Control Plane &amp; Lifecycle)</w:t>
      </w:r>
    </w:p>
    <w:p>
      <w:pPr>
        <w:spacing w:after="120"/>
      </w:pPr>
      <w:r>
        <w:t xml:space="preserve">Scope: SaaS platform (OCI/OKE) connectivity to hybrid tenant infrastructure (Kubernetes, ECS, VM, bare metal)</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Purpose and Requirements</w:t>
      </w:r>
    </w:p>
    <w:p>
      <w:pPr>
        <w:pStyle w:val="Heading2"/>
        <w:spacing w:after="150" w:before="300"/>
      </w:pPr>
      <w:r>
        <w:t xml:space="preserve">1.1 Problem Statement</w:t>
      </w:r>
    </w:p>
    <w:p>
      <w:pPr>
        <w:spacing w:after="120"/>
      </w:pPr>
      <w:r>
        <w:t xml:space="preserve">The platform is a SaaS product running on OCI/OKE, using platform-managed services (OCI Postgres, OpenSearch, etc.). Tenants operate in one of two modes:</w:t>
      </w:r>
    </w:p>
    <w:p>
      <w:pPr>
        <w:pStyle w:val="ListParagraph"/>
        <w:numPr>
          <w:ilvl w:val="0"/>
          <w:numId w:val="1"/>
        </w:numPr>
        <w:spacing w:after="60"/>
      </w:pPr>
      <w:r>
        <w:t xml:space="preserve">Full SaaS — all tenant workloads run on platform infrastructure.</w:t>
      </w:r>
    </w:p>
    <w:p>
      <w:pPr>
        <w:pStyle w:val="ListParagraph"/>
        <w:numPr>
          <w:ilvl w:val="0"/>
          <w:numId w:val="1"/>
        </w:numPr>
        <w:spacing w:after="60"/>
      </w:pPr>
      <w:r>
        <w:t xml:space="preserve">Hybrid — some tenant services and/or databases run on tenant-operated infrastructure, which may be Kubernetes, ECS, VMs, or bare metal, in any combination.</w:t>
      </w:r>
    </w:p>
    <w:p>
      <w:pPr>
        <w:spacing w:after="120"/>
      </w:pPr>
      <w:r>
        <w:t xml:space="preserve">The architecture must provide connectivity, identity, and resiliency (retries/circuit-breaking) across this hybrid topology without assuming a specific tenant substrate and without requiring privileged access to tenant infrastructure.</w:t>
      </w:r>
    </w:p>
    <w:p>
      <w:pPr>
        <w:pStyle w:val="Heading2"/>
        <w:spacing w:after="150" w:before="300"/>
      </w:pPr>
      <w:r>
        <w:t xml:space="preserve">1.2 Functional Requirements</w:t>
      </w:r>
    </w:p>
    <w:p>
      <w:pPr>
        <w:pStyle w:val="ListParagraph"/>
        <w:numPr>
          <w:ilvl w:val="0"/>
          <w:numId w:val="1"/>
        </w:numPr>
        <w:spacing w:after="60"/>
      </w:pPr>
      <w:r>
        <w:t xml:space="preserve">R1 — Service Connectivity: platform services and tenant services must be able to reach each other, in both directions, and platform-to-platform.</w:t>
      </w:r>
    </w:p>
    <w:p>
      <w:pPr>
        <w:pStyle w:val="ListParagraph"/>
        <w:numPr>
          <w:ilvl w:val="0"/>
          <w:numId w:val="1"/>
        </w:numPr>
        <w:spacing w:after="60"/>
      </w:pPr>
      <w:r>
        <w:t xml:space="preserve">R2 — Resource Connectivity: any service (platform or tenant) must be able to reach any database/resource (platform-managed or tenant-managed).</w:t>
      </w:r>
    </w:p>
    <w:p>
      <w:pPr>
        <w:pStyle w:val="ListParagraph"/>
        <w:numPr>
          <w:ilvl w:val="0"/>
          <w:numId w:val="1"/>
        </w:numPr>
        <w:spacing w:after="60"/>
      </w:pPr>
      <w:r>
        <w:t xml:space="preserve">R3 — General service-to-service resiliency: retries, circuit-breaking, and related L7 traffic management for service-to-service calls.</w:t>
      </w:r>
    </w:p>
    <w:p>
      <w:pPr>
        <w:pStyle w:val="ListParagraph"/>
        <w:numPr>
          <w:ilvl w:val="0"/>
          <w:numId w:val="1"/>
        </w:numPr>
        <w:spacing w:after="60"/>
      </w:pPr>
      <w:r>
        <w:t>R4a — Tenant Identity (day one): every cross-boundary stream is authenticated as a specific tenant via mTLS on the Connect Agent ↔ Gateway tunnel, and authorized only when an Active Registration binds that tenant to the destination. R4b — Workload Identity (deferred): per-workload cryptographic identity comparable to Kubernetes workload identity or SPIFFE remains deferred; v1 workload evidence is attribution/audit only (§1.4, §6.1), never an authorization input. SPIFFE/SPIRE is not a hard dependency.</w:t>
      </w:r>
    </w:p>
    <w:p>
      <w:pPr>
        <w:pStyle w:val="Heading2"/>
        <w:spacing w:after="150" w:before="300"/>
      </w:pPr>
      <w:r>
        <w:t xml:space="preserve">1.3 Constraints</w:t>
      </w:r>
    </w:p>
    <w:p>
      <w:pPr>
        <w:pStyle w:val="ListParagraph"/>
        <w:numPr>
          <w:ilvl w:val="0"/>
          <w:numId w:val="1"/>
        </w:numPr>
        <w:spacing w:after="60"/>
      </w:pPr>
      <w:r>
        <w:t xml:space="preserve">C1 — No privileged workloads on tenant infrastructure. No DaemonSet or sidecar requiring NET_ADMIN, NET_RAW, SYS_ADMIN, hostPath, hostNetwork, or root, under any circumstances or tenant maturity level.</w:t>
      </w:r>
    </w:p>
    <w:p>
      <w:pPr>
        <w:pStyle w:val="ListParagraph"/>
        <w:numPr>
          <w:ilvl w:val="0"/>
          <w:numId w:val="1"/>
        </w:numPr>
        <w:spacing w:after="60"/>
      </w:pPr>
      <w:r>
        <w:t xml:space="preserve">C2 — Minimal tenant operational burden. Ideally a single one-time install per tenant environment; adding a new tenant resource should be a single registration action, not new infrastructure.</w:t>
      </w:r>
    </w:p>
    <w:p>
      <w:pPr>
        <w:pStyle w:val="ListParagraph"/>
        <w:numPr>
          <w:ilvl w:val="0"/>
          <w:numId w:val="1"/>
        </w:numPr>
        <w:spacing w:after="60"/>
      </w:pPr>
      <w:r>
        <w:t xml:space="preserve">C3 — Modern, lightweight, non-duplicative design. Avoid re-inventing solved problems (service mesh, PKI, reconciliation frameworks, stream multiplexing) and avoid a design that silently reproduces a full mesh/VPN/API-gateway product under a different name.</w:t>
      </w:r>
    </w:p>
    <w:p>
      <w:pPr>
        <w:pStyle w:val="ListParagraph"/>
        <w:numPr>
          <w:ilvl w:val="0"/>
          <w:numId w:val="1"/>
        </w:numPr>
        <w:spacing w:after="60"/>
      </w:pPr>
      <w:r>
        <w:t xml:space="preserve">C4 — Proxy/sidecar memory must not scale linearly with pod count. This was the original motivation for moving away from a per-pod HAProxy sidecar model.</w:t>
      </w:r>
    </w:p>
    <w:p>
      <w:pPr>
        <w:pStyle w:val="Heading2"/>
        <w:spacing w:after="150" w:before="300"/>
      </w:pPr>
      <w:r>
        <w:t xml:space="preserve">1.4 Non-Goals</w:t>
      </w:r>
    </w:p>
    <w:p>
      <w:pPr>
        <w:pStyle w:val="ListParagraph"/>
        <w:numPr>
          <w:ilvl w:val="0"/>
          <w:numId w:val="1"/>
        </w:numPr>
        <w:spacing w:after="60"/>
      </w:pPr>
      <w:r>
        <w:t xml:space="preserve">The Connect Agent is not a service mesh.</w:t>
      </w:r>
    </w:p>
    <w:p>
      <w:pPr>
        <w:pStyle w:val="ListParagraph"/>
        <w:numPr>
          <w:ilvl w:val="0"/>
          <w:numId w:val="1"/>
        </w:numPr>
        <w:spacing w:after="60"/>
      </w:pPr>
      <w:r>
        <w:t xml:space="preserve">The Gateway is not a general-purpose API gateway (no HTTP semantics, REST/GraphQL awareness, request transformation, or response caching).</w:t>
      </w:r>
    </w:p>
    <w:p>
      <w:pPr>
        <w:pStyle w:val="ListParagraph"/>
        <w:numPr>
          <w:ilvl w:val="0"/>
          <w:numId w:val="1"/>
        </w:numPr>
        <w:spacing w:after="60"/>
      </w:pPr>
      <w:r>
        <w:t xml:space="preserve">No workload-level authorization in v1 — workload evidence is attribution/audit only, never an access-control input.</w:t>
      </w:r>
    </w:p>
    <w:p>
      <w:pPr>
        <w:pStyle w:val="ListParagraph"/>
        <w:numPr>
          <w:ilvl w:val="0"/>
          <w:numId w:val="1"/>
        </w:numPr>
        <w:spacing w:after="60"/>
      </w:pPr>
      <w:r>
        <w:t xml:space="preserve">No application-protocol inspection anywhere in the data path (no SQL/HTTP/Kafka parsing in the agent or gateway).</w:t>
      </w:r>
    </w:p>
    <w:p>
      <w:pPr>
        <w:pStyle w:val="ListParagraph"/>
        <w:numPr>
          <w:ilvl w:val="0"/>
          <w:numId w:val="1"/>
        </w:numPr>
        <w:spacing w:after="60"/>
      </w:pPr>
      <w:r>
        <w:t xml:space="preserve">No transparent traffic interception (iptables/eBPF redirect) anywhere on tenant infrastructure, ever.</w:t>
      </w:r>
    </w:p>
    <w:p>
      <w:pPr>
        <w:pStyle w:val="ListParagraph"/>
        <w:numPr>
          <w:ilvl w:val="0"/>
          <w:numId w:val="1"/>
        </w:numPr>
        <w:spacing w:after="60"/>
      </w:pPr>
      <w:r>
        <w:t xml:space="preserve">No application-level retry logic inside the Connect Agent (e.g., no retrying a database write).</w:t>
      </w:r>
    </w:p>
    <w:p>
      <w:pPr>
        <w:pStyle w:val="ListParagraph"/>
        <w:numPr>
          <w:ilvl w:val="0"/>
          <w:numId w:val="1"/>
        </w:numPr>
        <w:spacing w:after="60"/>
      </w:pPr>
      <w:r>
        <w:t xml:space="preserve">Tenant workloads remain infrastructure-agnostic — they use ordinary DNS names and ports, never a bespoke SDK, localhost convention, or client library.</w:t>
      </w:r>
    </w:p>
    <w:p>
      <w:r>
        <w:br w:type="page"/>
      </w:r>
    </w:p>
    <w:p>
      <w:pPr>
        <w:pStyle w:val="Heading1"/>
        <w:spacing w:after="200" w:before="400"/>
      </w:pPr>
      <w:r>
        <w:t xml:space="preserve">1.5 System Diagrams</w:t>
      </w:r>
    </w:p>
    <w:p>
      <w:pPr>
        <w:spacing w:after="120"/>
      </w:pPr>
      <w:r>
        <w:t xml:space="preserve">Two diagrams anchor everything that follows: the first shows the end-to-end system across both deployment domains; the second shows deployment density — what actually runs where, and at what unit of scaling — since that question was the original motivation for the entire architecture (per-pod sidecar memory growth, §1.3 C4).</w:t>
      </w:r>
    </w:p>
    <w:p>
      <w:pPr>
        <w:pStyle w:val="Heading2"/>
        <w:spacing w:after="150" w:before="300"/>
      </w:pPr>
      <w:r>
        <w:t xml:space="preserve">1.5.1 End-to-End System Diagram</w:t>
      </w:r>
    </w:p>
    <w:p>
      <w:pPr>
        <w:spacing w:after="200" w:before="100"/>
        <w:jc w:val="center"/>
      </w:pPr>
      <w:r>
        <w:drawing>
          <wp:inline distT="0" distB="0" distL="0" distR="0">
            <wp:extent cx="5762625"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5181600"/>
                    </a:xfrm>
                    <a:prstGeom prst="rect">
                      <a:avLst/>
                    </a:prstGeom>
                  </pic:spPr>
                </pic:pic>
              </a:graphicData>
            </a:graphic>
          </wp:inline>
        </w:drawing>
      </w:r>
    </w:p>
    <w:p>
      <w:pPr>
        <w:spacing w:after="120"/>
      </w:pPr>
      <w:r>
        <w:t xml:space="preserve">The double line marks the only crossing point between the two deployment domains — every Service Connectivity and Resource Connectivity flow in §7–§8 passes through the Gateway at that line, and nothing else does (ADR-002, ADR-004).</w:t>
      </w:r>
    </w:p>
    <w:p>
      <w:pPr>
        <w:pStyle w:val="Heading2"/>
        <w:spacing w:after="150" w:before="300"/>
      </w:pPr>
      <w:r>
        <w:t xml:space="preserve">1.5.2 Deployment Density Diagram — What Runs Where</w:t>
      </w:r>
    </w:p>
    <w:p>
      <w:pPr>
        <w:spacing w:after="120"/>
      </w:pPr>
      <w:r>
        <w:t xml:space="preserve">This diagram exists specifically to answer the question that motivated moving away from a per-pod sidecar model: at what unit does each component scale?</w:t>
      </w:r>
    </w:p>
    <w:p>
      <w:pPr>
        <w:spacing w:after="200" w:before="100"/>
        <w:jc w:val="center"/>
      </w:pPr>
      <w:r>
        <w:drawing>
          <wp:inline distT="0" distB="0" distL="0" distR="0">
            <wp:extent cx="5762625"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381500"/>
                    </a:xfrm>
                    <a:prstGeom prst="rect">
                      <a:avLst/>
                    </a:prstGeom>
                  </pic:spPr>
                </pic:pic>
              </a:graphicData>
            </a:graphic>
          </wp:inline>
        </w:drawing>
      </w:r>
    </w:p>
    <w:p>
      <w:pPr>
        <w:spacing w:after="120"/>
      </w:pPr>
      <w:r>
        <w:t xml:space="preserve">The only privileged workload anywhere in this system is ztunnel, and it exists exclusively on the Platform side. Every Connect Agent, waypoint, and Gateway instance, on both sides, runs unprivileged. See §5.4.1 for what secures ztunnel specifically.</w:t>
      </w:r>
    </w:p>
    <w:p>
      <w:r>
        <w:br w:type="page"/>
      </w:r>
    </w:p>
    <w:p>
      <w:pPr>
        <w:pStyle w:val="Heading1"/>
        <w:spacing w:after="200" w:before="400"/>
      </w:pPr>
      <w:r>
        <w:t xml:space="preserve">2. Terminology (Frozen Vocabulary)</w:t>
      </w:r>
    </w:p>
    <w:p>
      <w:pPr>
        <w:spacing w:after="120"/>
      </w:pPr>
      <w:r>
        <w:t xml:space="preserve">These terms are used consistently in every subsequent document. Conversational aliases ("our side", "SaaS side", "tenant side", "internal/external") are retired.</w:t>
      </w:r>
    </w:p>
    <w:p>
      <w:pPr>
        <w:pStyle w:val="Heading2"/>
        <w:spacing w:after="150" w:before="300"/>
      </w:pPr>
      <w:r>
        <w:t xml:space="preserve">2.1 Deployment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Mar>
              <w:top w:type="dxa" w:w="80"/>
              <w:left w:type="dxa" w:w="100"/>
              <w:bottom w:type="dxa" w:w="80"/>
              <w:right w:type="dxa" w:w="100"/>
            </w:tcMar>
          </w:tcPr>
          <w:p>
            <w:r>
              <w:rPr>
                <w:b/>
                <w:bCs/>
              </w:rPr>
              <w:t xml:space="preserve">Term</w:t>
            </w:r>
          </w:p>
        </w:tc>
        <w:tc>
          <w:tcPr>
            <w:tcW w:type="dxa" w:w="6360"/>
            <w:shd w:fill="D9E2F3" w:val="clear"/>
            <w:tcMar>
              <w:top w:type="dxa" w:w="80"/>
              <w:left w:type="dxa" w:w="100"/>
              <w:bottom w:type="dxa" w:w="80"/>
              <w:right w:type="dxa" w:w="100"/>
            </w:tcMar>
          </w:tcPr>
          <w:p>
            <w:r>
              <w:rPr>
                <w:b/>
                <w:bCs/>
              </w:rPr>
              <w:t xml:space="preserve">Meaning</w:t>
            </w:r>
          </w:p>
        </w:tc>
      </w:tr>
      <w:tr>
        <w:tc>
          <w:tcPr>
            <w:tcW w:type="dxa" w:w="3000"/>
            <w:tcMar>
              <w:top w:type="dxa" w:w="80"/>
              <w:left w:type="dxa" w:w="100"/>
              <w:bottom w:type="dxa" w:w="80"/>
              <w:right w:type="dxa" w:w="100"/>
            </w:tcMar>
          </w:tcPr>
          <w:p>
            <w:r>
              <w:rPr>
                <w:b w:val="false"/>
                <w:bCs w:val="false"/>
              </w:rPr>
              <w:t xml:space="preserve">Platform</w:t>
            </w:r>
          </w:p>
        </w:tc>
        <w:tc>
          <w:tcPr>
            <w:tcW w:type="dxa" w:w="6360"/>
            <w:tcMar>
              <w:top w:type="dxa" w:w="80"/>
              <w:left w:type="dxa" w:w="100"/>
              <w:bottom w:type="dxa" w:w="80"/>
              <w:right w:type="dxa" w:w="100"/>
            </w:tcMar>
          </w:tcPr>
          <w:p>
            <w:r>
              <w:rPr>
                <w:b w:val="false"/>
                <w:bCs w:val="false"/>
              </w:rPr>
              <w:t xml:space="preserve">Infrastructure the vendor operates: OKE cluster(s), Gateway, Controllers, PKI, Mesh, Platform Services, Platform Resources.</w:t>
            </w:r>
          </w:p>
        </w:tc>
      </w:tr>
      <w:tr>
        <w:tc>
          <w:tcPr>
            <w:tcW w:type="dxa" w:w="3000"/>
            <w:tcMar>
              <w:top w:type="dxa" w:w="80"/>
              <w:left w:type="dxa" w:w="100"/>
              <w:bottom w:type="dxa" w:w="80"/>
              <w:right w:type="dxa" w:w="100"/>
            </w:tcMar>
          </w:tcPr>
          <w:p>
            <w:r>
              <w:rPr>
                <w:b w:val="false"/>
                <w:bCs w:val="false"/>
              </w:rPr>
              <w:t xml:space="preserve">Customer Environment</w:t>
            </w:r>
          </w:p>
        </w:tc>
        <w:tc>
          <w:tcPr>
            <w:tcW w:type="dxa" w:w="6360"/>
            <w:tcMar>
              <w:top w:type="dxa" w:w="80"/>
              <w:left w:type="dxa" w:w="100"/>
              <w:bottom w:type="dxa" w:w="80"/>
              <w:right w:type="dxa" w:w="100"/>
            </w:tcMar>
          </w:tcPr>
          <w:p>
            <w:r>
              <w:rPr>
                <w:b w:val="false"/>
                <w:bCs w:val="false"/>
              </w:rPr>
              <w:t xml:space="preserve">Infrastructure the tenant operates: Kubernetes, ECS, VM, or bare metal, in any combination. Contains Customer Services, Customer Resources, and the Connect Agent.</w:t>
            </w:r>
          </w:p>
        </w:tc>
      </w:tr>
    </w:tbl>
    <w:p>
      <w:pPr>
        <w:pStyle w:val="Heading2"/>
        <w:spacing w:after="150" w:before="300"/>
      </w:pPr>
      <w:r>
        <w:t xml:space="preserve">2.2 Domain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val="clear"/>
            <w:tcMar>
              <w:top w:type="dxa" w:w="80"/>
              <w:left w:type="dxa" w:w="100"/>
              <w:bottom w:type="dxa" w:w="80"/>
              <w:right w:type="dxa" w:w="100"/>
            </w:tcMar>
          </w:tcPr>
          <w:p>
            <w:r>
              <w:rPr>
                <w:b/>
                <w:bCs/>
              </w:rPr>
              <w:t xml:space="preserve">Term</w:t>
            </w:r>
          </w:p>
        </w:tc>
        <w:tc>
          <w:tcPr>
            <w:tcW w:type="dxa" w:w="6760"/>
            <w:shd w:fill="D9E2F3" w:val="clear"/>
            <w:tcMar>
              <w:top w:type="dxa" w:w="80"/>
              <w:left w:type="dxa" w:w="100"/>
              <w:bottom w:type="dxa" w:w="80"/>
              <w:right w:type="dxa" w:w="100"/>
            </w:tcMar>
          </w:tcPr>
          <w:p>
            <w:r>
              <w:rPr>
                <w:b/>
                <w:bCs/>
              </w:rPr>
              <w:t xml:space="preserve">Definition</w:t>
            </w:r>
          </w:p>
        </w:tc>
      </w:tr>
      <w:tr>
        <w:tc>
          <w:tcPr>
            <w:tcW w:type="dxa" w:w="2600"/>
            <w:tcMar>
              <w:top w:type="dxa" w:w="80"/>
              <w:left w:type="dxa" w:w="100"/>
              <w:bottom w:type="dxa" w:w="80"/>
              <w:right w:type="dxa" w:w="100"/>
            </w:tcMar>
          </w:tcPr>
          <w:p>
            <w:r>
              <w:rPr>
                <w:b w:val="false"/>
                <w:bCs w:val="false"/>
              </w:rPr>
              <w:t xml:space="preserve">Tenant</w:t>
            </w:r>
          </w:p>
        </w:tc>
        <w:tc>
          <w:tcPr>
            <w:tcW w:type="dxa" w:w="6760"/>
            <w:tcMar>
              <w:top w:type="dxa" w:w="80"/>
              <w:left w:type="dxa" w:w="100"/>
              <w:bottom w:type="dxa" w:w="80"/>
              <w:right w:type="dxa" w:w="100"/>
            </w:tcMar>
          </w:tcPr>
          <w:p>
            <w:r>
              <w:rPr>
                <w:b w:val="false"/>
                <w:bCs w:val="false"/>
              </w:rPr>
              <w:t xml:space="preserve">Administrative and security boundary. Owns registrations, certificates, policies, and resources. Never owns runtime routing decisions.</w:t>
            </w:r>
          </w:p>
        </w:tc>
      </w:tr>
      <w:tr>
        <w:tc>
          <w:tcPr>
            <w:tcW w:type="dxa" w:w="2600"/>
            <w:tcMar>
              <w:top w:type="dxa" w:w="80"/>
              <w:left w:type="dxa" w:w="100"/>
              <w:bottom w:type="dxa" w:w="80"/>
              <w:right w:type="dxa" w:w="100"/>
            </w:tcMar>
          </w:tcPr>
          <w:p>
            <w:r>
              <w:rPr>
                <w:b w:val="false"/>
                <w:bCs w:val="false"/>
              </w:rPr>
              <w:t xml:space="preserve">Service</w:t>
            </w:r>
          </w:p>
        </w:tc>
        <w:tc>
          <w:tcPr>
            <w:tcW w:type="dxa" w:w="6760"/>
            <w:tcMar>
              <w:top w:type="dxa" w:w="80"/>
              <w:left w:type="dxa" w:w="100"/>
              <w:bottom w:type="dxa" w:w="80"/>
              <w:right w:type="dxa" w:w="100"/>
            </w:tcMar>
          </w:tcPr>
          <w:p>
            <w:r>
              <w:rPr>
                <w:b w:val="false"/>
                <w:bCs w:val="false"/>
              </w:rPr>
              <w:t xml:space="preserve">A stateless application workload exposing an API (e.g. Orders, Billing API).</w:t>
            </w:r>
          </w:p>
        </w:tc>
      </w:tr>
      <w:tr>
        <w:tc>
          <w:tcPr>
            <w:tcW w:type="dxa" w:w="2600"/>
            <w:tcMar>
              <w:top w:type="dxa" w:w="80"/>
              <w:left w:type="dxa" w:w="100"/>
              <w:bottom w:type="dxa" w:w="80"/>
              <w:right w:type="dxa" w:w="100"/>
            </w:tcMar>
          </w:tcPr>
          <w:p>
            <w:r>
              <w:rPr>
                <w:b w:val="false"/>
                <w:bCs w:val="false"/>
              </w:rPr>
              <w:t xml:space="preserve">Resource</w:t>
            </w:r>
          </w:p>
        </w:tc>
        <w:tc>
          <w:tcPr>
            <w:tcW w:type="dxa" w:w="6760"/>
            <w:tcMar>
              <w:top w:type="dxa" w:w="80"/>
              <w:left w:type="dxa" w:w="100"/>
              <w:bottom w:type="dxa" w:w="80"/>
              <w:right w:type="dxa" w:w="100"/>
            </w:tcMar>
          </w:tcPr>
          <w:p>
            <w:r>
              <w:rPr>
                <w:b w:val="false"/>
                <w:bCs w:val="false"/>
              </w:rPr>
              <w:t xml:space="preserve">A stateful external dependency — not a Service (e.g. PostgreSQL, Kafka, Redis, OpenSearch, S3).</w:t>
            </w:r>
          </w:p>
        </w:tc>
      </w:tr>
      <w:tr>
        <w:tc>
          <w:tcPr>
            <w:tcW w:type="dxa" w:w="2600"/>
            <w:tcMar>
              <w:top w:type="dxa" w:w="80"/>
              <w:left w:type="dxa" w:w="100"/>
              <w:bottom w:type="dxa" w:w="80"/>
              <w:right w:type="dxa" w:w="100"/>
            </w:tcMar>
          </w:tcPr>
          <w:p>
            <w:r>
              <w:rPr>
                <w:b w:val="false"/>
                <w:bCs w:val="false"/>
              </w:rPr>
              <w:t xml:space="preserve">Platform Service / Customer Service</w:t>
            </w:r>
          </w:p>
        </w:tc>
        <w:tc>
          <w:tcPr>
            <w:tcW w:type="dxa" w:w="6760"/>
            <w:tcMar>
              <w:top w:type="dxa" w:w="80"/>
              <w:left w:type="dxa" w:w="100"/>
              <w:bottom w:type="dxa" w:w="80"/>
              <w:right w:type="dxa" w:w="100"/>
            </w:tcMar>
          </w:tcPr>
          <w:p>
            <w:r>
              <w:rPr>
                <w:b w:val="false"/>
                <w:bCs w:val="false"/>
              </w:rPr>
              <w:t xml:space="preserve">A Service operated by the Platform / by the Customer, respectively.</w:t>
            </w:r>
          </w:p>
        </w:tc>
      </w:tr>
      <w:tr>
        <w:tc>
          <w:tcPr>
            <w:tcW w:type="dxa" w:w="2600"/>
            <w:tcMar>
              <w:top w:type="dxa" w:w="80"/>
              <w:left w:type="dxa" w:w="100"/>
              <w:bottom w:type="dxa" w:w="80"/>
              <w:right w:type="dxa" w:w="100"/>
            </w:tcMar>
          </w:tcPr>
          <w:p>
            <w:r>
              <w:rPr>
                <w:b w:val="false"/>
                <w:bCs w:val="false"/>
              </w:rPr>
              <w:t xml:space="preserve">Platform Resource / Customer Resource</w:t>
            </w:r>
          </w:p>
        </w:tc>
        <w:tc>
          <w:tcPr>
            <w:tcW w:type="dxa" w:w="6760"/>
            <w:tcMar>
              <w:top w:type="dxa" w:w="80"/>
              <w:left w:type="dxa" w:w="100"/>
              <w:bottom w:type="dxa" w:w="80"/>
              <w:right w:type="dxa" w:w="100"/>
            </w:tcMar>
          </w:tcPr>
          <w:p>
            <w:r>
              <w:rPr>
                <w:b w:val="false"/>
                <w:bCs w:val="false"/>
              </w:rPr>
              <w:t xml:space="preserve">A Resource operated by the Platform / by the Customer, respectively.</w:t>
            </w:r>
          </w:p>
        </w:tc>
      </w:tr>
      <w:tr>
        <w:tc>
          <w:tcPr>
            <w:tcW w:type="dxa" w:w="2600"/>
            <w:tcMar>
              <w:top w:type="dxa" w:w="80"/>
              <w:left w:type="dxa" w:w="100"/>
              <w:bottom w:type="dxa" w:w="80"/>
              <w:right w:type="dxa" w:w="100"/>
            </w:tcMar>
          </w:tcPr>
          <w:p>
            <w:r>
              <w:rPr>
                <w:b w:val="false"/>
                <w:bCs w:val="false"/>
              </w:rPr>
              <w:t xml:space="preserve">Registration</w:t>
            </w:r>
          </w:p>
        </w:tc>
        <w:tc>
          <w:tcPr>
            <w:tcW w:type="dxa" w:w="6760"/>
            <w:tcMar>
              <w:top w:type="dxa" w:w="80"/>
              <w:left w:type="dxa" w:w="100"/>
              <w:bottom w:type="dxa" w:w="80"/>
              <w:right w:type="dxa" w:w="100"/>
            </w:tcMar>
          </w:tcPr>
          <w:p>
            <w:r>
              <w:rPr>
                <w:b w:val="false"/>
                <w:bCs w:val="false"/>
              </w:rPr>
              <w:t xml:space="preserve">The declarative, sole source of truth for one unit of desired connectivity: a source, a destination, connectivity type, identity requirements, policy, and certificate references. Created only by Controllers; consumed by all runtime components; never created, mutated, or inferred by them.</w:t>
            </w:r>
          </w:p>
        </w:tc>
      </w:tr>
      <w:tr>
        <w:tc>
          <w:tcPr>
            <w:tcW w:type="dxa" w:w="2600"/>
            <w:tcMar>
              <w:top w:type="dxa" w:w="80"/>
              <w:left w:type="dxa" w:w="100"/>
              <w:bottom w:type="dxa" w:w="80"/>
              <w:right w:type="dxa" w:w="100"/>
            </w:tcMar>
          </w:tcPr>
          <w:p>
            <w:r>
              <w:rPr>
                <w:b w:val="false"/>
                <w:bCs w:val="false"/>
              </w:rPr>
              <w:t xml:space="preserve">Destination Adapter</w:t>
            </w:r>
          </w:p>
        </w:tc>
        <w:tc>
          <w:tcPr>
            <w:tcW w:type="dxa" w:w="6760"/>
            <w:tcMar>
              <w:top w:type="dxa" w:w="80"/>
              <w:left w:type="dxa" w:w="100"/>
              <w:bottom w:type="dxa" w:w="80"/>
              <w:right w:type="dxa" w:w="100"/>
            </w:tcMar>
          </w:tcPr>
          <w:p>
            <w:r>
              <w:rPr>
                <w:b w:val="false"/>
                <w:bCs w:val="false"/>
              </w:rPr>
              <w:t xml:space="preserve">A Gateway-side abstraction responsible for establishing a transport stream to a registered destination. Current implementations: Connect Agent Adapter, Platform Connector Adapter, Direct Endpoint Adapter.</w:t>
            </w:r>
          </w:p>
        </w:tc>
      </w:tr>
      <w:tr>
        <w:tc>
          <w:tcPr>
            <w:tcW w:type="dxa" w:w="2600"/>
            <w:tcMar>
              <w:top w:type="dxa" w:w="80"/>
              <w:left w:type="dxa" w:w="100"/>
              <w:bottom w:type="dxa" w:w="80"/>
              <w:right w:type="dxa" w:w="100"/>
            </w:tcMar>
          </w:tcPr>
          <w:p>
            <w:r>
              <w:rPr>
                <w:b w:val="false"/>
                <w:bCs w:val="false"/>
              </w:rPr>
              <w:t xml:space="preserve">Connection</w:t>
            </w:r>
          </w:p>
        </w:tc>
        <w:tc>
          <w:tcPr>
            <w:tcW w:type="dxa" w:w="6760"/>
            <w:tcMar>
              <w:top w:type="dxa" w:w="80"/>
              <w:left w:type="dxa" w:w="100"/>
              <w:bottom w:type="dxa" w:w="80"/>
              <w:right w:type="dxa" w:w="100"/>
            </w:tcMar>
          </w:tcPr>
          <w:p>
            <w:r>
              <w:rPr>
                <w:b w:val="false"/>
                <w:bCs w:val="false"/>
              </w:rPr>
              <w:t xml:space="preserve">One logical, realized communication between a source and a destination, per a Registration.</w:t>
            </w:r>
          </w:p>
        </w:tc>
      </w:tr>
    </w:tbl>
    <w:p>
      <w:pPr>
        <w:pStyle w:val="Heading2"/>
        <w:spacing w:after="150" w:before="300"/>
      </w:pPr>
      <w:r>
        <w:t xml:space="preserve">2.3 Connectivity Taxonomy</w:t>
      </w:r>
    </w:p>
    <w:p>
      <w:pPr>
        <w:spacing w:after="120"/>
      </w:pPr>
      <w:r>
        <w:t xml:space="preserve">Two connectivity classes cover every flow in the system (formerly informally called “Path A” and “Path B” — those labels are retired):</w:t>
      </w:r>
    </w:p>
    <w:p>
      <w:pPr>
        <w:pStyle w:val="ListParagraph"/>
        <w:numPr>
          <w:ilvl w:val="0"/>
          <w:numId w:val="1"/>
        </w:numPr>
        <w:spacing w:after="60"/>
      </w:pPr>
      <w:r>
        <w:t xml:space="preserve">Service Connectivity — Service ↔ Service.</w:t>
      </w:r>
    </w:p>
    <w:p>
      <w:pPr>
        <w:pStyle w:val="ListParagraph"/>
        <w:numPr>
          <w:ilvl w:val="0"/>
          <w:numId w:val="1"/>
        </w:numPr>
        <w:spacing w:after="60"/>
      </w:pPr>
      <w:r>
        <w:t xml:space="preserve">Resource Connectivity — Service ↔ Resource.</w:t>
      </w:r>
    </w:p>
    <w:p>
      <w:r>
        <w:br w:type="page"/>
      </w:r>
    </w:p>
    <w:p>
      <w:pPr>
        <w:pStyle w:val="Heading1"/>
        <w:spacing w:after="200" w:before="400"/>
      </w:pPr>
      <w:r>
        <w:t xml:space="preserve">3. Architectural Principles (ADR Register)</w:t>
      </w:r>
    </w:p>
    <w:p>
      <w:pPr>
        <w:spacing w:after="120"/>
      </w:pPr>
      <w:r>
        <w:t xml:space="preserve">These are constitutional. Each is written to satisfy a “five-year rewrite test”: it should still hold true if Istio is replaced by another mesh, yamux by QUIC, step-ca by another CA, or Kubernetes by Nomad. Implementation choices (which mesh, which multiplexer, exact schemas) are explicitly excluded from this list and belong to Level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D9E2F3" w:val="clear"/>
            <w:tcMar>
              <w:top w:type="dxa" w:w="80"/>
              <w:left w:type="dxa" w:w="100"/>
              <w:bottom w:type="dxa" w:w="80"/>
              <w:right w:type="dxa" w:w="100"/>
            </w:tcMar>
          </w:tcPr>
          <w:p>
            <w:r>
              <w:rPr>
                <w:b/>
                <w:bCs/>
              </w:rPr>
              <w:t xml:space="preserve">ADR</w:t>
            </w:r>
          </w:p>
        </w:tc>
        <w:tc>
          <w:tcPr>
            <w:tcW w:type="dxa" w:w="7960"/>
            <w:shd w:fill="D9E2F3" w:val="clear"/>
            <w:tcMar>
              <w:top w:type="dxa" w:w="80"/>
              <w:left w:type="dxa" w:w="100"/>
              <w:bottom w:type="dxa" w:w="80"/>
              <w:right w:type="dxa" w:w="100"/>
            </w:tcMar>
          </w:tcPr>
          <w:p>
            <w:r>
              <w:rPr>
                <w:b/>
                <w:bCs/>
              </w:rPr>
              <w:t xml:space="preserve">Principle</w:t>
            </w:r>
          </w:p>
        </w:tc>
      </w:tr>
      <w:tr>
        <w:tc>
          <w:tcPr>
            <w:tcW w:type="dxa" w:w="1400"/>
            <w:tcMar>
              <w:top w:type="dxa" w:w="80"/>
              <w:left w:type="dxa" w:w="100"/>
              <w:bottom w:type="dxa" w:w="80"/>
              <w:right w:type="dxa" w:w="100"/>
            </w:tcMar>
          </w:tcPr>
          <w:p>
            <w:r>
              <w:rPr>
                <w:b w:val="false"/>
                <w:bCs w:val="false"/>
              </w:rPr>
              <w:t xml:space="preserve">ADR-001</w:t>
            </w:r>
          </w:p>
        </w:tc>
        <w:tc>
          <w:tcPr>
            <w:tcW w:type="dxa" w:w="7960"/>
            <w:tcMar>
              <w:top w:type="dxa" w:w="80"/>
              <w:left w:type="dxa" w:w="100"/>
              <w:bottom w:type="dxa" w:w="80"/>
              <w:right w:type="dxa" w:w="100"/>
            </w:tcMar>
          </w:tcPr>
          <w:p>
            <w:r>
              <w:rPr>
                <w:b w:val="false"/>
                <w:bCs w:val="false"/>
              </w:rPr>
              <w:t xml:space="preserve">Customer infrastructure remains unprivileged. No elevated Linux capability, no transparent traffic interception, no root, regardless of tenant platform maturity.</w:t>
            </w:r>
          </w:p>
        </w:tc>
      </w:tr>
      <w:tr>
        <w:tc>
          <w:tcPr>
            <w:tcW w:type="dxa" w:w="1400"/>
            <w:tcMar>
              <w:top w:type="dxa" w:w="80"/>
              <w:left w:type="dxa" w:w="100"/>
              <w:bottom w:type="dxa" w:w="80"/>
              <w:right w:type="dxa" w:w="100"/>
            </w:tcMar>
          </w:tcPr>
          <w:p>
            <w:r>
              <w:rPr>
                <w:b w:val="false"/>
                <w:bCs w:val="false"/>
              </w:rPr>
              <w:t xml:space="preserve">ADR-002</w:t>
            </w:r>
          </w:p>
        </w:tc>
        <w:tc>
          <w:tcPr>
            <w:tcW w:type="dxa" w:w="7960"/>
            <w:tcMar>
              <w:top w:type="dxa" w:w="80"/>
              <w:left w:type="dxa" w:w="100"/>
              <w:bottom w:type="dxa" w:w="80"/>
              <w:right w:type="dxa" w:w="100"/>
            </w:tcMar>
          </w:tcPr>
          <w:p>
            <w:r>
              <w:rPr>
                <w:b w:val="false"/>
                <w:bCs w:val="false"/>
              </w:rPr>
              <w:t xml:space="preserve">The Gateway is the sole authorization point. It authorizes only from its own tenant/resource registry — never from anything a credential claims about itself.</w:t>
            </w:r>
          </w:p>
        </w:tc>
      </w:tr>
      <w:tr>
        <w:tc>
          <w:tcPr>
            <w:tcW w:type="dxa" w:w="1400"/>
            <w:tcMar>
              <w:top w:type="dxa" w:w="80"/>
              <w:left w:type="dxa" w:w="100"/>
              <w:bottom w:type="dxa" w:w="80"/>
              <w:right w:type="dxa" w:w="100"/>
            </w:tcMar>
          </w:tcPr>
          <w:p>
            <w:r>
              <w:rPr>
                <w:b w:val="false"/>
                <w:bCs w:val="false"/>
              </w:rPr>
              <w:t xml:space="preserve">ADR-003</w:t>
            </w:r>
          </w:p>
        </w:tc>
        <w:tc>
          <w:tcPr>
            <w:tcW w:type="dxa" w:w="7960"/>
            <w:tcMar>
              <w:top w:type="dxa" w:w="80"/>
              <w:left w:type="dxa" w:w="100"/>
              <w:bottom w:type="dxa" w:w="80"/>
              <w:right w:type="dxa" w:w="100"/>
            </w:tcMar>
          </w:tcPr>
          <w:p>
            <w:r>
              <w:rPr>
                <w:b w:val="false"/>
                <w:bCs w:val="false"/>
              </w:rPr>
              <w:t xml:space="preserve">Transport never creates trust; it only carries trust established elsewhere.</w:t>
            </w:r>
          </w:p>
        </w:tc>
      </w:tr>
      <w:tr>
        <w:tc>
          <w:tcPr>
            <w:tcW w:type="dxa" w:w="1400"/>
            <w:tcMar>
              <w:top w:type="dxa" w:w="80"/>
              <w:left w:type="dxa" w:w="100"/>
              <w:bottom w:type="dxa" w:w="80"/>
              <w:right w:type="dxa" w:w="100"/>
            </w:tcMar>
          </w:tcPr>
          <w:p>
            <w:r>
              <w:rPr>
                <w:b w:val="false"/>
                <w:bCs w:val="false"/>
              </w:rPr>
              <w:t xml:space="preserve">ADR-004</w:t>
            </w:r>
          </w:p>
        </w:tc>
        <w:tc>
          <w:tcPr>
            <w:tcW w:type="dxa" w:w="7960"/>
            <w:tcMar>
              <w:top w:type="dxa" w:w="80"/>
              <w:left w:type="dxa" w:w="100"/>
              <w:bottom w:type="dxa" w:w="80"/>
              <w:right w:type="dxa" w:w="100"/>
            </w:tcMar>
          </w:tcPr>
          <w:p>
            <w:r>
              <w:rPr>
                <w:b w:val="false"/>
                <w:bCs w:val="false"/>
              </w:rPr>
              <w:t xml:space="preserve">Controllers never participate in the data path. They create and reconcile configuration; they never forward traffic, under any feature request (diagnostics, migrations, health checks included).</w:t>
            </w:r>
          </w:p>
        </w:tc>
      </w:tr>
      <w:tr>
        <w:tc>
          <w:tcPr>
            <w:tcW w:type="dxa" w:w="1400"/>
            <w:tcMar>
              <w:top w:type="dxa" w:w="80"/>
              <w:left w:type="dxa" w:w="100"/>
              <w:bottom w:type="dxa" w:w="80"/>
              <w:right w:type="dxa" w:w="100"/>
            </w:tcMar>
          </w:tcPr>
          <w:p>
            <w:r>
              <w:rPr>
                <w:b w:val="false"/>
                <w:bCs w:val="false"/>
              </w:rPr>
              <w:t xml:space="preserve">ADR-005</w:t>
            </w:r>
          </w:p>
        </w:tc>
        <w:tc>
          <w:tcPr>
            <w:tcW w:type="dxa" w:w="7960"/>
            <w:tcMar>
              <w:top w:type="dxa" w:w="80"/>
              <w:left w:type="dxa" w:w="100"/>
              <w:bottom w:type="dxa" w:w="80"/>
              <w:right w:type="dxa" w:w="100"/>
            </w:tcMar>
          </w:tcPr>
          <w:p>
            <w:r>
              <w:rPr>
                <w:b w:val="false"/>
                <w:bCs w:val="false"/>
              </w:rPr>
              <w:t xml:space="preserve">Connect Agent ↔ Gateway communication is a long-lived, authenticated, multiplexed transport carrying independent logical streams. (Specific wire protocol is a Level 2 decision.)</w:t>
            </w:r>
          </w:p>
        </w:tc>
      </w:tr>
      <w:tr>
        <w:tc>
          <w:tcPr>
            <w:tcW w:type="dxa" w:w="1400"/>
            <w:tcMar>
              <w:top w:type="dxa" w:w="80"/>
              <w:left w:type="dxa" w:w="100"/>
              <w:bottom w:type="dxa" w:w="80"/>
              <w:right w:type="dxa" w:w="100"/>
            </w:tcMar>
          </w:tcPr>
          <w:p>
            <w:r>
              <w:rPr>
                <w:b w:val="false"/>
                <w:bCs w:val="false"/>
              </w:rPr>
              <w:t xml:space="preserve">ADR-006</w:t>
            </w:r>
          </w:p>
        </w:tc>
        <w:tc>
          <w:tcPr>
            <w:tcW w:type="dxa" w:w="7960"/>
            <w:tcMar>
              <w:top w:type="dxa" w:w="80"/>
              <w:left w:type="dxa" w:w="100"/>
              <w:bottom w:type="dxa" w:w="80"/>
              <w:right w:type="dxa" w:w="100"/>
            </w:tcMar>
          </w:tcPr>
          <w:p>
            <w:r>
              <w:rPr>
                <w:b w:val="false"/>
                <w:bCs w:val="false"/>
              </w:rPr>
              <w:t xml:space="preserve">Registration is the single source of truth for desired connectivity. Controllers are the sole writers of runtime configuration, regardless of the entry point (self-service UI, API, admin tooling) — there is no direct-write path to runtime config.</w:t>
            </w:r>
          </w:p>
        </w:tc>
      </w:tr>
      <w:tr>
        <w:tc>
          <w:tcPr>
            <w:tcW w:type="dxa" w:w="1400"/>
            <w:tcMar>
              <w:top w:type="dxa" w:w="80"/>
              <w:left w:type="dxa" w:w="100"/>
              <w:bottom w:type="dxa" w:w="80"/>
              <w:right w:type="dxa" w:w="100"/>
            </w:tcMar>
          </w:tcPr>
          <w:p>
            <w:r>
              <w:rPr>
                <w:b w:val="false"/>
                <w:bCs w:val="false"/>
              </w:rPr>
              <w:t xml:space="preserve">ADR-007</w:t>
            </w:r>
          </w:p>
        </w:tc>
        <w:tc>
          <w:tcPr>
            <w:tcW w:type="dxa" w:w="7960"/>
            <w:tcMar>
              <w:top w:type="dxa" w:w="80"/>
              <w:left w:type="dxa" w:w="100"/>
              <w:bottom w:type="dxa" w:w="80"/>
              <w:right w:type="dxa" w:w="100"/>
            </w:tcMar>
          </w:tcPr>
          <w:p>
            <w:r>
              <w:rPr>
                <w:b w:val="false"/>
                <w:bCs w:val="false"/>
              </w:rPr>
              <w:t xml:space="preserve">The Connect Agent remains transport-only. It never authorizes, evaluates policy, terminates or inspects application protocols, retries application-level operations, or makes service-discovery decisions.</w:t>
            </w:r>
          </w:p>
        </w:tc>
      </w:tr>
      <w:tr>
        <w:tc>
          <w:tcPr>
            <w:tcW w:type="dxa" w:w="1400"/>
            <w:tcMar>
              <w:top w:type="dxa" w:w="80"/>
              <w:left w:type="dxa" w:w="100"/>
              <w:bottom w:type="dxa" w:w="80"/>
              <w:right w:type="dxa" w:w="100"/>
            </w:tcMar>
          </w:tcPr>
          <w:p>
            <w:r>
              <w:rPr>
                <w:b w:val="false"/>
                <w:bCs w:val="false"/>
              </w:rPr>
              <w:t xml:space="preserve">ADR-008</w:t>
            </w:r>
          </w:p>
        </w:tc>
        <w:tc>
          <w:tcPr>
            <w:tcW w:type="dxa" w:w="7960"/>
            <w:tcMar>
              <w:top w:type="dxa" w:w="80"/>
              <w:left w:type="dxa" w:w="100"/>
              <w:bottom w:type="dxa" w:w="80"/>
              <w:right w:type="dxa" w:w="100"/>
            </w:tcMar>
          </w:tcPr>
          <w:p>
            <w:r>
              <w:rPr>
                <w:b w:val="false"/>
                <w:bCs w:val="false"/>
              </w:rPr>
              <w:t xml:space="preserve">The Gateway dispatches to Destination Adapters, never to a hardcoded infrastructure type. Adding a new destination class must not require changing Gateway authorization logic.</w:t>
            </w:r>
          </w:p>
        </w:tc>
      </w:tr>
      <w:tr>
        <w:tc>
          <w:tcPr>
            <w:tcW w:type="dxa" w:w="1400"/>
            <w:tcMar>
              <w:top w:type="dxa" w:w="80"/>
              <w:left w:type="dxa" w:w="100"/>
              <w:bottom w:type="dxa" w:w="80"/>
              <w:right w:type="dxa" w:w="100"/>
            </w:tcMar>
          </w:tcPr>
          <w:p>
            <w:r>
              <w:rPr>
                <w:b w:val="false"/>
                <w:bCs w:val="false"/>
              </w:rPr>
              <w:t xml:space="preserve">ADR-009</w:t>
            </w:r>
          </w:p>
        </w:tc>
        <w:tc>
          <w:tcPr>
            <w:tcW w:type="dxa" w:w="7960"/>
            <w:tcMar>
              <w:top w:type="dxa" w:w="80"/>
              <w:left w:type="dxa" w:w="100"/>
              <w:bottom w:type="dxa" w:w="80"/>
              <w:right w:type="dxa" w:w="100"/>
            </w:tcMar>
          </w:tcPr>
          <w:p>
            <w:r>
              <w:rPr>
                <w:b w:val="false"/>
                <w:bCs w:val="false"/>
              </w:rPr>
              <w:t xml:space="preserve">Control-plane state (registrations, certificates, configuration) is declarative and reconciled. This property does not extend to the data plane, which forwards rather than reconciles.</w:t>
            </w:r>
          </w:p>
        </w:tc>
      </w:tr>
      <w:tr>
        <w:tc>
          <w:tcPr>
            <w:tcW w:type="dxa" w:w="1400"/>
            <w:tcMar>
              <w:top w:type="dxa" w:w="80"/>
              <w:left w:type="dxa" w:w="100"/>
              <w:bottom w:type="dxa" w:w="80"/>
              <w:right w:type="dxa" w:w="100"/>
            </w:tcMar>
          </w:tcPr>
          <w:p>
            <w:r>
              <w:rPr>
                <w:b w:val="false"/>
                <w:bCs w:val="false"/>
              </w:rPr>
              <w:t xml:space="preserve">ADR-010</w:t>
            </w:r>
          </w:p>
        </w:tc>
        <w:tc>
          <w:tcPr>
            <w:tcW w:type="dxa" w:w="7960"/>
            <w:tcMar>
              <w:top w:type="dxa" w:w="80"/>
              <w:left w:type="dxa" w:w="100"/>
              <w:bottom w:type="dxa" w:w="80"/>
              <w:right w:type="dxa" w:w="100"/>
            </w:tcMar>
          </w:tcPr>
          <w:p>
            <w:r>
              <w:rPr>
                <w:b w:val="false"/>
                <w:bCs w:val="false"/>
              </w:rPr>
              <w:t xml:space="preserve">Runtime components consume configuration; they never discover or invent topology (no auto-discovery, no dynamic route learning).</w:t>
            </w:r>
          </w:p>
        </w:tc>
      </w:tr>
      <w:tr>
        <w:tc>
          <w:tcPr>
            <w:tcW w:type="dxa" w:w="1400"/>
            <w:tcMar>
              <w:top w:type="dxa" w:w="80"/>
              <w:left w:type="dxa" w:w="100"/>
              <w:bottom w:type="dxa" w:w="80"/>
              <w:right w:type="dxa" w:w="100"/>
            </w:tcMar>
          </w:tcPr>
          <w:p>
            <w:r>
              <w:rPr>
                <w:b w:val="false"/>
                <w:bCs w:val="false"/>
              </w:rPr>
              <w:t xml:space="preserve">ADR-011</w:t>
            </w:r>
          </w:p>
        </w:tc>
        <w:tc>
          <w:tcPr>
            <w:tcW w:type="dxa" w:w="7960"/>
            <w:tcMar>
              <w:top w:type="dxa" w:w="80"/>
              <w:left w:type="dxa" w:w="100"/>
              <w:bottom w:type="dxa" w:w="80"/>
              <w:right w:type="dxa" w:w="100"/>
            </w:tcMar>
          </w:tcPr>
          <w:p>
            <w:r>
              <w:rPr>
                <w:b w:val="false"/>
                <w:bCs w:val="false"/>
              </w:rPr>
              <w:t xml:space="preserve">Components communicate only through published contracts. The Gateway does not depend on Connect Agent internals; the Controller does not depend on Gateway internals; the Agent does not depend on the registry schema.</w:t>
            </w:r>
          </w:p>
        </w:tc>
      </w:tr>
      <w:tr>
        <w:tc>
          <w:tcPr>
            <w:tcW w:type="dxa" w:w="1400"/>
            <w:tcMar>
              <w:top w:type="dxa" w:w="80"/>
              <w:left w:type="dxa" w:w="100"/>
              <w:bottom w:type="dxa" w:w="80"/>
              <w:right w:type="dxa" w:w="100"/>
            </w:tcMar>
          </w:tcPr>
          <w:p>
            <w:r>
              <w:rPr>
                <w:b w:val="false"/>
                <w:bCs w:val="false"/>
              </w:rPr>
              <w:t xml:space="preserve">ADR-012</w:t>
            </w:r>
          </w:p>
        </w:tc>
        <w:tc>
          <w:tcPr>
            <w:tcW w:type="dxa" w:w="7960"/>
            <w:tcMar>
              <w:top w:type="dxa" w:w="80"/>
              <w:left w:type="dxa" w:w="100"/>
              <w:bottom w:type="dxa" w:w="80"/>
              <w:right w:type="dxa" w:w="100"/>
            </w:tcMar>
          </w:tcPr>
          <w:p>
            <w:r>
              <w:rPr>
                <w:b w:val="false"/>
                <w:bCs w:val="false"/>
              </w:rPr>
              <w:t xml:space="preserve">Runtime components are stateless with respect to connectivity intent. They consume registrations; they never create, mutate, or infer them. Only Controllers own desired state.</w:t>
            </w:r>
          </w:p>
        </w:tc>
      </w:tr>
      <w:tr>
        <w:tc>
          <w:tcPr>
            <w:tcW w:type="dxa" w:w="1400"/>
            <w:tcMar>
              <w:top w:type="dxa" w:w="80"/>
              <w:left w:type="dxa" w:w="100"/>
              <w:bottom w:type="dxa" w:w="80"/>
              <w:right w:type="dxa" w:w="100"/>
            </w:tcMar>
          </w:tcPr>
          <w:p>
            <w:r>
              <w:rPr>
                <w:b w:val="false"/>
                <w:bCs w:val="false"/>
              </w:rPr>
              <w:t xml:space="preserve">ADR-013</w:t>
            </w:r>
          </w:p>
        </w:tc>
        <w:tc>
          <w:tcPr>
            <w:tcW w:type="dxa" w:w="7960"/>
            <w:tcMar>
              <w:top w:type="dxa" w:w="80"/>
              <w:left w:type="dxa" w:w="100"/>
              <w:bottom w:type="dxa" w:w="80"/>
              <w:right w:type="dxa" w:w="100"/>
            </w:tcMar>
          </w:tcPr>
          <w:p>
            <w:r>
              <w:rPr>
                <w:b w:val="false"/>
                <w:bCs w:val="false"/>
              </w:rPr>
              <w:t xml:space="preserve">Registration state gates stream authorization. Which specific states are “routable,” and how existing streams are treated across a state transition, are defined in the Gateway and Failure Semantics specifications (Level 2) — not fixed at Level 1, since the correct policy differs by cause (routine update vs. security revocation).</w:t>
            </w:r>
          </w:p>
        </w:tc>
      </w:tr>
    </w:tbl>
    <w:p>
      <w:r>
        <w:br w:type="page"/>
      </w:r>
    </w:p>
    <w:p>
      <w:pPr>
        <w:pStyle w:val="Heading1"/>
        <w:spacing w:after="200" w:before="400"/>
      </w:pPr>
      <w:r>
        <w:t xml:space="preserve">4. Layers and Ownership</w:t>
      </w:r>
    </w:p>
    <w:p>
      <w:pPr>
        <w:spacing w:after="120"/>
      </w:pPr>
      <w:r>
        <w:t xml:space="preserve">The system is described along two orthogonal axes. Layers answer “what kind of thing is this”; Ownership answers “who is accountable for it.” Neither replaces the other.</w:t>
      </w:r>
    </w:p>
    <w:p>
      <w:pPr>
        <w:pStyle w:val="Heading2"/>
        <w:spacing w:after="150" w:before="300"/>
      </w:pPr>
      <w:r>
        <w:t xml:space="preserve">4.1 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700"/>
        <w:gridCol w:w="2660"/>
      </w:tblGrid>
      <w:tr>
        <w:trPr>
          <w:tblHeader/>
        </w:trPr>
        <w:tc>
          <w:tcPr>
            <w:tcW w:type="dxa" w:w="1900"/>
            <w:shd w:fill="D9E2F3" w:val="clear"/>
            <w:tcMar>
              <w:top w:type="dxa" w:w="80"/>
              <w:left w:type="dxa" w:w="100"/>
              <w:bottom w:type="dxa" w:w="80"/>
              <w:right w:type="dxa" w:w="100"/>
            </w:tcMar>
          </w:tcPr>
          <w:p>
            <w:r>
              <w:rPr>
                <w:b/>
                <w:bCs/>
              </w:rPr>
              <w:t xml:space="preserve">Layer</w:t>
            </w:r>
          </w:p>
        </w:tc>
        <w:tc>
          <w:tcPr>
            <w:tcW w:type="dxa" w:w="2100"/>
            <w:shd w:fill="D9E2F3" w:val="clear"/>
            <w:tcMar>
              <w:top w:type="dxa" w:w="80"/>
              <w:left w:type="dxa" w:w="100"/>
              <w:bottom w:type="dxa" w:w="80"/>
              <w:right w:type="dxa" w:w="100"/>
            </w:tcMar>
          </w:tcPr>
          <w:p>
            <w:r>
              <w:rPr>
                <w:b/>
                <w:bCs/>
              </w:rPr>
              <w:t xml:space="preserve">Contains</w:t>
            </w:r>
          </w:p>
        </w:tc>
        <w:tc>
          <w:tcPr>
            <w:tcW w:type="dxa" w:w="2700"/>
            <w:shd w:fill="D9E2F3" w:val="clear"/>
            <w:tcMar>
              <w:top w:type="dxa" w:w="80"/>
              <w:left w:type="dxa" w:w="100"/>
              <w:bottom w:type="dxa" w:w="80"/>
              <w:right w:type="dxa" w:w="100"/>
            </w:tcMar>
          </w:tcPr>
          <w:p>
            <w:r>
              <w:rPr>
                <w:b/>
                <w:bCs/>
              </w:rPr>
              <w:t xml:space="preserve">Responsible for</w:t>
            </w:r>
          </w:p>
        </w:tc>
        <w:tc>
          <w:tcPr>
            <w:tcW w:type="dxa" w:w="2660"/>
            <w:shd w:fill="D9E2F3" w:val="clear"/>
            <w:tcMar>
              <w:top w:type="dxa" w:w="80"/>
              <w:left w:type="dxa" w:w="100"/>
              <w:bottom w:type="dxa" w:w="80"/>
              <w:right w:type="dxa" w:w="100"/>
            </w:tcMar>
          </w:tcPr>
          <w:p>
            <w:r>
              <w:rPr>
                <w:b/>
                <w:bCs/>
              </w:rPr>
              <w:t xml:space="preserve">Never does</w:t>
            </w:r>
          </w:p>
        </w:tc>
      </w:tr>
      <w:tr>
        <w:tc>
          <w:tcPr>
            <w:tcW w:type="dxa" w:w="1900"/>
            <w:tcMar>
              <w:top w:type="dxa" w:w="80"/>
              <w:left w:type="dxa" w:w="100"/>
              <w:bottom w:type="dxa" w:w="80"/>
              <w:right w:type="dxa" w:w="100"/>
            </w:tcMar>
          </w:tcPr>
          <w:p>
            <w:r>
              <w:rPr>
                <w:b w:val="false"/>
                <w:bCs w:val="false"/>
              </w:rPr>
              <w:t xml:space="preserve">Application</w:t>
            </w:r>
          </w:p>
        </w:tc>
        <w:tc>
          <w:tcPr>
            <w:tcW w:type="dxa" w:w="2100"/>
            <w:tcMar>
              <w:top w:type="dxa" w:w="80"/>
              <w:left w:type="dxa" w:w="100"/>
              <w:bottom w:type="dxa" w:w="80"/>
              <w:right w:type="dxa" w:w="100"/>
            </w:tcMar>
          </w:tcPr>
          <w:p>
            <w:r>
              <w:rPr>
                <w:b w:val="false"/>
                <w:bCs w:val="false"/>
              </w:rPr>
              <w:t xml:space="preserve">Services, Resources</w:t>
            </w:r>
          </w:p>
        </w:tc>
        <w:tc>
          <w:tcPr>
            <w:tcW w:type="dxa" w:w="2700"/>
            <w:tcMar>
              <w:top w:type="dxa" w:w="80"/>
              <w:left w:type="dxa" w:w="100"/>
              <w:bottom w:type="dxa" w:w="80"/>
              <w:right w:type="dxa" w:w="100"/>
            </w:tcMar>
          </w:tcPr>
          <w:p>
            <w:r>
              <w:rPr>
                <w:b w:val="false"/>
                <w:bCs w:val="false"/>
              </w:rPr>
              <w:t xml:space="preserve">Business logic</w:t>
            </w:r>
          </w:p>
        </w:tc>
        <w:tc>
          <w:tcPr>
            <w:tcW w:type="dxa" w:w="2660"/>
            <w:tcMar>
              <w:top w:type="dxa" w:w="80"/>
              <w:left w:type="dxa" w:w="100"/>
              <w:bottom w:type="dxa" w:w="80"/>
              <w:right w:type="dxa" w:w="100"/>
            </w:tcMar>
          </w:tcPr>
          <w:p>
            <w:r>
              <w:rPr>
                <w:b w:val="false"/>
                <w:bCs w:val="false"/>
              </w:rPr>
              <w:t xml:space="preserve">Knows nothing about tunnels or transport</w:t>
            </w:r>
          </w:p>
        </w:tc>
      </w:tr>
      <w:tr>
        <w:tc>
          <w:tcPr>
            <w:tcW w:type="dxa" w:w="1900"/>
            <w:tcMar>
              <w:top w:type="dxa" w:w="80"/>
              <w:left w:type="dxa" w:w="100"/>
              <w:bottom w:type="dxa" w:w="80"/>
              <w:right w:type="dxa" w:w="100"/>
            </w:tcMar>
          </w:tcPr>
          <w:p>
            <w:r>
              <w:rPr>
                <w:b w:val="false"/>
                <w:bCs w:val="false"/>
              </w:rPr>
              <w:t xml:space="preserve">Connectivity (transport)</w:t>
            </w:r>
          </w:p>
        </w:tc>
        <w:tc>
          <w:tcPr>
            <w:tcW w:type="dxa" w:w="2100"/>
            <w:tcMar>
              <w:top w:type="dxa" w:w="80"/>
              <w:left w:type="dxa" w:w="100"/>
              <w:bottom w:type="dxa" w:w="80"/>
              <w:right w:type="dxa" w:w="100"/>
            </w:tcMar>
          </w:tcPr>
          <w:p>
            <w:r>
              <w:rPr>
                <w:b w:val="false"/>
                <w:bCs w:val="false"/>
              </w:rPr>
              <w:t xml:space="preserve">Connect Agent, ztunnel, waypoint</w:t>
            </w:r>
          </w:p>
        </w:tc>
        <w:tc>
          <w:tcPr>
            <w:tcW w:type="dxa" w:w="2700"/>
            <w:tcMar>
              <w:top w:type="dxa" w:w="80"/>
              <w:left w:type="dxa" w:w="100"/>
              <w:bottom w:type="dxa" w:w="80"/>
              <w:right w:type="dxa" w:w="100"/>
            </w:tcMar>
          </w:tcPr>
          <w:p>
            <w:r>
              <w:rPr>
                <w:b w:val="false"/>
                <w:bCs w:val="false"/>
              </w:rPr>
              <w:t xml:space="preserve">Moving bytes, mTLS transport, transport-level retry, multiplexing</w:t>
            </w:r>
          </w:p>
        </w:tc>
        <w:tc>
          <w:tcPr>
            <w:tcW w:type="dxa" w:w="2660"/>
            <w:tcMar>
              <w:top w:type="dxa" w:w="80"/>
              <w:left w:type="dxa" w:w="100"/>
              <w:bottom w:type="dxa" w:w="80"/>
              <w:right w:type="dxa" w:w="100"/>
            </w:tcMar>
          </w:tcPr>
          <w:p>
            <w:r>
              <w:rPr>
                <w:b w:val="false"/>
                <w:bCs w:val="false"/>
              </w:rPr>
              <w:t xml:space="preserve">Authorization, routing decisions, business identity</w:t>
            </w:r>
          </w:p>
        </w:tc>
      </w:tr>
      <w:tr>
        <w:tc>
          <w:tcPr>
            <w:tcW w:type="dxa" w:w="1900"/>
            <w:tcMar>
              <w:top w:type="dxa" w:w="80"/>
              <w:left w:type="dxa" w:w="100"/>
              <w:bottom w:type="dxa" w:w="80"/>
              <w:right w:type="dxa" w:w="100"/>
            </w:tcMar>
          </w:tcPr>
          <w:p>
            <w:r>
              <w:rPr>
                <w:b w:val="false"/>
                <w:bCs w:val="false"/>
              </w:rPr>
              <w:t xml:space="preserve">Platform (control/policy)</w:t>
            </w:r>
          </w:p>
        </w:tc>
        <w:tc>
          <w:tcPr>
            <w:tcW w:type="dxa" w:w="2100"/>
            <w:tcMar>
              <w:top w:type="dxa" w:w="80"/>
              <w:left w:type="dxa" w:w="100"/>
              <w:bottom w:type="dxa" w:w="80"/>
              <w:right w:type="dxa" w:w="100"/>
            </w:tcMar>
          </w:tcPr>
          <w:p>
            <w:r>
              <w:rPr>
                <w:b w:val="false"/>
                <w:bCs w:val="false"/>
              </w:rPr>
              <w:t xml:space="preserve">Gateway, Controllers</w:t>
            </w:r>
          </w:p>
        </w:tc>
        <w:tc>
          <w:tcPr>
            <w:tcW w:type="dxa" w:w="2700"/>
            <w:tcMar>
              <w:top w:type="dxa" w:w="80"/>
              <w:left w:type="dxa" w:w="100"/>
              <w:bottom w:type="dxa" w:w="80"/>
              <w:right w:type="dxa" w:w="100"/>
            </w:tcMar>
          </w:tcPr>
          <w:p>
            <w:r>
              <w:rPr>
                <w:b w:val="false"/>
                <w:bCs w:val="false"/>
              </w:rPr>
              <w:t xml:space="preserve">Authentication, authorization, routing, configuration, audit, registry</w:t>
            </w:r>
          </w:p>
        </w:tc>
        <w:tc>
          <w:tcPr>
            <w:tcW w:type="dxa" w:w="2660"/>
            <w:tcMar>
              <w:top w:type="dxa" w:w="80"/>
              <w:left w:type="dxa" w:w="100"/>
              <w:bottom w:type="dxa" w:w="80"/>
              <w:right w:type="dxa" w:w="100"/>
            </w:tcMar>
          </w:tcPr>
          <w:p>
            <w:r>
              <w:rPr>
                <w:b w:val="false"/>
                <w:bCs w:val="false"/>
              </w:rPr>
              <w:t xml:space="preserve">Forwarding traffic (Controllers) / inventing topology (Gateway)</w:t>
            </w:r>
          </w:p>
        </w:tc>
      </w:tr>
      <w:tr>
        <w:tc>
          <w:tcPr>
            <w:tcW w:type="dxa" w:w="1900"/>
            <w:tcMar>
              <w:top w:type="dxa" w:w="80"/>
              <w:left w:type="dxa" w:w="100"/>
              <w:bottom w:type="dxa" w:w="80"/>
              <w:right w:type="dxa" w:w="100"/>
            </w:tcMar>
          </w:tcPr>
          <w:p>
            <w:r>
              <w:rPr>
                <w:b w:val="false"/>
                <w:bCs w:val="false"/>
              </w:rPr>
              <w:t xml:space="preserve">Identity (cross-cutting)</w:t>
            </w:r>
          </w:p>
        </w:tc>
        <w:tc>
          <w:tcPr>
            <w:tcW w:type="dxa" w:w="2100"/>
            <w:tcMar>
              <w:top w:type="dxa" w:w="80"/>
              <w:left w:type="dxa" w:w="100"/>
              <w:bottom w:type="dxa" w:w="80"/>
              <w:right w:type="dxa" w:w="100"/>
            </w:tcMar>
          </w:tcPr>
          <w:p>
            <w:r>
              <w:rPr>
                <w:b w:val="false"/>
                <w:bCs w:val="false"/>
              </w:rPr>
              <w:t xml:space="preserve">Tenant Identity, Workload Evidence, future Workload Identity</w:t>
            </w:r>
          </w:p>
        </w:tc>
        <w:tc>
          <w:tcPr>
            <w:tcW w:type="dxa" w:w="2700"/>
            <w:tcMar>
              <w:top w:type="dxa" w:w="80"/>
              <w:left w:type="dxa" w:w="100"/>
              <w:bottom w:type="dxa" w:w="80"/>
              <w:right w:type="dxa" w:w="100"/>
            </w:tcMar>
          </w:tcPr>
          <w:p>
            <w:r>
              <w:rPr>
                <w:b w:val="false"/>
                <w:bCs w:val="false"/>
              </w:rPr>
              <w:t xml:space="preserve">Proving who/what, at varying strength</w:t>
            </w:r>
          </w:p>
        </w:tc>
        <w:tc>
          <w:tcPr>
            <w:tcW w:type="dxa" w:w="2660"/>
            <w:tcMar>
              <w:top w:type="dxa" w:w="80"/>
              <w:left w:type="dxa" w:w="100"/>
              <w:bottom w:type="dxa" w:w="80"/>
              <w:right w:type="dxa" w:w="100"/>
            </w:tcMar>
          </w:tcPr>
          <w:p>
            <w:r>
              <w:rPr>
                <w:b w:val="false"/>
                <w:bCs w:val="false"/>
              </w:rPr>
              <w:t xml:space="preserve">Never mixed into transport logic</w:t>
            </w:r>
          </w:p>
        </w:tc>
      </w:tr>
    </w:tbl>
    <w:p>
      <w:pPr>
        <w:pStyle w:val="Heading2"/>
        <w:spacing w:after="150" w:before="300"/>
      </w:pPr>
      <w:r>
        <w:t xml:space="preserve">4.2 Ownership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60"/>
      </w:tblGrid>
      <w:tr>
        <w:trPr>
          <w:tblHeader/>
        </w:trPr>
        <w:tc>
          <w:tcPr>
            <w:tcW w:type="dxa" w:w="2600"/>
            <w:shd w:fill="D9E2F3" w:val="clear"/>
            <w:tcMar>
              <w:top w:type="dxa" w:w="80"/>
              <w:left w:type="dxa" w:w="100"/>
              <w:bottom w:type="dxa" w:w="80"/>
              <w:right w:type="dxa" w:w="100"/>
            </w:tcMar>
          </w:tcPr>
          <w:p>
            <w:r>
              <w:rPr>
                <w:b/>
                <w:bCs/>
              </w:rPr>
              <w:t xml:space="preserve">Component</w:t>
            </w:r>
          </w:p>
        </w:tc>
        <w:tc>
          <w:tcPr>
            <w:tcW w:type="dxa" w:w="2100"/>
            <w:shd w:fill="D9E2F3" w:val="clear"/>
            <w:tcMar>
              <w:top w:type="dxa" w:w="80"/>
              <w:left w:type="dxa" w:w="100"/>
              <w:bottom w:type="dxa" w:w="80"/>
              <w:right w:type="dxa" w:w="100"/>
            </w:tcMar>
          </w:tcPr>
          <w:p>
            <w:r>
              <w:rPr>
                <w:b/>
                <w:bCs/>
              </w:rPr>
              <w:t xml:space="preserve">Operated by</w:t>
            </w:r>
          </w:p>
        </w:tc>
        <w:tc>
          <w:tcPr>
            <w:tcW w:type="dxa" w:w="4660"/>
            <w:shd w:fill="D9E2F3" w:val="clear"/>
            <w:tcMar>
              <w:top w:type="dxa" w:w="80"/>
              <w:left w:type="dxa" w:w="100"/>
              <w:bottom w:type="dxa" w:w="80"/>
              <w:right w:type="dxa" w:w="100"/>
            </w:tcMar>
          </w:tcPr>
          <w:p>
            <w:r>
              <w:rPr>
                <w:b/>
                <w:bCs/>
              </w:rPr>
              <w:t xml:space="preserve">Note</w:t>
            </w:r>
          </w:p>
        </w:tc>
      </w:tr>
      <w:tr>
        <w:tc>
          <w:tcPr>
            <w:tcW w:type="dxa" w:w="2600"/>
            <w:tcMar>
              <w:top w:type="dxa" w:w="80"/>
              <w:left w:type="dxa" w:w="100"/>
              <w:bottom w:type="dxa" w:w="80"/>
              <w:right w:type="dxa" w:w="100"/>
            </w:tcMar>
          </w:tcPr>
          <w:p>
            <w:r>
              <w:rPr>
                <w:b w:val="false"/>
                <w:bCs w:val="false"/>
              </w:rPr>
              <w:t xml:space="preserve">Gateway</w:t>
            </w:r>
          </w:p>
        </w:tc>
        <w:tc>
          <w:tcPr>
            <w:tcW w:type="dxa" w:w="2100"/>
            <w:tcMar>
              <w:top w:type="dxa" w:w="80"/>
              <w:left w:type="dxa" w:w="100"/>
              <w:bottom w:type="dxa" w:w="80"/>
              <w:right w:type="dxa" w:w="100"/>
            </w:tcMar>
          </w:tcPr>
          <w:p>
            <w:r>
              <w:rPr>
                <w:b w:val="false"/>
                <w:bCs w:val="false"/>
              </w:rPr>
              <w:t xml:space="preserve">Platform</w:t>
            </w:r>
          </w:p>
        </w:tc>
        <w:tc>
          <w:tcPr>
            <w:tcW w:type="dxa" w:w="46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Controllers</w:t>
            </w:r>
          </w:p>
        </w:tc>
        <w:tc>
          <w:tcPr>
            <w:tcW w:type="dxa" w:w="2100"/>
            <w:tcMar>
              <w:top w:type="dxa" w:w="80"/>
              <w:left w:type="dxa" w:w="100"/>
              <w:bottom w:type="dxa" w:w="80"/>
              <w:right w:type="dxa" w:w="100"/>
            </w:tcMar>
          </w:tcPr>
          <w:p>
            <w:r>
              <w:rPr>
                <w:b w:val="false"/>
                <w:bCs w:val="false"/>
              </w:rPr>
              <w:t xml:space="preserve">Platform</w:t>
            </w:r>
          </w:p>
        </w:tc>
        <w:tc>
          <w:tcPr>
            <w:tcW w:type="dxa" w:w="46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PKI</w:t>
            </w:r>
          </w:p>
        </w:tc>
        <w:tc>
          <w:tcPr>
            <w:tcW w:type="dxa" w:w="2100"/>
            <w:tcMar>
              <w:top w:type="dxa" w:w="80"/>
              <w:left w:type="dxa" w:w="100"/>
              <w:bottom w:type="dxa" w:w="80"/>
              <w:right w:type="dxa" w:w="100"/>
            </w:tcMar>
          </w:tcPr>
          <w:p>
            <w:r>
              <w:rPr>
                <w:b w:val="false"/>
                <w:bCs w:val="false"/>
              </w:rPr>
              <w:t xml:space="preserve">Platform</w:t>
            </w:r>
          </w:p>
        </w:tc>
        <w:tc>
          <w:tcPr>
            <w:tcW w:type="dxa" w:w="4660"/>
            <w:tcMar>
              <w:top w:type="dxa" w:w="80"/>
              <w:left w:type="dxa" w:w="100"/>
              <w:bottom w:type="dxa" w:w="80"/>
              <w:right w:type="dxa" w:w="100"/>
            </w:tcMar>
          </w:tcPr>
          <w:p>
            <w:r>
              <w:rPr>
                <w:b w:val="false"/>
                <w:bCs w:val="false"/>
              </w:rPr>
              <w:t xml:space="preserve">Reused (step-ca or equivalent), not built</w:t>
            </w:r>
          </w:p>
        </w:tc>
      </w:tr>
      <w:tr>
        <w:tc>
          <w:tcPr>
            <w:tcW w:type="dxa" w:w="2600"/>
            <w:tcMar>
              <w:top w:type="dxa" w:w="80"/>
              <w:left w:type="dxa" w:w="100"/>
              <w:bottom w:type="dxa" w:w="80"/>
              <w:right w:type="dxa" w:w="100"/>
            </w:tcMar>
          </w:tcPr>
          <w:p>
            <w:r>
              <w:rPr>
                <w:b w:val="false"/>
                <w:bCs w:val="false"/>
              </w:rPr>
              <w:t xml:space="preserve">Mesh (ztunnel, waypoint)</w:t>
            </w:r>
          </w:p>
        </w:tc>
        <w:tc>
          <w:tcPr>
            <w:tcW w:type="dxa" w:w="2100"/>
            <w:tcMar>
              <w:top w:type="dxa" w:w="80"/>
              <w:left w:type="dxa" w:w="100"/>
              <w:bottom w:type="dxa" w:w="80"/>
              <w:right w:type="dxa" w:w="100"/>
            </w:tcMar>
          </w:tcPr>
          <w:p>
            <w:r>
              <w:rPr>
                <w:b w:val="false"/>
                <w:bCs w:val="false"/>
              </w:rPr>
              <w:t xml:space="preserve">Platform</w:t>
            </w:r>
          </w:p>
        </w:tc>
        <w:tc>
          <w:tcPr>
            <w:tcW w:type="dxa" w:w="4660"/>
            <w:tcMar>
              <w:top w:type="dxa" w:w="80"/>
              <w:left w:type="dxa" w:w="100"/>
              <w:bottom w:type="dxa" w:w="80"/>
              <w:right w:type="dxa" w:w="100"/>
            </w:tcMar>
          </w:tcPr>
          <w:p>
            <w:r>
              <w:rPr>
                <w:b w:val="false"/>
                <w:bCs w:val="false"/>
              </w:rPr>
              <w:t xml:space="preserve">Reused (Istio Ambient), not built</w:t>
            </w:r>
          </w:p>
        </w:tc>
      </w:tr>
      <w:tr>
        <w:tc>
          <w:tcPr>
            <w:tcW w:type="dxa" w:w="2600"/>
            <w:tcMar>
              <w:top w:type="dxa" w:w="80"/>
              <w:left w:type="dxa" w:w="100"/>
              <w:bottom w:type="dxa" w:w="80"/>
              <w:right w:type="dxa" w:w="100"/>
            </w:tcMar>
          </w:tcPr>
          <w:p>
            <w:r>
              <w:rPr>
                <w:b w:val="false"/>
                <w:bCs w:val="false"/>
              </w:rPr>
              <w:t xml:space="preserve">Platform Services / Resources</w:t>
            </w:r>
          </w:p>
        </w:tc>
        <w:tc>
          <w:tcPr>
            <w:tcW w:type="dxa" w:w="2100"/>
            <w:tcMar>
              <w:top w:type="dxa" w:w="80"/>
              <w:left w:type="dxa" w:w="100"/>
              <w:bottom w:type="dxa" w:w="80"/>
              <w:right w:type="dxa" w:w="100"/>
            </w:tcMar>
          </w:tcPr>
          <w:p>
            <w:r>
              <w:rPr>
                <w:b w:val="false"/>
                <w:bCs w:val="false"/>
              </w:rPr>
              <w:t xml:space="preserve">Platform</w:t>
            </w:r>
          </w:p>
        </w:tc>
        <w:tc>
          <w:tcPr>
            <w:tcW w:type="dxa" w:w="4660"/>
            <w:tcMar>
              <w:top w:type="dxa" w:w="80"/>
              <w:left w:type="dxa" w:w="100"/>
              <w:bottom w:type="dxa" w:w="80"/>
              <w:right w:type="dxa" w:w="100"/>
            </w:tcMar>
          </w:tcPr>
          <w:p>
            <w:r>
              <w:rPr>
                <w:b w:val="false"/>
                <w:bCs w:val="false"/>
              </w:rPr>
              <w:t xml:space="preserve"/>
            </w:r>
          </w:p>
        </w:tc>
      </w:tr>
      <w:tr>
        <w:tc>
          <w:tcPr>
            <w:tcW w:type="dxa" w:w="2600"/>
            <w:tcMar>
              <w:top w:type="dxa" w:w="80"/>
              <w:left w:type="dxa" w:w="100"/>
              <w:bottom w:type="dxa" w:w="80"/>
              <w:right w:type="dxa" w:w="100"/>
            </w:tcMar>
          </w:tcPr>
          <w:p>
            <w:r>
              <w:rPr>
                <w:b w:val="false"/>
                <w:bCs w:val="false"/>
              </w:rPr>
              <w:t xml:space="preserve">Connect Agent</w:t>
            </w:r>
          </w:p>
        </w:tc>
        <w:tc>
          <w:tcPr>
            <w:tcW w:type="dxa" w:w="2100"/>
            <w:tcMar>
              <w:top w:type="dxa" w:w="80"/>
              <w:left w:type="dxa" w:w="100"/>
              <w:bottom w:type="dxa" w:w="80"/>
              <w:right w:type="dxa" w:w="100"/>
            </w:tcMar>
          </w:tcPr>
          <w:p>
            <w:r>
              <w:rPr>
                <w:b w:val="false"/>
                <w:bCs w:val="false"/>
              </w:rPr>
              <w:t xml:space="preserve">Shared</w:t>
            </w:r>
          </w:p>
        </w:tc>
        <w:tc>
          <w:tcPr>
            <w:tcW w:type="dxa" w:w="4660"/>
            <w:tcMar>
              <w:top w:type="dxa" w:w="80"/>
              <w:left w:type="dxa" w:w="100"/>
              <w:bottom w:type="dxa" w:w="80"/>
              <w:right w:type="dxa" w:w="100"/>
            </w:tcMar>
          </w:tcPr>
          <w:p>
            <w:r>
              <w:rPr>
                <w:b w:val="false"/>
                <w:bCs w:val="false"/>
              </w:rPr>
              <w:t xml:space="preserve">Platform-authored software, deployed and run inside the Customer Environment</w:t>
            </w:r>
          </w:p>
        </w:tc>
      </w:tr>
      <w:tr>
        <w:tc>
          <w:tcPr>
            <w:tcW w:type="dxa" w:w="2600"/>
            <w:tcMar>
              <w:top w:type="dxa" w:w="80"/>
              <w:left w:type="dxa" w:w="100"/>
              <w:bottom w:type="dxa" w:w="80"/>
              <w:right w:type="dxa" w:w="100"/>
            </w:tcMar>
          </w:tcPr>
          <w:p>
            <w:r>
              <w:rPr>
                <w:b w:val="false"/>
                <w:bCs w:val="false"/>
              </w:rPr>
              <w:t xml:space="preserve">Customer Services / Resources</w:t>
            </w:r>
          </w:p>
        </w:tc>
        <w:tc>
          <w:tcPr>
            <w:tcW w:type="dxa" w:w="2100"/>
            <w:tcMar>
              <w:top w:type="dxa" w:w="80"/>
              <w:left w:type="dxa" w:w="100"/>
              <w:bottom w:type="dxa" w:w="80"/>
              <w:right w:type="dxa" w:w="100"/>
            </w:tcMar>
          </w:tcPr>
          <w:p>
            <w:r>
              <w:rPr>
                <w:b w:val="false"/>
                <w:bCs w:val="false"/>
              </w:rPr>
              <w:t xml:space="preserve">Customer</w:t>
            </w:r>
          </w:p>
        </w:tc>
        <w:tc>
          <w:tcPr>
            <w:tcW w:type="dxa" w:w="4660"/>
            <w:tcMar>
              <w:top w:type="dxa" w:w="80"/>
              <w:left w:type="dxa" w:w="100"/>
              <w:bottom w:type="dxa" w:w="80"/>
              <w:right w:type="dxa" w:w="100"/>
            </w:tcMar>
          </w:tcPr>
          <w:p>
            <w:r>
              <w:rPr>
                <w:b w:val="false"/>
                <w:bCs w:val="false"/>
              </w:rPr>
              <w:t xml:space="preserve"/>
            </w:r>
          </w:p>
        </w:tc>
      </w:tr>
    </w:tbl>
    <w:p>
      <w:pPr>
        <w:pStyle w:val="Heading2"/>
        <w:spacing w:after="150" w:before="300"/>
      </w:pPr>
      <w:r>
        <w:t xml:space="preserve">4.3 Data Plane vs. Control Plane</w:t>
      </w:r>
    </w:p>
    <w:p>
      <w:pPr>
        <w:spacing w:after="120"/>
      </w:pPr>
      <w:r>
        <w:t xml:space="preserve">Control Plane creates registrations, certificates, configuration, and policy; it never forwards traffic. Data Plane (Connect Agent, Gateway, ztunnel, waypoint) forwards traffic; it never makes policy.</w:t>
      </w:r>
    </w:p>
    <w:p>
      <w:r>
        <w:br w:type="page"/>
      </w:r>
    </w:p>
    <w:p>
      <w:pPr>
        <w:pStyle w:val="Heading1"/>
        <w:spacing w:after="200" w:before="400"/>
      </w:pPr>
      <w:r>
        <w:t xml:space="preserve">5. Components: Roles, Responsibilities, and Tooling</w:t>
      </w:r>
    </w:p>
    <w:p>
      <w:pPr>
        <w:pStyle w:val="Heading2"/>
        <w:spacing w:after="150" w:before="300"/>
      </w:pPr>
      <w:r>
        <w:t xml:space="preserve">5.1 Connect Agent</w:t>
      </w:r>
    </w:p>
    <w:p>
      <w:pPr>
        <w:spacing w:after="120"/>
      </w:pPr>
      <w:r>
        <w:rPr>
          <w:b/>
          <w:bCs/>
        </w:rPr>
        <w:t xml:space="preserve">Purpose</w:t>
      </w:r>
    </w:p>
    <w:p>
      <w:pPr>
        <w:spacing w:after="120"/>
      </w:pPr>
      <w:r>
        <w:t xml:space="preserve">The single piece of platform software deployed into a Customer Environment. Provides secure, unprivileged transport between tenant infrastructure and the Platform Gateway.</w:t>
      </w:r>
    </w:p>
    <w:p>
      <w:pPr>
        <w:spacing w:after="120"/>
      </w:pPr>
      <w:r>
        <w:rPr>
          <w:b/>
          <w:bCs/>
        </w:rPr>
        <w:t xml:space="preserve">Deployment shape</w:t>
      </w:r>
    </w:p>
    <w:p>
      <w:pPr>
        <w:spacing w:after="120"/>
      </w:pPr>
      <w:r>
        <w:t xml:space="preserve">One binary; substrate-specific wrapper only — Kubernetes DaemonSet, ECS sidecar container, or a VM/bare-metal systemd unit. Identical behavior across all three.</w:t>
      </w:r>
    </w:p>
    <w:p>
      <w:pPr>
        <w:spacing w:after="120"/>
      </w:pPr>
      <w:r>
        <w:rPr>
          <w:b/>
          <w:bCs/>
        </w:rPr>
        <w:t xml:space="preserve">Does</w:t>
      </w:r>
    </w:p>
    <w:p>
      <w:pPr>
        <w:pStyle w:val="ListParagraph"/>
        <w:numPr>
          <w:ilvl w:val="0"/>
          <w:numId w:val="1"/>
        </w:numPr>
        <w:spacing w:after="60"/>
      </w:pPr>
      <w:r>
        <w:t xml:space="preserve">Establishes an authenticated, outbound-only, long-lived, multiplexed tunnel to the Gateway.</w:t>
      </w:r>
    </w:p>
    <w:p>
      <w:pPr>
        <w:pStyle w:val="ListParagraph"/>
        <w:numPr>
          <w:ilvl w:val="0"/>
          <w:numId w:val="1"/>
        </w:numPr>
        <w:spacing w:after="60"/>
      </w:pPr>
      <w:r>
        <w:t xml:space="preserve">Exposes local connectivity endpoints for Service Connectivity and Resource Connectivity.</w:t>
      </w:r>
    </w:p>
    <w:p>
      <w:pPr>
        <w:pStyle w:val="ListParagraph"/>
        <w:numPr>
          <w:ilvl w:val="0"/>
          <w:numId w:val="1"/>
        </w:numPr>
        <w:spacing w:after="60"/>
      </w:pPr>
      <w:r>
        <w:t xml:space="preserve">Multiplexes independent logical streams over the single tunnel.</w:t>
      </w:r>
    </w:p>
    <w:p>
      <w:pPr>
        <w:pStyle w:val="ListParagraph"/>
        <w:numPr>
          <w:ilvl w:val="0"/>
          <w:numId w:val="1"/>
        </w:numPr>
        <w:spacing w:after="60"/>
      </w:pPr>
      <w:r>
        <w:t xml:space="preserve">Forwards bytes — pure passthrough, including for Resource Connectivity, where it never terminates or inspects TLS (DB wire protocols such as PostgreSQL negotiate TLS in-band; generic proxy termination breaks this class of client).</w:t>
      </w:r>
    </w:p>
    <w:p>
      <w:pPr>
        <w:pStyle w:val="ListParagraph"/>
        <w:numPr>
          <w:ilvl w:val="0"/>
          <w:numId w:val="1"/>
        </w:numPr>
        <w:spacing w:after="60"/>
      </w:pPr>
      <w:r>
        <w:t>plaintext visibility property (resolves former §14 item 6): the Gateway terminates tunnel mTLS and then relays raw bytes. When the destination protocol provides its own TLS (e.g. PostgreSQL in-band TLS, or application TLS on Service Connectivity), confidentiality is preserved end-to-end past the Gateway. When tls_mode is none, or the application does not wrap the session, Platform operators with access to the Gateway data path can observe plaintext. Customers MUST treat tls_mode / application TLS as a confidentiality control, not merely a reachability hint.</w:t>
      </w:r>
    </w:p>
    <w:p>
      <w:pPr>
        <w:pStyle w:val="ListParagraph"/>
        <w:numPr>
          <w:ilvl w:val="0"/>
          <w:numId w:val="1"/>
        </w:numPr>
        <w:spacing w:after="60"/>
      </w:pPr>
      <w:r>
        <w:t xml:space="preserve">Owns transport-level retry only: tunnel reconnect, TCP reconnect, stream re-establishment.</w:t>
      </w:r>
    </w:p>
    <w:p>
      <w:pPr>
        <w:pStyle w:val="ListParagraph"/>
        <w:numPr>
          <w:ilvl w:val="0"/>
          <w:numId w:val="1"/>
        </w:numPr>
        <w:spacing w:after="60"/>
      </w:pPr>
      <w:r>
        <w:t xml:space="preserve">Reads and rotates its own certificate; reports health and metrics.</w:t>
      </w:r>
    </w:p>
    <w:p>
      <w:pPr>
        <w:spacing w:after="120"/>
      </w:pPr>
      <w:r>
        <w:rPr>
          <w:b/>
          <w:bCs/>
        </w:rPr>
        <w:t xml:space="preserve">Never</w:t>
      </w:r>
    </w:p>
    <w:p>
      <w:pPr>
        <w:pStyle w:val="ListParagraph"/>
        <w:numPr>
          <w:ilvl w:val="0"/>
          <w:numId w:val="1"/>
        </w:numPr>
        <w:spacing w:after="60"/>
      </w:pPr>
      <w:r>
        <w:t xml:space="preserve">Authorizes, evaluates policy, or makes routing decisions.</w:t>
      </w:r>
    </w:p>
    <w:p>
      <w:pPr>
        <w:pStyle w:val="ListParagraph"/>
        <w:numPr>
          <w:ilvl w:val="0"/>
          <w:numId w:val="1"/>
        </w:numPr>
        <w:spacing w:after="60"/>
      </w:pPr>
      <w:r>
        <w:t xml:space="preserve">Discovers topology or infers destinations — it consumes configuration only.</w:t>
      </w:r>
    </w:p>
    <w:p>
      <w:pPr>
        <w:pStyle w:val="ListParagraph"/>
        <w:numPr>
          <w:ilvl w:val="0"/>
          <w:numId w:val="1"/>
        </w:numPr>
        <w:spacing w:after="60"/>
      </w:pPr>
      <w:r>
        <w:t xml:space="preserve">Parses or inspects an application protocol (HTTP, SQL, Kafka, Redis, Mongo).</w:t>
      </w:r>
    </w:p>
    <w:p>
      <w:pPr>
        <w:pStyle w:val="ListParagraph"/>
        <w:numPr>
          <w:ilvl w:val="0"/>
          <w:numId w:val="1"/>
        </w:numPr>
        <w:spacing w:after="60"/>
      </w:pPr>
      <w:r>
        <w:t xml:space="preserve">Retries an application-level operation (e.g. a database write).</w:t>
      </w:r>
    </w:p>
    <w:p>
      <w:pPr>
        <w:spacing w:after="120"/>
      </w:pPr>
      <w:r>
        <w:rPr>
          <w:b/>
          <w:bCs/>
        </w:rPr>
        <w:t xml:space="preserve">Security posture</w:t>
      </w:r>
    </w:p>
    <w:p>
      <w:pPr>
        <w:pStyle w:val="ListParagraph"/>
        <w:numPr>
          <w:ilvl w:val="0"/>
          <w:numId w:val="1"/>
        </w:numPr>
        <w:spacing w:after="60"/>
      </w:pPr>
      <w:r>
        <w:t xml:space="preserve">securityContext.capabilities: drop ALL; runAsNonRoot; no hostNetwork; no hostPath; no privilege escalation.</w:t>
      </w:r>
    </w:p>
    <w:p>
      <w:pPr>
        <w:pStyle w:val="ListParagraph"/>
        <w:numPr>
          <w:ilvl w:val="0"/>
          <w:numId w:val="1"/>
        </w:numPr>
        <w:spacing w:after="60"/>
      </w:pPr>
      <w:r>
        <w:t xml:space="preserve">Explicit listen-and-forward only — never transparent interception. This is the mechanism that removes the need for any elevated capability: iptables-based transparent redirection is the only part of a mesh data plane that requires privilege, and the agent simply never does it.</w:t>
      </w:r>
    </w:p>
    <w:p>
      <w:pPr>
        <w:pStyle w:val="ListParagraph"/>
        <w:numPr>
          <w:ilvl w:val="0"/>
          <w:numId w:val="1"/>
        </w:numPr>
        <w:spacing w:after="60"/>
      </w:pPr>
      <w:r>
        <w:t>Customer-local hop control (resolves former §14 item 1): the Connect Agent still does not authorize (ADR-007). To close the east-west gap on the customer side of the Gateway, every install bundle MUST include substrate ACL templates (Kubernetes NetworkPolicy, ECS security-group rules, VM host-firewall examples) that permit dialing Agent listeners only from labeled or otherwise known consumer workloads. Applying those templates is part of the one-time install (C2). Residual accepted risk: a customer who disables or omits the templates retains cluster/VPC-local access to every Active Registration for that tenant; the Platform UI MUST surface this during onboarding. This is network admission control, not a second identity authorization plane — Gateway registration checks remain the sole identity/registration authz boundary (ADR-002).</w:t>
      </w:r>
    </w:p>
    <w:p>
      <w:pPr>
        <w:spacing w:after="120"/>
      </w:pPr>
      <w:r>
        <w:rPr>
          <w:b/>
          <w:bCs/>
        </w:rPr>
        <w:t xml:space="preserve">Tooling / build vs. reuse</w:t>
      </w:r>
    </w:p>
    <w:p>
      <w:pPr>
        <w:pStyle w:val="ListParagraph"/>
        <w:numPr>
          <w:ilvl w:val="0"/>
          <w:numId w:val="1"/>
        </w:numPr>
        <w:spacing w:after="60"/>
      </w:pPr>
      <w:r>
        <w:t xml:space="preserve">Build: the agent itself (no off-the-shelf product matches these constraints).</w:t>
      </w:r>
    </w:p>
    <w:p>
      <w:pPr>
        <w:pStyle w:val="ListParagraph"/>
        <w:numPr>
          <w:ilvl w:val="0"/>
          <w:numId w:val="1"/>
        </w:numPr>
        <w:spacing w:after="60"/>
      </w:pPr>
      <w:r>
        <w:t xml:space="preserve">Reuse: a mature stream-multiplexing library (e.g. yamux or smux — both production-proven, used respectively by HashiCorp/libp2p and kcptun at scale) for session/stream management; standard TLS libraries; no custom wire-level framing beyond a thin metadata layer (destination id, tenant id, optional workload evidence) opened per stream.</w:t>
      </w:r>
    </w:p>
    <w:p>
      <w:pPr>
        <w:pStyle w:val="Heading2"/>
        <w:spacing w:after="150" w:before="300"/>
      </w:pPr>
      <w:r>
        <w:t xml:space="preserve">5.2 Platform Gateway</w:t>
      </w:r>
    </w:p>
    <w:p>
      <w:pPr>
        <w:spacing w:after="120"/>
      </w:pPr>
      <w:r>
        <w:rPr>
          <w:b/>
          <w:bCs/>
        </w:rPr>
        <w:t xml:space="preserve">Purpose</w:t>
      </w:r>
    </w:p>
    <w:p>
      <w:pPr>
        <w:spacing w:after="120"/>
      </w:pPr>
      <w:r>
        <w:t xml:space="preserve">The sole trust and authorization boundary between the two deployment domains. Functionally a policy-aware stream broker — not a reverse proxy, not an API gateway.</w:t>
      </w:r>
    </w:p>
    <w:p>
      <w:pPr>
        <w:spacing w:after="120"/>
      </w:pPr>
      <w:r>
        <w:rPr>
          <w:b/>
          <w:bCs/>
        </w:rPr>
        <w:t xml:space="preserve">Pipeline</w:t>
      </w:r>
    </w:p>
    <w:p>
      <w:pPr>
        <w:shd w:fill="F2F2F2" w:val="clear"/>
        <w:spacing w:after="60"/>
      </w:pPr>
      <w:r>
        <w:rPr>
          <w:rFonts w:ascii="Consolas" w:cs="Consolas" w:eastAsia="Consolas" w:hAnsi="Consolas"/>
          <w:sz w:val="18"/>
          <w:szCs w:val="18"/>
        </w:rPr>
        <w:t xml:space="preserve">incoming stream → authenticate tenant → validate optional workload evidence → look up registration → authorize → resolve Destination Adapter → open destination stream → relay bytes → audit</w:t>
      </w:r>
    </w:p>
    <w:p>
      <w:pPr>
        <w:spacing w:after="120"/>
      </w:pPr>
      <w:r>
        <w:rPr>
          <w:b/>
          <w:bCs/>
        </w:rPr>
        <w:t xml:space="preserve">Does</w:t>
      </w:r>
    </w:p>
    <w:p>
      <w:pPr>
        <w:pStyle w:val="ListParagraph"/>
        <w:numPr>
          <w:ilvl w:val="0"/>
          <w:numId w:val="1"/>
        </w:numPr>
        <w:spacing w:after="60"/>
      </w:pPr>
      <w:r>
        <w:t xml:space="preserve">Authenticates the tenant connection via its mTLS certificate.</w:t>
      </w:r>
    </w:p>
    <w:p>
      <w:pPr>
        <w:pStyle w:val="ListParagraph"/>
        <w:numPr>
          <w:ilvl w:val="0"/>
          <w:numId w:val="1"/>
        </w:numPr>
        <w:spacing w:after="60"/>
      </w:pPr>
      <w:r>
        <w:t xml:space="preserve">Validates optional workload evidence (attribution only).</w:t>
      </w:r>
    </w:p>
    <w:p>
      <w:pPr>
        <w:pStyle w:val="ListParagraph"/>
        <w:numPr>
          <w:ilvl w:val="0"/>
          <w:numId w:val="1"/>
        </w:numPr>
        <w:spacing w:after="60"/>
      </w:pPr>
      <w:r>
        <w:t xml:space="preserve">Authorizes strictly from its own registry — a credential can inform logging, never grant access.</w:t>
      </w:r>
    </w:p>
    <w:p>
      <w:pPr>
        <w:pStyle w:val="ListParagraph"/>
        <w:numPr>
          <w:ilvl w:val="0"/>
          <w:numId w:val="1"/>
        </w:numPr>
        <w:spacing w:after="60"/>
      </w:pPr>
      <w:r>
        <w:t xml:space="preserve">Dispatches to a Destination Adapter (Connect Agent, Platform Connector, or Direct Endpoint) without needing to know which kind it is at the authorization-logic level.</w:t>
      </w:r>
    </w:p>
    <w:p>
      <w:pPr>
        <w:pStyle w:val="ListParagraph"/>
        <w:numPr>
          <w:ilvl w:val="0"/>
          <w:numId w:val="1"/>
        </w:numPr>
        <w:spacing w:after="60"/>
      </w:pPr>
      <w:r>
        <w:t xml:space="preserve">Destination Adapter selection by Registration.destination_kind (closes the previously-implicit ADR-008 mapping gap): CUSTOMER_SERVICE and CUSTOMER_RESOURCE → Connect Agent Adapter; PLATFORM_RESOURCE → Platform Connector Adapter; PLATFORM_SERVICE → Direct Endpoint Adapter. Direct Endpoint Adapter means: after Gateway authorization, dial the Registration’s mesh-reachable host:port into the Platform ambient mesh (ztunnel → [optional waypoint] → Platform Service). It is not an authorization bypass and not a customer-side dial — authz still happens at the Gateway first. Unknown destination_kind values fail closed (no default adapter).</w:t>
      </w:r>
    </w:p>
    <w:p>
      <w:pPr>
        <w:pStyle w:val="ListParagraph"/>
        <w:numPr>
          <w:ilvl w:val="0"/>
          <w:numId w:val="1"/>
        </w:numPr>
        <w:spacing w:after="60"/>
      </w:pPr>
      <w:r>
        <w:t>Destination Agent selection rule (resolves former §14 item 3): when the Destination Adapter is Connect Agent Adapter, the Gateway selects among Connect Agent instances that (a) belong to the authenticated tenant, (b) are Connected with Tunnel Ready, (c) have applied the Registration’s current generation, and (d) report observed reachability=true for that destination (after a short probe-grace window, reachability=unknown may be tried once). Tie-break: lowest active stream count on that instance. If no eligible instance exists, the stream is rejected as DESTINATION_UNAVAILABLE — the Gateway never invents topology (ADR-010) and never sends a stream to an Agent that has not advertised reachability for that Registration.</w:t>
      </w:r>
    </w:p>
    <w:p>
      <w:pPr>
        <w:pStyle w:val="ListParagraph"/>
        <w:numPr>
          <w:ilvl w:val="0"/>
          <w:numId w:val="1"/>
        </w:numPr>
        <w:spacing w:after="60"/>
      </w:pPr>
      <w:r>
        <w:t xml:space="preserve">Emits audit events.</w:t>
      </w:r>
    </w:p>
    <w:p>
      <w:pPr>
        <w:pStyle w:val="ListParagraph"/>
        <w:numPr>
          <w:ilvl w:val="0"/>
          <w:numId w:val="1"/>
        </w:numPr>
        <w:spacing w:after="60"/>
      </w:pPr>
      <w:r>
        <w:t>Gateway tenant quotas (resolves former §14 item 8): the Gateway enforces per-tenant limits on concurrent tunnels, concurrent streams, and stream-open rate. Platform-wide defaults apply; per-tenant overrides are allowed. Exceeding a limit yields a specific denial (e.g. RETRY_LATER for rate, or a quota reason in audit) — never silent drop. Waypoint L7 rate limiting remains a separate, mesh-internal capability and does not substitute for quotas at this trust boundary.</w:t>
      </w:r>
    </w:p>
    <w:p>
      <w:pPr>
        <w:spacing w:after="120"/>
      </w:pPr>
      <w:r>
        <w:rPr>
          <w:b/>
          <w:bCs/>
        </w:rPr>
        <w:t xml:space="preserve">Never</w:t>
      </w:r>
    </w:p>
    <w:p>
      <w:pPr>
        <w:pStyle w:val="ListParagraph"/>
        <w:numPr>
          <w:ilvl w:val="0"/>
          <w:numId w:val="1"/>
        </w:numPr>
        <w:spacing w:after="60"/>
      </w:pPr>
      <w:r>
        <w:t xml:space="preserve">Parses database or other application protocols.</w:t>
      </w:r>
    </w:p>
    <w:p>
      <w:pPr>
        <w:pStyle w:val="ListParagraph"/>
        <w:numPr>
          <w:ilvl w:val="0"/>
          <w:numId w:val="1"/>
        </w:numPr>
        <w:spacing w:after="60"/>
      </w:pPr>
      <w:r>
        <w:t xml:space="preserve">Makes retry decisions for resource (DB) traffic.</w:t>
      </w:r>
    </w:p>
    <w:p>
      <w:pPr>
        <w:pStyle w:val="ListParagraph"/>
        <w:numPr>
          <w:ilvl w:val="0"/>
          <w:numId w:val="1"/>
        </w:numPr>
        <w:spacing w:after="60"/>
      </w:pPr>
      <w:r>
        <w:t xml:space="preserve">Rewrites application protocols, does HTTP/REST/GraphQL-aware routing, caches responses, or performs request transformation.</w:t>
      </w:r>
    </w:p>
    <w:p>
      <w:pPr>
        <w:pStyle w:val="ListParagraph"/>
        <w:numPr>
          <w:ilvl w:val="0"/>
          <w:numId w:val="1"/>
        </w:numPr>
        <w:spacing w:after="60"/>
      </w:pPr>
      <w:r>
        <w:t xml:space="preserve">Infers authorization from workload claims.</w:t>
      </w:r>
    </w:p>
    <w:p>
      <w:pPr>
        <w:spacing w:after="120"/>
      </w:pPr>
      <w:r>
        <w:rPr>
          <w:b/>
          <w:bCs/>
        </w:rPr>
        <w:t xml:space="preserve">Internal structure</w:t>
      </w:r>
    </w:p>
    <w:p>
      <w:pPr>
        <w:spacing w:after="120"/>
      </w:pPr>
      <w:r>
        <w:t xml:space="preserve">Split into two clearly separated concerns, matching the same one-process/clean-internal-boundaries discipline used elsewhere in this architecture (Connect Agent, §5.1):</w:t>
      </w:r>
    </w:p>
    <w:p>
      <w:pPr>
        <w:pStyle w:val="ListParagraph"/>
        <w:numPr>
          <w:ilvl w:val="0"/>
          <w:numId w:val="1"/>
        </w:numPr>
        <w:spacing w:after="60"/>
      </w:pPr>
      <w:r>
        <w:t xml:space="preserve">mTLS termination and certificate validation — accepts the tenant tunnel, performs the mTLS handshake, and checks the presented certificate's identity fields. This is delegated to Ghostunnel (a small, single-purpose, audited TLS-terminating proxy with mutual-authentication support), rather than hand-built, because TLS handshake and certificate-validation code is exactly the kind of security-critical surface not worth re-implementing when a small, purpose-built tool already does it correctly.</w:t>
      </w:r>
    </w:p>
    <w:p>
      <w:pPr>
        <w:pStyle w:val="ListParagraph"/>
        <w:numPr>
          <w:ilvl w:val="0"/>
          <w:numId w:val="1"/>
        </w:numPr>
        <w:spacing w:after="60"/>
      </w:pPr>
      <w:r>
        <w:t xml:space="preserve">Registration lookup, authorization, and destination dispatch — everything domain-specific and irreducibly the Platform's own: given an already-authenticated, already-decrypted connection, look up the Registration, authorize against it (Level 1 §6.2), and dispatch through the appropriate Destination Adapter (§8, ADR-008).</w:t>
      </w:r>
    </w:p>
    <w:p>
      <w:pPr>
        <w:spacing w:after="120"/>
      </w:pPr>
      <w:r>
        <w:t xml:space="preserve">These two concerns are deployed as either a single wrapped service (Ghostunnel embedded as a library/subprocess in front of the dispatch logic, exposed as one deployable unit) or two processes on a shared host, whichever proves simpler operationally — the architectural requirement is the separation of concern, not the process boundary. What this design explicitly does not do is put the Registration/authorization decision inside Ghostunnel's own policy mechanism (it ships with Open Policy Agent integration for static, declarative rules): that mechanism is a poor fit for a decision that requires a live lookup against the Registration Store, and forcing it in would mean synchronizing Registration state into a policy document as a workaround, adding a staleness problem for no benefit over calling the Gateway's own dispatch logic directly. This is also deliberately kept distinct from waypoint (§5.4): waypoint provides L7 traffic management for traffic already inside the Platform-side mesh, while the Gateway's authentication and authorization step is the tenant trust-boundary crossing itself and must happen first — folding this into waypoint would invert the trust model in ADR-002.</w:t>
      </w:r>
    </w:p>
    <w:p>
      <w:pPr>
        <w:spacing w:after="120"/>
      </w:pPr>
      <w:r>
        <w:rPr>
          <w:b/>
          <w:bCs/>
        </w:rPr>
        <w:t xml:space="preserve">Tooling / build vs. reuse</w:t>
      </w:r>
    </w:p>
    <w:p>
      <w:pPr>
        <w:pStyle w:val="ListParagraph"/>
        <w:numPr>
          <w:ilvl w:val="0"/>
          <w:numId w:val="1"/>
        </w:numPr>
        <w:spacing w:after="60"/>
      </w:pPr>
      <w:r>
        <w:t xml:space="preserve">Build: the Registration lookup, authorization, and dispatch logic — product-specific, no existing tool knows this tenant/registration/destination-adapter model.</w:t>
      </w:r>
    </w:p>
    <w:p>
      <w:pPr>
        <w:pStyle w:val="ListParagraph"/>
        <w:numPr>
          <w:ilvl w:val="0"/>
          <w:numId w:val="1"/>
        </w:numPr>
        <w:spacing w:after="60"/>
      </w:pPr>
      <w:r>
        <w:t xml:space="preserve">Reuse: Ghostunnel for mTLS termination and certificate field validation, rather than building and maintaining that layer from scratch.</w:t>
      </w:r>
    </w:p>
    <w:p>
      <w:pPr>
        <w:pStyle w:val="Heading2"/>
        <w:spacing w:after="150" w:before="300"/>
      </w:pPr>
      <w:r>
        <w:t xml:space="preserve">5.3 Platform Controllers</w:t>
      </w:r>
    </w:p>
    <w:p>
      <w:pPr>
        <w:spacing w:after="120"/>
      </w:pPr>
      <w:r>
        <w:rPr>
          <w:b/>
          <w:bCs/>
        </w:rPr>
        <w:t xml:space="preserve">Purpose</w:t>
      </w:r>
    </w:p>
    <w:p>
      <w:pPr>
        <w:spacing w:after="120"/>
      </w:pPr>
      <w:r>
        <w:t xml:space="preserve">Reconciles desired state (registrations, certificates, configuration) into runtime configuration. The sole writer of runtime connectivity configuration.</w:t>
      </w:r>
    </w:p>
    <w:p>
      <w:pPr>
        <w:spacing w:after="120"/>
      </w:pPr>
      <w:r>
        <w:rPr>
          <w:b/>
          <w:bCs/>
        </w:rPr>
        <w:t xml:space="preserve">Does</w:t>
      </w:r>
    </w:p>
    <w:p>
      <w:pPr>
        <w:pStyle w:val="ListParagraph"/>
        <w:numPr>
          <w:ilvl w:val="0"/>
          <w:numId w:val="1"/>
        </w:numPr>
        <w:spacing w:after="60"/>
      </w:pPr>
      <w:r>
        <w:t xml:space="preserve">Tenant onboarding, registration reconciliation, certificate issuance and rotation, configuration distribution, service/resource endpoint provisioning, lifecycle management.</w:t>
      </w:r>
    </w:p>
    <w:p>
      <w:pPr>
        <w:pStyle w:val="ListParagraph"/>
        <w:numPr>
          <w:ilvl w:val="0"/>
          <w:numId w:val="1"/>
        </w:numPr>
        <w:spacing w:after="60"/>
      </w:pPr>
      <w:r>
        <w:t xml:space="preserve">Accepts registration requests from every legitimate entry point (self-service UI, API, admin tooling) through one write path.</w:t>
      </w:r>
    </w:p>
    <w:p>
      <w:pPr>
        <w:spacing w:after="120"/>
      </w:pPr>
      <w:r>
        <w:rPr>
          <w:b/>
          <w:bCs/>
        </w:rPr>
        <w:t xml:space="preserve">Never</w:t>
      </w:r>
    </w:p>
    <w:p>
      <w:pPr>
        <w:pStyle w:val="ListParagraph"/>
        <w:numPr>
          <w:ilvl w:val="0"/>
          <w:numId w:val="1"/>
        </w:numPr>
        <w:spacing w:after="60"/>
      </w:pPr>
      <w:r>
        <w:t xml:space="preserve">Participates in the data path, forwards traffic, or proxies any connection — including for diagnostics, health checks, or migrations.</w:t>
      </w:r>
    </w:p>
    <w:p>
      <w:pPr>
        <w:pStyle w:val="ListParagraph"/>
        <w:numPr>
          <w:ilvl w:val="0"/>
          <w:numId w:val="1"/>
        </w:numPr>
        <w:spacing w:after="60"/>
      </w:pPr>
      <w:r>
        <w:t xml:space="preserve">Auto-discovers topology on the Gateway's or Agent's behalf.</w:t>
      </w:r>
    </w:p>
    <w:p>
      <w:pPr>
        <w:spacing w:after="120"/>
      </w:pPr>
      <w:r>
        <w:rPr>
          <w:b/>
          <w:bCs/>
        </w:rPr>
        <w:t xml:space="preserve">Tooling / build vs. reuse</w:t>
      </w:r>
    </w:p>
    <w:p>
      <w:pPr>
        <w:pStyle w:val="ListParagraph"/>
        <w:numPr>
          <w:ilvl w:val="0"/>
          <w:numId w:val="1"/>
        </w:numPr>
        <w:spacing w:after="60"/>
      </w:pPr>
      <w:r>
        <w:t xml:space="preserve">Build: the reconciliation logic and registration model are product-specific.</w:t>
      </w:r>
    </w:p>
    <w:p>
      <w:pPr>
        <w:pStyle w:val="ListParagraph"/>
        <w:numPr>
          <w:ilvl w:val="0"/>
          <w:numId w:val="1"/>
        </w:numPr>
        <w:spacing w:after="60"/>
      </w:pPr>
      <w:r>
        <w:t xml:space="preserve">Reuse: standard controller pattern / framework (e.g. Kubernetes controller-runtime for the reconciliation-loop mechanics; cloud SDKs for substrate-specific attestation). This is the least novel component in the system.</w:t>
      </w:r>
    </w:p>
    <w:p>
      <w:pPr>
        <w:pStyle w:val="Heading2"/>
        <w:spacing w:after="150" w:before="300"/>
      </w:pPr>
      <w:r>
        <w:t xml:space="preserve">5.4 Ambient Mesh (Platform side only)</w:t>
      </w:r>
    </w:p>
    <w:p>
      <w:pPr>
        <w:spacing w:after="120"/>
      </w:pPr>
      <w:r>
        <w:rPr>
          <w:b/>
          <w:bCs/>
        </w:rPr>
        <w:t xml:space="preserve">Purpose</w:t>
      </w:r>
    </w:p>
    <w:p>
      <w:pPr>
        <w:spacing w:after="120"/>
      </w:pPr>
      <w:r>
        <w:t xml:space="preserve">Provides secure service-to-service networking within the Platform. Never runs on, or is joined by, Customer Environment infrastructure, under any circumstance.</w:t>
      </w:r>
    </w:p>
    <w:p>
      <w:pPr>
        <w:spacing w:after="120"/>
      </w:pPr>
      <w:r>
        <w:rPr>
          <w:b/>
          <w:bCs/>
        </w:rPr>
        <w:t xml:space="preserve">ztunnel</w:t>
      </w:r>
    </w:p>
    <w:p>
      <w:pPr>
        <w:pStyle w:val="ListParagraph"/>
        <w:numPr>
          <w:ilvl w:val="0"/>
          <w:numId w:val="1"/>
        </w:numPr>
        <w:spacing w:after="60"/>
      </w:pPr>
      <w:r>
        <w:t xml:space="preserve">One per node (DaemonSet). Handles mTLS and L4 policy for every pod in every enrolled namespace automatically. Node-scoped cost — flat regardless of pod count, which directly resolves the original memory-blowout concern that motivated moving away from per-pod HAProxy sidecars.</w:t>
      </w:r>
    </w:p>
    <w:p>
      <w:pPr>
        <w:spacing w:after="120"/>
      </w:pPr>
      <w:r>
        <w:rPr>
          <w:b/>
          <w:bCs/>
        </w:rPr>
        <w:t xml:space="preserve">5.4.1 ztunnel Is Privileged — Security Posture and Hardening</w:t>
      </w:r>
    </w:p>
    <w:p>
      <w:pPr>
        <w:spacing w:after="120"/>
      </w:pPr>
      <w:r>
        <w:t xml:space="preserve">This is the one privileged workload anywhere in this architecture, and it exists only on the Platform side (never on Customer Environment infrastructure — that remains the unconditional rule in ADR-001). It deserves explicit treatment because everywhere else in this document says “unprivileged,” and ztunnel is a real, necessary exception to that pattern, not an oversight.</w:t>
      </w:r>
    </w:p>
    <w:p>
      <w:pPr>
        <w:pStyle w:val="ListParagraph"/>
        <w:numPr>
          <w:ilvl w:val="0"/>
          <w:numId w:val="1"/>
        </w:numPr>
        <w:spacing w:after="60"/>
      </w:pPr>
      <w:r>
        <w:t xml:space="preserve">ztunnel requires NET_ADMIN, SYS_ADMIN, and NET_RAW to perform node-level transparent traffic interception for every pod on its node — this is the identical capability set this architecture explicitly refuses to grant to anything on the Customer Environment side (§1.3 C1, ADR-001).</w:t>
      </w:r>
    </w:p>
    <w:p>
      <w:pPr>
        <w:pStyle w:val="ListParagraph"/>
        <w:numPr>
          <w:ilvl w:val="0"/>
          <w:numId w:val="1"/>
        </w:numPr>
        <w:spacing w:after="60"/>
      </w:pPr>
      <w:r>
        <w:t xml:space="preserve">These privileges are node-local only, not cluster-wide: ztunnel carries no Kubernetes RBAC privileges of its own, and it is authorized to request certificates only for service accounts of pods already running on its own node — it cannot request an arbitrary workload's certificate, the same scoping principle kubelet itself uses. A compromised ztunnel instance is confined to the pods on its node, not the whole cluster.</w:t>
      </w:r>
    </w:p>
    <w:p>
      <w:pPr>
        <w:pStyle w:val="ListParagraph"/>
        <w:numPr>
          <w:ilvl w:val="0"/>
          <w:numId w:val="1"/>
        </w:numPr>
        <w:spacing w:after="60"/>
      </w:pPr>
      <w:r>
        <w:t xml:space="preserve">By contrast, the Gateway and waypoint require no networking-level privilege at all: unlike ztunnel, they are standalone proxies that do not modify node networking, so they run as ordinary unprivileged deployments with their own distinct service accounts — the privileged surface is deliberately isolated to the single node-level component, not spread across the mesh.</w:t>
      </w:r>
    </w:p>
    <w:p>
      <w:pPr>
        <w:spacing w:after="120"/>
      </w:pPr>
      <w:r>
        <w:rPr>
          <w:b/>
          <w:bCs/>
        </w:rPr>
        <w:t xml:space="preserve">Hardening measures required at Level 2 (detailed in the Mesh Integration design; pointer only here)</w:t>
      </w:r>
    </w:p>
    <w:p>
      <w:pPr>
        <w:pStyle w:val="ListParagraph"/>
        <w:numPr>
          <w:ilvl w:val="0"/>
          <w:numId w:val="1"/>
        </w:numPr>
        <w:spacing w:after="60"/>
      </w:pPr>
      <w:r>
        <w:t xml:space="preserve">Deploy the Istio CNI plugin so that no application-level pod ever needs NET_ADMIN/NET_RAW itself — only the CNI DaemonSet and ztunnel carry that capability, confined to the platform-managed istio-system namespace.</w:t>
      </w:r>
    </w:p>
    <w:p>
      <w:pPr>
        <w:pStyle w:val="ListParagraph"/>
        <w:numPr>
          <w:ilvl w:val="0"/>
          <w:numId w:val="1"/>
        </w:numPr>
        <w:spacing w:after="60"/>
      </w:pPr>
      <w:r>
        <w:t xml:space="preserve">Apply Kubernetes Pod Security Admission at the restricted level to every namespace except the one hosting ztunnel/the CNI plugin, which is the only namespace permitted to run at the privileged level — explicitly scoping the blast radius of the privileged policy to a single, platform-controlled namespace rather than the cluster default.</w:t>
      </w:r>
    </w:p>
    <w:p>
      <w:pPr>
        <w:pStyle w:val="ListParagraph"/>
        <w:numPr>
          <w:ilvl w:val="0"/>
          <w:numId w:val="1"/>
        </w:numPr>
        <w:spacing w:after="60"/>
      </w:pPr>
      <w:r>
        <w:t xml:space="preserve">Drop every capability not required, enforce runAsNonRoot and a restricted seccomp profile on every container in the ztunnel pod other than the specific capabilities above, and treat the istio-system namespace as a distinct, more tightly monitored security zone than any other Platform namespace (audit logging, restricted RBAC on who can exec into or modify workloads there).</w:t>
      </w:r>
    </w:p>
    <w:p>
      <w:pPr>
        <w:pStyle w:val="ListParagraph"/>
        <w:numPr>
          <w:ilvl w:val="0"/>
          <w:numId w:val="1"/>
        </w:numPr>
        <w:spacing w:after="60"/>
      </w:pPr>
      <w:r>
        <w:t xml:space="preserve">This is a pointer, not the full design: the Mesh Integration Level 2 document owns the complete hardening specification, including the exact Pod Security Admission labels, CNI rollout sequencing, and monitoring/alerting on the istio-system namespace specifically.</w:t>
      </w:r>
    </w:p>
    <w:p>
      <w:pPr>
        <w:spacing w:after="120"/>
      </w:pPr>
      <w:r>
        <w:rPr>
          <w:b/>
          <w:bCs/>
        </w:rPr>
        <w:t xml:space="preserve">Waypoint</w:t>
      </w:r>
    </w:p>
    <w:p>
      <w:pPr>
        <w:pStyle w:val="ListParagraph"/>
        <w:numPr>
          <w:ilvl w:val="0"/>
          <w:numId w:val="1"/>
        </w:numPr>
        <w:spacing w:after="60"/>
      </w:pPr>
      <w:r>
        <w:t xml:space="preserve">Namespace-scoped. This was evaluated against service-account scoping earlier in this design's review and settled on namespace as the deployment unit: it matches the per-namespace tenant isolation already used throughout this document (§2.1, §7), and finer-grained service-account scoping was not justified by any stated requirement — it would only add operational surface (more waypoint instances to provision, monitor, and upgrade per tenant) without a corresponding benefit at this system's actual traffic pattern. Real Envoy-class proxy; owns platform-side L7 traffic management. Retries and circuit-breaking are two specific capabilities within that broader responsibility, not the entirety of it — stated this way so that adding rate limiting, L7 authorization policy, traffic splitting, or richer observability later does not require revisiting this architecture.</w:t>
      </w:r>
    </w:p>
    <w:p>
      <w:pPr>
        <w:pStyle w:val="ListParagraph"/>
        <w:numPr>
          <w:ilvl w:val="0"/>
          <w:numId w:val="1"/>
        </w:numPr>
        <w:spacing w:after="60"/>
      </w:pPr>
      <w:r>
        <w:t xml:space="preserve">Platform default: provisioned for every namespace, since nearly all traffic is business-application traffic requiring L7 policy. This is stated as capability + platform policy, not an architectural invariant — a namespace that genuinely doesn't need L7 (e.g. a pure batch/cron namespace) remains free not to have one.</w:t>
      </w:r>
    </w:p>
    <w:p>
      <w:pPr>
        <w:pStyle w:val="ListParagraph"/>
        <w:numPr>
          <w:ilvl w:val="0"/>
          <w:numId w:val="1"/>
        </w:numPr>
        <w:spacing w:after="60"/>
      </w:pPr>
      <w:r>
        <w:t xml:space="preserve">No lighter substitute was found that provides equivalent HTTP-level L7 traffic management for materially less cost: eBPF-based meshes (e.g. Cilium) still require a per-node Envoy-class proxy for real L7 work; per-pod alternatives (Linkerd's proxy, the original HAProxy-per-pod design) reopen the exact pod-count scaling problem waypoint's per-namespace sharing was chosen to solve.</w:t>
      </w:r>
    </w:p>
    <w:p>
      <w:pPr>
        <w:spacing w:after="120"/>
      </w:pPr>
      <w:r>
        <w:rPr>
          <w:b/>
          <w:bCs/>
        </w:rPr>
        <w:t xml:space="preserve">What “L7 Traffic Management” Means Here</w:t>
      </w:r>
    </w:p>
    <w:p>
      <w:pPr>
        <w:spacing w:after="120"/>
      </w:pPr>
      <w:r>
        <w:t xml:space="preserve">This is deliberately a capability category, not a fixed feature list — it covers anything that requires understanding the content of a request rather than just moving bytes. Concretely, for this architecture it includes:</w:t>
      </w:r>
    </w:p>
    <w:p>
      <w:pPr>
        <w:pStyle w:val="ListParagraph"/>
        <w:numPr>
          <w:ilvl w:val="0"/>
          <w:numId w:val="1"/>
        </w:numPr>
        <w:spacing w:after="60"/>
      </w:pPr>
      <w:r>
        <w:t xml:space="preserve">Retries — re-attempting an idempotent HTTP or gRPC call after a failure, with backoff, without the calling service needing its own retry logic.</w:t>
      </w:r>
    </w:p>
    <w:p>
      <w:pPr>
        <w:pStyle w:val="ListParagraph"/>
        <w:numPr>
          <w:ilvl w:val="0"/>
          <w:numId w:val="1"/>
        </w:numPr>
        <w:spacing w:after="60"/>
      </w:pPr>
      <w:r>
        <w:t xml:space="preserve">Circuit breaking — detecting a destination that is failing or overloaded and temporarily stopping new requests to it, so failures don't cascade or pile up waiting on a service that's already struggling.</w:t>
      </w:r>
    </w:p>
    <w:p>
      <w:pPr>
        <w:pStyle w:val="ListParagraph"/>
        <w:numPr>
          <w:ilvl w:val="0"/>
          <w:numId w:val="1"/>
        </w:numPr>
        <w:spacing w:after="60"/>
      </w:pPr>
      <w:r>
        <w:t xml:space="preserve">Timeouts — enforcing how long a call is allowed to wait before it's treated as failed, independent of what the calling or receiving service itself does.</w:t>
      </w:r>
    </w:p>
    <w:p>
      <w:pPr>
        <w:pStyle w:val="ListParagraph"/>
        <w:numPr>
          <w:ilvl w:val="0"/>
          <w:numId w:val="1"/>
        </w:numPr>
        <w:spacing w:after="60"/>
      </w:pPr>
      <w:r>
        <w:t xml:space="preserve">L7 authorization policy — access decisions based on request-level attributes (e.g. HTTP method or path, request identity claims) rather than just network-level identity. This is distinct from, and does not replace, the Gateway's tenant/registration authorization in §6 — it is an additional, finer-grained layer available once traffic is already inside the mesh.</w:t>
      </w:r>
    </w:p>
    <w:p>
      <w:pPr>
        <w:pStyle w:val="ListParagraph"/>
        <w:numPr>
          <w:ilvl w:val="0"/>
          <w:numId w:val="1"/>
        </w:numPr>
        <w:spacing w:after="60"/>
      </w:pPr>
      <w:r>
        <w:t xml:space="preserve">Traffic shaping — capabilities such as traffic splitting (e.g. canary rollouts), header-based routing, or rate limiting, which are not required on day one but fit naturally into this same layer without architectural change.</w:t>
      </w:r>
    </w:p>
    <w:p>
      <w:pPr>
        <w:pStyle w:val="ListParagraph"/>
        <w:numPr>
          <w:ilvl w:val="0"/>
          <w:numId w:val="1"/>
        </w:numPr>
        <w:spacing w:after="60"/>
      </w:pPr>
      <w:r>
        <w:t xml:space="preserve">Observability — HTTP/gRPC-aware metrics, access logs, and tracing, which require parsing the protocol to produce (as opposed to the L4 connection-level telemetry ztunnel already provides for every pod).</w:t>
      </w:r>
    </w:p>
    <w:p>
      <w:pPr>
        <w:spacing w:after="120"/>
      </w:pPr>
      <w:r>
        <w:t xml:space="preserve">What waypoint explicitly does not do, by design: it never parses non-HTTP/gRPC application protocols (it is not where PostgreSQL, Kafka, or Redis traffic is handled — see Resource Connectivity in §8), and it never performs the Gateway's tenant/registration authorization function (§6.2) — those remain separate concerns even though both could be loosely described as “policy.”</w:t>
      </w:r>
    </w:p>
    <w:p>
      <w:pPr>
        <w:spacing w:after="120"/>
      </w:pPr>
      <w:r>
        <w:rPr>
          <w:b/>
          <w:bCs/>
        </w:rPr>
        <w:t xml:space="preserve">Tooling</w:t>
      </w:r>
    </w:p>
    <w:p>
      <w:pPr>
        <w:pStyle w:val="ListParagraph"/>
        <w:numPr>
          <w:ilvl w:val="0"/>
          <w:numId w:val="1"/>
        </w:numPr>
        <w:spacing w:after="60"/>
      </w:pPr>
      <w:r>
        <w:t xml:space="preserve">Reuse entirely: Istio Ambient (ztunnel + waypoint). Not built.</w:t>
      </w:r>
    </w:p>
    <w:p>
      <w:pPr>
        <w:pStyle w:val="Heading2"/>
        <w:spacing w:after="150" w:before="300"/>
      </w:pPr>
      <w:r>
        <w:t xml:space="preserve">5.5 Identity / PKI</w:t>
      </w:r>
    </w:p>
    <w:p>
      <w:pPr>
        <w:spacing w:after="120"/>
      </w:pPr>
      <w:r>
        <w:rPr>
          <w:b/>
          <w:bCs/>
        </w:rPr>
        <w:t xml:space="preserve">Purpose</w:t>
      </w:r>
    </w:p>
    <w:p>
      <w:pPr>
        <w:spacing w:after="120"/>
      </w:pPr>
      <w:r>
        <w:t xml:space="preserve">Issues, rotates, and revokes the credentials that anchor the trust model.</w:t>
      </w:r>
    </w:p>
    <w:p>
      <w:pPr>
        <w:spacing w:after="120"/>
      </w:pPr>
      <w:r>
        <w:rPr>
          <w:b/>
          <w:bCs/>
        </w:rPr>
        <w:t xml:space="preserve">Tooling</w:t>
      </w:r>
    </w:p>
    <w:p>
      <w:pPr>
        <w:pStyle w:val="ListParagraph"/>
        <w:numPr>
          <w:ilvl w:val="0"/>
          <w:numId w:val="1"/>
        </w:numPr>
        <w:spacing w:after="60"/>
      </w:pPr>
      <w:r>
        <w:t xml:space="preserve">Reuse: an existing CA implementation (e.g. step-ca) for issuance, rotation, and revocation. Not built from scratch — there is no reason to invent a certificate authority product.</w:t>
      </w:r>
    </w:p>
    <w:p>
      <w:pPr>
        <w:pStyle w:val="ListParagraph"/>
        <w:numPr>
          <w:ilvl w:val="0"/>
          <w:numId w:val="1"/>
        </w:numPr>
        <w:spacing w:after="60"/>
      </w:pPr>
      <w:r>
        <w:t xml:space="preserve">SPIFFE/SPIRE is explicitly deferred, not ruled out: the tenant-cert trust boundary and the workload-evidence attribution layer are already decoupled from transport, so the upgrade path to real per-workload cryptographic identity remains open without a redesign, should a tenant later require genuine per-service authorization.</w:t>
      </w:r>
    </w:p>
    <w:p>
      <w:pPr>
        <w:spacing w:after="120"/>
      </w:pPr>
      <w:r>
        <w:rPr>
          <w:b/>
          <w:bCs/>
        </w:rPr>
        <w:t xml:space="preserve">Issuance Ownership</w:t>
      </w:r>
    </w:p>
    <w:p>
      <w:pPr>
        <w:pStyle w:val="ListParagraph"/>
        <w:numPr>
          <w:ilvl w:val="0"/>
          <w:numId w:val="1"/>
        </w:numPr>
        <w:spacing w:after="60"/>
      </w:pPr>
      <w:r>
        <w:t xml:space="preserve">No runtime component (Gateway, Connect Agent, waypoint, ztunnel) ever requests a certificate directly from the CA. Every certificate request flows through the Controller: Controller requests → CA signs → Controller distributes → runtime component consumes. This keeps certificate issuance inside the same single write-path discipline already established for registrations (ADR-006), and avoids each component needing its own CA credentials and retry/backoff logic for issuance.</w:t>
      </w:r>
    </w:p>
    <w:p>
      <w:pPr>
        <w:pStyle w:val="ListParagraph"/>
        <w:numPr>
          <w:ilvl w:val="0"/>
          <w:numId w:val="1"/>
        </w:numPr>
        <w:spacing w:after="60"/>
      </w:pPr>
      <w:r>
        <w:t xml:space="preserve">Credential rotation for any one component is independent of every other: rotating the Connect Agent's certificate never requires a Gateway restart; rotating the Gateway's certificate never requires Connect Agents to restart; rotating a Controller's own credential never requires an Agent restart. Each component reloads a renewed credential in place as part of its ordinary configuration-consumption behavior (§10.5), not as a coordinated, multi-component operation.</w:t>
      </w:r>
    </w:p>
    <w:p>
      <w:r>
        <w:br w:type="page"/>
      </w:r>
    </w:p>
    <w:p>
      <w:pPr>
        <w:pStyle w:val="Heading1"/>
        <w:spacing w:after="200" w:before="400"/>
      </w:pPr>
      <w:r>
        <w:t xml:space="preserve">6. Trust and Identity Model</w:t>
      </w:r>
    </w:p>
    <w:p>
      <w:pPr>
        <w:spacing w:after="120"/>
      </w:pPr>
      <w:r>
        <w:t xml:space="preserve">Guiding principle: transport never creates trust; it only carries trust established elsewhere.</w:t>
      </w:r>
    </w:p>
    <w:p>
      <w:pPr>
        <w:pStyle w:val="Heading2"/>
        <w:spacing w:after="150" w:before="300"/>
      </w:pPr>
      <w:r>
        <w:t xml:space="preserve">6.1 Layered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900"/>
        <w:gridCol w:w="1860"/>
      </w:tblGrid>
      <w:tr>
        <w:trPr>
          <w:tblHeader/>
        </w:trPr>
        <w:tc>
          <w:tcPr>
            <w:tcW w:type="dxa" w:w="3200"/>
            <w:shd w:fill="D9E2F3" w:val="clear"/>
            <w:tcMar>
              <w:top w:type="dxa" w:w="80"/>
              <w:left w:type="dxa" w:w="100"/>
              <w:bottom w:type="dxa" w:w="80"/>
              <w:right w:type="dxa" w:w="100"/>
            </w:tcMar>
          </w:tcPr>
          <w:p>
            <w:r>
              <w:rPr>
                <w:b/>
                <w:bCs/>
              </w:rPr>
              <w:t xml:space="preserve">Layer</w:t>
            </w:r>
          </w:p>
        </w:tc>
        <w:tc>
          <w:tcPr>
            <w:tcW w:type="dxa" w:w="2400"/>
            <w:shd w:fill="D9E2F3" w:val="clear"/>
            <w:tcMar>
              <w:top w:type="dxa" w:w="80"/>
              <w:left w:type="dxa" w:w="100"/>
              <w:bottom w:type="dxa" w:w="80"/>
              <w:right w:type="dxa" w:w="100"/>
            </w:tcMar>
          </w:tcPr>
          <w:p>
            <w:r>
              <w:rPr>
                <w:b/>
                <w:bCs/>
              </w:rPr>
              <w:t xml:space="preserve">Proves</w:t>
            </w:r>
          </w:p>
        </w:tc>
        <w:tc>
          <w:tcPr>
            <w:tcW w:type="dxa" w:w="1900"/>
            <w:shd w:fill="D9E2F3" w:val="clear"/>
            <w:tcMar>
              <w:top w:type="dxa" w:w="80"/>
              <w:left w:type="dxa" w:w="100"/>
              <w:bottom w:type="dxa" w:w="80"/>
              <w:right w:type="dxa" w:w="100"/>
            </w:tcMar>
          </w:tcPr>
          <w:p>
            <w:r>
              <w:rPr>
                <w:b/>
                <w:bCs/>
              </w:rPr>
              <w:t xml:space="preserve">Cost</w:t>
            </w:r>
          </w:p>
        </w:tc>
        <w:tc>
          <w:tcPr>
            <w:tcW w:type="dxa" w:w="1860"/>
            <w:shd w:fill="D9E2F3" w:val="clear"/>
            <w:tcMar>
              <w:top w:type="dxa" w:w="80"/>
              <w:left w:type="dxa" w:w="100"/>
              <w:bottom w:type="dxa" w:w="80"/>
              <w:right w:type="dxa" w:w="100"/>
            </w:tcMar>
          </w:tcPr>
          <w:p>
            <w:r>
              <w:rPr>
                <w:b/>
                <w:bCs/>
              </w:rPr>
              <w:t xml:space="preserve">Status</w:t>
            </w:r>
          </w:p>
        </w:tc>
      </w:tr>
      <w:tr>
        <w:tc>
          <w:tcPr>
            <w:tcW w:type="dxa" w:w="3200"/>
            <w:tcMar>
              <w:top w:type="dxa" w:w="80"/>
              <w:left w:type="dxa" w:w="100"/>
              <w:bottom w:type="dxa" w:w="80"/>
              <w:right w:type="dxa" w:w="100"/>
            </w:tcMar>
          </w:tcPr>
          <w:p>
            <w:r>
              <w:rPr>
                <w:b w:val="false"/>
                <w:bCs w:val="false"/>
              </w:rPr>
              <w:t xml:space="preserve">Tenant Identity (mTLS cert on the agent's tunnel)</w:t>
            </w:r>
          </w:p>
        </w:tc>
        <w:tc>
          <w:tcPr>
            <w:tcW w:type="dxa" w:w="2400"/>
            <w:tcMar>
              <w:top w:type="dxa" w:w="80"/>
              <w:left w:type="dxa" w:w="100"/>
              <w:bottom w:type="dxa" w:w="80"/>
              <w:right w:type="dxa" w:w="100"/>
            </w:tcMar>
          </w:tcPr>
          <w:p>
            <w:r>
              <w:rPr>
                <w:b w:val="false"/>
                <w:bCs w:val="false"/>
              </w:rPr>
              <w:t xml:space="preserve">“This traffic is tenant Acme”</w:t>
            </w:r>
          </w:p>
        </w:tc>
        <w:tc>
          <w:tcPr>
            <w:tcW w:type="dxa" w:w="1900"/>
            <w:tcMar>
              <w:top w:type="dxa" w:w="80"/>
              <w:left w:type="dxa" w:w="100"/>
              <w:bottom w:type="dxa" w:w="80"/>
              <w:right w:type="dxa" w:w="100"/>
            </w:tcMar>
          </w:tcPr>
          <w:p>
            <w:r>
              <w:rPr>
                <w:b w:val="false"/>
                <w:bCs w:val="false"/>
              </w:rPr>
              <w:t xml:space="preserve">Real but bounded PKI work, already committed to</w:t>
            </w:r>
          </w:p>
        </w:tc>
        <w:tc>
          <w:tcPr>
            <w:tcW w:type="dxa" w:w="1860"/>
            <w:tcMar>
              <w:top w:type="dxa" w:w="80"/>
              <w:left w:type="dxa" w:w="100"/>
              <w:bottom w:type="dxa" w:w="80"/>
              <w:right w:type="dxa" w:w="100"/>
            </w:tcMar>
          </w:tcPr>
          <w:p>
            <w:r>
              <w:rPr>
                <w:b w:val="false"/>
                <w:bCs w:val="false"/>
              </w:rPr>
              <w:t xml:space="preserve">Hard boundary — always on, day one</w:t>
            </w:r>
          </w:p>
        </w:tc>
      </w:tr>
      <w:tr>
        <w:tc>
          <w:tcPr>
            <w:tcW w:type="dxa" w:w="3200"/>
            <w:tcMar>
              <w:top w:type="dxa" w:w="80"/>
              <w:left w:type="dxa" w:w="100"/>
              <w:bottom w:type="dxa" w:w="80"/>
              <w:right w:type="dxa" w:w="100"/>
            </w:tcMar>
          </w:tcPr>
          <w:p>
            <w:r>
              <w:rPr>
                <w:b w:val="false"/>
                <w:bCs w:val="false"/>
              </w:rPr>
              <w:t xml:space="preserve">Workload Evidence (substrate-specific: e.g. Kubernetes projected SA token via OIDC, ECS task credentials)</w:t>
            </w:r>
          </w:p>
        </w:tc>
        <w:tc>
          <w:tcPr>
            <w:tcW w:type="dxa" w:w="2400"/>
            <w:tcMar>
              <w:top w:type="dxa" w:w="80"/>
              <w:left w:type="dxa" w:w="100"/>
              <w:bottom w:type="dxa" w:w="80"/>
              <w:right w:type="dxa" w:w="100"/>
            </w:tcMar>
          </w:tcPr>
          <w:p>
            <w:r>
              <w:rPr>
                <w:b w:val="false"/>
                <w:bCs w:val="false"/>
              </w:rPr>
              <w:t xml:space="preserve">“This pod/task claims to be X”</w:t>
            </w:r>
          </w:p>
        </w:tc>
        <w:tc>
          <w:tcPr>
            <w:tcW w:type="dxa" w:w="1900"/>
            <w:tcMar>
              <w:top w:type="dxa" w:w="80"/>
              <w:left w:type="dxa" w:w="100"/>
              <w:bottom w:type="dxa" w:w="80"/>
              <w:right w:type="dxa" w:w="100"/>
            </w:tcMar>
          </w:tcPr>
          <w:p>
            <w:r>
              <w:rPr>
                <w:b w:val="false"/>
                <w:bCs w:val="false"/>
              </w:rPr>
              <w:t xml:space="preserve">Near-zero marginal cost where the credential already exists</w:t>
            </w:r>
          </w:p>
        </w:tc>
        <w:tc>
          <w:tcPr>
            <w:tcW w:type="dxa" w:w="1860"/>
            <w:tcMar>
              <w:top w:type="dxa" w:w="80"/>
              <w:left w:type="dxa" w:w="100"/>
              <w:bottom w:type="dxa" w:w="80"/>
              <w:right w:type="dxa" w:w="100"/>
            </w:tcMar>
          </w:tcPr>
          <w:p>
            <w:r>
              <w:rPr>
                <w:b w:val="false"/>
                <w:bCs w:val="false"/>
              </w:rPr>
              <w:t xml:space="preserve">Optional, attribution/audit only — never authorization</w:t>
            </w:r>
          </w:p>
        </w:tc>
      </w:tr>
      <w:tr>
        <w:tc>
          <w:tcPr>
            <w:tcW w:type="dxa" w:w="3200"/>
            <w:tcMar>
              <w:top w:type="dxa" w:w="80"/>
              <w:left w:type="dxa" w:w="100"/>
              <w:bottom w:type="dxa" w:w="80"/>
              <w:right w:type="dxa" w:w="100"/>
            </w:tcMar>
          </w:tcPr>
          <w:p>
            <w:r>
              <w:rPr>
                <w:b w:val="false"/>
                <w:bCs w:val="false"/>
              </w:rPr>
              <w:t xml:space="preserve">Workload Identity (SPIFFE/SPIRE)</w:t>
            </w:r>
          </w:p>
        </w:tc>
        <w:tc>
          <w:tcPr>
            <w:tcW w:type="dxa" w:w="2400"/>
            <w:tcMar>
              <w:top w:type="dxa" w:w="80"/>
              <w:left w:type="dxa" w:w="100"/>
              <w:bottom w:type="dxa" w:w="80"/>
              <w:right w:type="dxa" w:w="100"/>
            </w:tcMar>
          </w:tcPr>
          <w:p>
            <w:r>
              <w:rPr>
                <w:b w:val="false"/>
                <w:bCs w:val="false"/>
              </w:rPr>
              <w:t xml:space="preserve">Full per-workload cryptographic, policy-enforceable identity</w:t>
            </w:r>
          </w:p>
        </w:tc>
        <w:tc>
          <w:tcPr>
            <w:tcW w:type="dxa" w:w="1900"/>
            <w:tcMar>
              <w:top w:type="dxa" w:w="80"/>
              <w:left w:type="dxa" w:w="100"/>
              <w:bottom w:type="dxa" w:w="80"/>
              <w:right w:type="dxa" w:w="100"/>
            </w:tcMar>
          </w:tcPr>
          <w:p>
            <w:r>
              <w:rPr>
                <w:b w:val="false"/>
                <w:bCs w:val="false"/>
              </w:rPr>
              <w:t xml:space="preserve">Real infrastructure (attestors, CA, rotation)</w:t>
            </w:r>
          </w:p>
        </w:tc>
        <w:tc>
          <w:tcPr>
            <w:tcW w:type="dxa" w:w="1860"/>
            <w:tcMar>
              <w:top w:type="dxa" w:w="80"/>
              <w:left w:type="dxa" w:w="100"/>
              <w:bottom w:type="dxa" w:w="80"/>
              <w:right w:type="dxa" w:w="100"/>
            </w:tcMar>
          </w:tcPr>
          <w:p>
            <w:r>
              <w:rPr>
                <w:b w:val="false"/>
                <w:bCs w:val="false"/>
              </w:rPr>
              <w:t xml:space="preserve">Deferred — only if a tenant needs genuine per-service authorization</w:t>
            </w:r>
          </w:p>
        </w:tc>
      </w:tr>
    </w:tbl>
    <w:p>
      <w:pPr>
        <w:pStyle w:val="Heading2"/>
        <w:spacing w:after="150" w:before="300"/>
      </w:pPr>
      <w:r>
        <w:t xml:space="preserve">6.1.1 Workload Evidence Is Pluggable, Not Kubernetes-Specific</w:t>
      </w:r>
    </w:p>
    <w:p>
      <w:pPr>
        <w:spacing w:after="120"/>
      </w:pPr>
      <w:r>
        <w:t xml:space="preserve">The Gateway's workload-evidence validation is built against one internal interface — accept an opaque, substrate-native credential, verify it, and produce an attribution record — with a distinct verifier plugin behind that interface per substrate. The Gateway's authorization logic (§6.2) never changes based on which plugin handled verification. Two concrete substrates illustrate the shape; others (Azure Managed Identity, GCP Workload Identity, Nomad workload identity) plug into the identical interface without altering the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1960"/>
      </w:tblGrid>
      <w:tr>
        <w:trPr>
          <w:tblHeader/>
        </w:trPr>
        <w:tc>
          <w:tcPr>
            <w:tcW w:type="dxa" w:w="1400"/>
            <w:shd w:fill="D9E2F3" w:val="clear"/>
            <w:tcMar>
              <w:top w:type="dxa" w:w="80"/>
              <w:left w:type="dxa" w:w="100"/>
              <w:bottom w:type="dxa" w:w="80"/>
              <w:right w:type="dxa" w:w="100"/>
            </w:tcMar>
          </w:tcPr>
          <w:p>
            <w:r>
              <w:rPr>
                <w:b/>
                <w:bCs/>
              </w:rPr>
              <w:t xml:space="preserve">Substrate</w:t>
            </w:r>
          </w:p>
        </w:tc>
        <w:tc>
          <w:tcPr>
            <w:tcW w:type="dxa" w:w="3000"/>
            <w:shd w:fill="D9E2F3" w:val="clear"/>
            <w:tcMar>
              <w:top w:type="dxa" w:w="80"/>
              <w:left w:type="dxa" w:w="100"/>
              <w:bottom w:type="dxa" w:w="80"/>
              <w:right w:type="dxa" w:w="100"/>
            </w:tcMar>
          </w:tcPr>
          <w:p>
            <w:r>
              <w:rPr>
                <w:b/>
                <w:bCs/>
              </w:rPr>
              <w:t xml:space="preserve">Credential the workload already has</w:t>
            </w:r>
          </w:p>
        </w:tc>
        <w:tc>
          <w:tcPr>
            <w:tcW w:type="dxa" w:w="3000"/>
            <w:shd w:fill="D9E2F3" w:val="clear"/>
            <w:tcMar>
              <w:top w:type="dxa" w:w="80"/>
              <w:left w:type="dxa" w:w="100"/>
              <w:bottom w:type="dxa" w:w="80"/>
              <w:right w:type="dxa" w:w="100"/>
            </w:tcMar>
          </w:tcPr>
          <w:p>
            <w:r>
              <w:rPr>
                <w:b/>
                <w:bCs/>
              </w:rPr>
              <w:t xml:space="preserve">How it is verified</w:t>
            </w:r>
          </w:p>
        </w:tc>
        <w:tc>
          <w:tcPr>
            <w:tcW w:type="dxa" w:w="1960"/>
            <w:shd w:fill="D9E2F3" w:val="clear"/>
            <w:tcMar>
              <w:top w:type="dxa" w:w="80"/>
              <w:left w:type="dxa" w:w="100"/>
              <w:bottom w:type="dxa" w:w="80"/>
              <w:right w:type="dxa" w:w="100"/>
            </w:tcMar>
          </w:tcPr>
          <w:p>
            <w:r>
              <w:rPr>
                <w:b/>
                <w:bCs/>
              </w:rPr>
              <w:t xml:space="preserve">What the Agent does with it</w:t>
            </w:r>
          </w:p>
        </w:tc>
      </w:tr>
      <w:tr>
        <w:tc>
          <w:tcPr>
            <w:tcW w:type="dxa" w:w="1400"/>
            <w:tcMar>
              <w:top w:type="dxa" w:w="80"/>
              <w:left w:type="dxa" w:w="100"/>
              <w:bottom w:type="dxa" w:w="80"/>
              <w:right w:type="dxa" w:w="100"/>
            </w:tcMar>
          </w:tcPr>
          <w:p>
            <w:r>
              <w:rPr>
                <w:b w:val="false"/>
                <w:bCs w:val="false"/>
              </w:rPr>
              <w:t xml:space="preserve">Kubernetes</w:t>
            </w:r>
          </w:p>
        </w:tc>
        <w:tc>
          <w:tcPr>
            <w:tcW w:type="dxa" w:w="3000"/>
            <w:tcMar>
              <w:top w:type="dxa" w:w="80"/>
              <w:left w:type="dxa" w:w="100"/>
              <w:bottom w:type="dxa" w:w="80"/>
              <w:right w:type="dxa" w:w="100"/>
            </w:tcMar>
          </w:tcPr>
          <w:p>
            <w:r>
              <w:rPr>
                <w:b w:val="false"/>
                <w:bCs w:val="false"/>
              </w:rPr>
              <w:t xml:space="preserve">Projected service account token, mounted automatically at a well-known path (subject to the tenant not disabling automount)</w:t>
            </w:r>
          </w:p>
        </w:tc>
        <w:tc>
          <w:tcPr>
            <w:tcW w:type="dxa" w:w="3000"/>
            <w:tcMar>
              <w:top w:type="dxa" w:w="80"/>
              <w:left w:type="dxa" w:w="100"/>
              <w:bottom w:type="dxa" w:w="80"/>
              <w:right w:type="dxa" w:w="100"/>
            </w:tcMar>
          </w:tcPr>
          <w:p>
            <w:r>
              <w:rPr>
                <w:b w:val="false"/>
                <w:bCs w:val="false"/>
              </w:rPr>
              <w:t xml:space="preserve">Verified externally via the cluster's OIDC discovery endpoint and JWKS — no call back to the tenant's API server needed per request</w:t>
            </w:r>
          </w:p>
        </w:tc>
        <w:tc>
          <w:tcPr>
            <w:tcW w:type="dxa" w:w="1960"/>
            <w:tcMar>
              <w:top w:type="dxa" w:w="80"/>
              <w:left w:type="dxa" w:w="100"/>
              <w:bottom w:type="dxa" w:w="80"/>
              <w:right w:type="dxa" w:w="100"/>
            </w:tcMar>
          </w:tcPr>
          <w:p>
            <w:r>
              <w:rPr>
                <w:b w:val="false"/>
                <w:bCs w:val="false"/>
              </w:rPr>
              <w:t xml:space="preserve">Reads the token and forwards it as opaque bytes; never parses or interprets it</w:t>
            </w:r>
          </w:p>
        </w:tc>
      </w:tr>
      <w:tr>
        <w:tc>
          <w:tcPr>
            <w:tcW w:type="dxa" w:w="1400"/>
            <w:tcMar>
              <w:top w:type="dxa" w:w="80"/>
              <w:left w:type="dxa" w:w="100"/>
              <w:bottom w:type="dxa" w:w="80"/>
              <w:right w:type="dxa" w:w="100"/>
            </w:tcMar>
          </w:tcPr>
          <w:p>
            <w:r>
              <w:rPr>
                <w:b w:val="false"/>
                <w:bCs w:val="false"/>
              </w:rPr>
              <w:t xml:space="preserve">ECS</w:t>
            </w:r>
          </w:p>
        </w:tc>
        <w:tc>
          <w:tcPr>
            <w:tcW w:type="dxa" w:w="3000"/>
            <w:tcMar>
              <w:top w:type="dxa" w:w="80"/>
              <w:left w:type="dxa" w:w="100"/>
              <w:bottom w:type="dxa" w:w="80"/>
              <w:right w:type="dxa" w:w="100"/>
            </w:tcMar>
          </w:tcPr>
          <w:p>
            <w:r>
              <w:rPr>
                <w:b w:val="false"/>
                <w:bCs w:val="false"/>
              </w:rPr>
              <w:t xml:space="preserve">Task IAM role credentials, obtained by the task from the ECS task metadata endpoint</w:t>
            </w:r>
          </w:p>
        </w:tc>
        <w:tc>
          <w:tcPr>
            <w:tcW w:type="dxa" w:w="3000"/>
            <w:tcMar>
              <w:top w:type="dxa" w:w="80"/>
              <w:left w:type="dxa" w:w="100"/>
              <w:bottom w:type="dxa" w:w="80"/>
              <w:right w:type="dxa" w:w="100"/>
            </w:tcMar>
          </w:tcPr>
          <w:p>
            <w:r>
              <w:rPr>
                <w:b w:val="false"/>
                <w:bCs w:val="false"/>
              </w:rPr>
              <w:t xml:space="preserve">Verified via AWS STS / the task's identity document, through an ECS-specific verifier plugin</w:t>
            </w:r>
          </w:p>
        </w:tc>
        <w:tc>
          <w:tcPr>
            <w:tcW w:type="dxa" w:w="1960"/>
            <w:tcMar>
              <w:top w:type="dxa" w:w="80"/>
              <w:left w:type="dxa" w:w="100"/>
              <w:bottom w:type="dxa" w:w="80"/>
              <w:right w:type="dxa" w:w="100"/>
            </w:tcMar>
          </w:tcPr>
          <w:p>
            <w:r>
              <w:rPr>
                <w:b w:val="false"/>
                <w:bCs w:val="false"/>
              </w:rPr>
              <w:t xml:space="preserve">Same: opaque forward only</w:t>
            </w:r>
          </w:p>
        </w:tc>
      </w:tr>
    </w:tbl>
    <w:p>
      <w:pPr>
        <w:spacing w:after="120"/>
      </w:pPr>
      <w:r>
        <w:t xml:space="preserve">This is why ADR-008's dispatch-through-adapters principle and the Gateway's verifier-plugin design are described in parallel terms: both exist so that adding a new substrate (a new Destination Adapter, or a new workload-evidence verifier) is additive — a new plugin behind an existing interface — rather than a change to Gateway authorization logic itself. Per §6.2, none of this ever becomes a prerequisite for connectivity: a tenant on a substrate with no workload-evidence plugin yet simply operates at the tenant-identity-only layer, which remains fully sufficient for authorization.</w:t>
      </w:r>
    </w:p>
    <w:p>
      <w:pPr>
        <w:pStyle w:val="Heading2"/>
        <w:spacing w:after="150" w:before="300"/>
      </w:pPr>
      <w:r>
        <w:t xml:space="preserve">6.2 The Rule That Never Bends</w:t>
      </w:r>
    </w:p>
    <w:p>
      <w:pPr>
        <w:spacing w:after="120"/>
      </w:pPr>
      <w:r>
        <w:t xml:space="preserve">The Gateway authorizes purely from its own tenant/resource registry. A workload-evidence credential may inform attribution and audit logging; it is never the reason access is granted.</w:t>
      </w:r>
    </w:p>
    <w:p>
      <w:pPr>
        <w:spacing w:after="120"/>
      </w:pPr>
      <w:r>
        <w:t>Authorization is evaluated against tenant identity together with the matching registration — never tenant identity alone. A stream open is only permitted when a registration exists binding the authenticated tenant to that specific destination and connectivity type; “tenant is authenticated, therefore allowed” is an anti-pattern this architecture explicitly forecloses. This check is never gated on workload evidence being present: since workload evidence may not exist at all in some deployment models (VM, legacy environments), making it a prerequisite for connectivity would silently break tenants with no way to supply it. Workload evidence never narrows or expands authorization in v1 — it is attribution/audit only (§1.4, §6.1). Authorization is never gated on evidence being present, because some deployment models (VM, legacy) cannot supply it.</w:t>
      </w:r>
    </w:p>
    <w:p>
      <w:pPr>
        <w:spacing w:after="120"/>
      </w:pPr>
      <w:r>
        <w:t xml:space="preserve">This constrains naming, not just behavior, in any Registration schema or API that implements this rule: a field named anything like “required” or “mandatory” applied to workload evidence reads as an authorization gate regardless of what its documentation says, and a schema shaped that way should be treated as a design defect even if its intended semantics were audit-only — name the field for what it actually controls (e.g. an attribution/audit granularity level), never for a requirement it must never impose.</w:t>
      </w:r>
    </w:p>
    <w:p>
      <w:pPr>
        <w:pStyle w:val="Heading2"/>
        <w:spacing w:after="150" w:before="300"/>
      </w:pPr>
      <w:r>
        <w:t xml:space="preserve">6.3 Credential Verification Fallback</w:t>
      </w:r>
    </w:p>
    <w:p>
      <w:pPr>
        <w:spacing w:after="120"/>
      </w:pPr>
      <w:r>
        <w:t xml:space="preserve">No credential presented → permitted, tenant-only trust (a legitimate, policy-permitted state). Credential presented but fails verification → hard reject of the entire connection attempt, never a silent downgrade to tenant-only trust. Algorithm and issuer are pinned in verifier configuration and never read from the token itself, closing the well-documented “alg:none” class of JWT verification bugs. This mirrors the verified-safe pattern used by CloudFront's own optional-mTLS mode: absence of a credential is an allowed state; presence of an invalid one is always denied, never downgraded.</w:t>
      </w:r>
    </w:p>
    <w:p>
      <w:pPr>
        <w:pStyle w:val="Heading2"/>
        <w:spacing w:after="150" w:before="300"/>
      </w:pPr>
      <w:r>
        <w:t xml:space="preserve">6.4 Why Not Just Build SPIFFE Now</w:t>
      </w:r>
    </w:p>
    <w:p>
      <w:pPr>
        <w:spacing w:after="120"/>
      </w:pPr>
      <w:r>
        <w:t xml:space="preserve">Verified finding: attestation, short-lived credential issuance, and rotation are the same engineering work whether the credential format is a SPIFFE X.509 SVID or a substrate-native token (Kubernetes projected token, ECS task credential). Adopting a non-SPIFFE format does not reduce that scope — it only forfeits the ability to plug into mesh tooling that hardcodes the SPIFFE SAN format (e.g. certain Istio/Envoy matchers), which does not matter here since the tenant-side agent answers to its own CA regardless. Building real per-workload identity is therefore deferred on cost/benefit grounds, not ruled out on technical grounds.</w:t>
      </w:r>
    </w:p>
    <w:p>
      <w:pPr>
        <w:pStyle w:val="Heading2"/>
        <w:spacing w:after="150" w:before="300"/>
      </w:pPr>
      <w:r>
        <w:t xml:space="preserve">6.5 Why Source-IP / Network-Layer Identity Was Rejected as a Security Control</w:t>
      </w:r>
    </w:p>
    <w:p>
      <w:pPr>
        <w:spacing w:after="120"/>
      </w:pPr>
      <w:r>
        <w:t xml:space="preserve">Verified finding: on a tenant-operated Kubernetes cluster, anti-spoofing of pod source IP depends entirely on which CNI the tenant runs — it is not a universal Kubernetes guarantee. CAP_NET_RAW is allowed by default, and IP-spoofing inside a cluster is a documented, real attack vector that not all CNIs prevent. Deriving workload identity from network-layer signals (source pod IP) is therefore usable only as a soft, optional attribution signal (Workload Evidence) — never as an authorization boundary. This is the reasoning behind the strict separation between “attribution” and “authorization” in §6.1.</w:t>
      </w:r>
    </w:p>
    <w:p>
      <w:r>
        <w:br w:type="page"/>
      </w:r>
    </w:p>
    <w:p>
      <w:pPr>
        <w:pStyle w:val="Heading1"/>
        <w:spacing w:after="200" w:before="400"/>
      </w:pPr>
      <w:r>
        <w:t xml:space="preserve">7. Connectivity Matrix (Exhaustive)</w:t>
      </w:r>
    </w:p>
    <w:p>
      <w:pPr>
        <w:spacing w:after="120"/>
      </w:pPr>
      <w:r>
        <w:t xml:space="preserve">Every future flow must map onto one of the rows below; none should exist outside this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shd w:fill="D9E2F3" w:val="clear"/>
            <w:tcMar>
              <w:top w:type="dxa" w:w="80"/>
              <w:left w:type="dxa" w:w="100"/>
              <w:bottom w:type="dxa" w:w="80"/>
              <w:right w:type="dxa" w:w="100"/>
            </w:tcMar>
          </w:tcPr>
          <w:p>
            <w:r>
              <w:rPr>
                <w:b/>
                <w:bCs/>
              </w:rPr>
              <w:t xml:space="preserve">Source</w:t>
            </w:r>
          </w:p>
        </w:tc>
        <w:tc>
          <w:tcPr>
            <w:tcW w:type="dxa" w:w="2800"/>
            <w:shd w:fill="D9E2F3" w:val="clear"/>
            <w:tcMar>
              <w:top w:type="dxa" w:w="80"/>
              <w:left w:type="dxa" w:w="100"/>
              <w:bottom w:type="dxa" w:w="80"/>
              <w:right w:type="dxa" w:w="100"/>
            </w:tcMar>
          </w:tcPr>
          <w:p>
            <w:r>
              <w:rPr>
                <w:b/>
                <w:bCs/>
              </w:rPr>
              <w:t xml:space="preserve">Destination</w:t>
            </w:r>
          </w:p>
        </w:tc>
        <w:tc>
          <w:tcPr>
            <w:tcW w:type="dxa" w:w="3760"/>
            <w:shd w:fill="D9E2F3" w:val="clear"/>
            <w:tcMar>
              <w:top w:type="dxa" w:w="80"/>
              <w:left w:type="dxa" w:w="100"/>
              <w:bottom w:type="dxa" w:w="80"/>
              <w:right w:type="dxa" w:w="100"/>
            </w:tcMar>
          </w:tcPr>
          <w:p>
            <w:r>
              <w:rPr>
                <w:b/>
                <w:bCs/>
              </w:rPr>
              <w:t xml:space="preserve">Class</w:t>
            </w:r>
          </w:p>
        </w:tc>
      </w:tr>
      <w:tr>
        <w:tc>
          <w:tcPr>
            <w:tcW w:type="dxa" w:w="2800"/>
            <w:tcMar>
              <w:top w:type="dxa" w:w="80"/>
              <w:left w:type="dxa" w:w="100"/>
              <w:bottom w:type="dxa" w:w="80"/>
              <w:right w:type="dxa" w:w="100"/>
            </w:tcMar>
          </w:tcPr>
          <w:p>
            <w:r>
              <w:rPr>
                <w:b w:val="false"/>
                <w:bCs w:val="false"/>
              </w:rPr>
              <w:t xml:space="preserve">Platform Service</w:t>
            </w:r>
          </w:p>
        </w:tc>
        <w:tc>
          <w:tcPr>
            <w:tcW w:type="dxa" w:w="2800"/>
            <w:tcMar>
              <w:top w:type="dxa" w:w="80"/>
              <w:left w:type="dxa" w:w="100"/>
              <w:bottom w:type="dxa" w:w="80"/>
              <w:right w:type="dxa" w:w="100"/>
            </w:tcMar>
          </w:tcPr>
          <w:p>
            <w:r>
              <w:rPr>
                <w:b w:val="false"/>
                <w:bCs w:val="false"/>
              </w:rPr>
              <w:t xml:space="preserve">Platform Service</w:t>
            </w:r>
          </w:p>
        </w:tc>
        <w:tc>
          <w:tcPr>
            <w:tcW w:type="dxa" w:w="3760"/>
            <w:tcMar>
              <w:top w:type="dxa" w:w="80"/>
              <w:left w:type="dxa" w:w="100"/>
              <w:bottom w:type="dxa" w:w="80"/>
              <w:right w:type="dxa" w:w="100"/>
            </w:tcMar>
          </w:tcPr>
          <w:p>
            <w:r>
              <w:rPr>
                <w:b w:val="false"/>
                <w:bCs w:val="false"/>
              </w:rPr>
              <w:t xml:space="preserve">Service Connectivity</w:t>
            </w:r>
          </w:p>
        </w:tc>
      </w:tr>
      <w:tr>
        <w:tc>
          <w:tcPr>
            <w:tcW w:type="dxa" w:w="2800"/>
            <w:tcMar>
              <w:top w:type="dxa" w:w="80"/>
              <w:left w:type="dxa" w:w="100"/>
              <w:bottom w:type="dxa" w:w="80"/>
              <w:right w:type="dxa" w:w="100"/>
            </w:tcMar>
          </w:tcPr>
          <w:p>
            <w:r>
              <w:rPr>
                <w:b w:val="false"/>
                <w:bCs w:val="false"/>
              </w:rPr>
              <w:t xml:space="preserve">Platform Service</w:t>
            </w:r>
          </w:p>
        </w:tc>
        <w:tc>
          <w:tcPr>
            <w:tcW w:type="dxa" w:w="2800"/>
            <w:tcMar>
              <w:top w:type="dxa" w:w="80"/>
              <w:left w:type="dxa" w:w="100"/>
              <w:bottom w:type="dxa" w:w="80"/>
              <w:right w:type="dxa" w:w="100"/>
            </w:tcMar>
          </w:tcPr>
          <w:p>
            <w:r>
              <w:rPr>
                <w:b w:val="false"/>
                <w:bCs w:val="false"/>
              </w:rPr>
              <w:t xml:space="preserve">Customer Service</w:t>
            </w:r>
          </w:p>
        </w:tc>
        <w:tc>
          <w:tcPr>
            <w:tcW w:type="dxa" w:w="3760"/>
            <w:tcMar>
              <w:top w:type="dxa" w:w="80"/>
              <w:left w:type="dxa" w:w="100"/>
              <w:bottom w:type="dxa" w:w="80"/>
              <w:right w:type="dxa" w:w="100"/>
            </w:tcMar>
          </w:tcPr>
          <w:p>
            <w:r>
              <w:rPr>
                <w:b w:val="false"/>
                <w:bCs w:val="false"/>
              </w:rPr>
              <w:t xml:space="preserve">Service Connectivity</w:t>
            </w:r>
          </w:p>
        </w:tc>
      </w:tr>
      <w:tr>
        <w:tc>
          <w:tcPr>
            <w:tcW w:type="dxa" w:w="2800"/>
            <w:tcMar>
              <w:top w:type="dxa" w:w="80"/>
              <w:left w:type="dxa" w:w="100"/>
              <w:bottom w:type="dxa" w:w="80"/>
              <w:right w:type="dxa" w:w="100"/>
            </w:tcMar>
          </w:tcPr>
          <w:p>
            <w:r>
              <w:rPr>
                <w:b w:val="false"/>
                <w:bCs w:val="false"/>
              </w:rPr>
              <w:t xml:space="preserve">Customer Service</w:t>
            </w:r>
          </w:p>
        </w:tc>
        <w:tc>
          <w:tcPr>
            <w:tcW w:type="dxa" w:w="2800"/>
            <w:tcMar>
              <w:top w:type="dxa" w:w="80"/>
              <w:left w:type="dxa" w:w="100"/>
              <w:bottom w:type="dxa" w:w="80"/>
              <w:right w:type="dxa" w:w="100"/>
            </w:tcMar>
          </w:tcPr>
          <w:p>
            <w:r>
              <w:rPr>
                <w:b w:val="false"/>
                <w:bCs w:val="false"/>
              </w:rPr>
              <w:t xml:space="preserve">Platform Service</w:t>
            </w:r>
          </w:p>
        </w:tc>
        <w:tc>
          <w:tcPr>
            <w:tcW w:type="dxa" w:w="3760"/>
            <w:tcMar>
              <w:top w:type="dxa" w:w="80"/>
              <w:left w:type="dxa" w:w="100"/>
              <w:bottom w:type="dxa" w:w="80"/>
              <w:right w:type="dxa" w:w="100"/>
            </w:tcMar>
          </w:tcPr>
          <w:p>
            <w:r>
              <w:rPr>
                <w:b w:val="false"/>
                <w:bCs w:val="false"/>
              </w:rPr>
              <w:t xml:space="preserve">Service Connectivity</w:t>
            </w:r>
          </w:p>
        </w:tc>
      </w:tr>
      <w:tr>
        <w:tc>
          <w:tcPr>
            <w:tcW w:type="dxa" w:w="2800"/>
            <w:tcMar>
              <w:top w:type="dxa" w:w="80"/>
              <w:left w:type="dxa" w:w="100"/>
              <w:bottom w:type="dxa" w:w="80"/>
              <w:right w:type="dxa" w:w="100"/>
            </w:tcMar>
          </w:tcPr>
          <w:p>
            <w:r>
              <w:rPr>
                <w:b w:val="false"/>
                <w:bCs w:val="false"/>
              </w:rPr>
              <w:t xml:space="preserve">Customer Service</w:t>
            </w:r>
          </w:p>
        </w:tc>
        <w:tc>
          <w:tcPr>
            <w:tcW w:type="dxa" w:w="2800"/>
            <w:tcMar>
              <w:top w:type="dxa" w:w="80"/>
              <w:left w:type="dxa" w:w="100"/>
              <w:bottom w:type="dxa" w:w="80"/>
              <w:right w:type="dxa" w:w="100"/>
            </w:tcMar>
          </w:tcPr>
          <w:p>
            <w:r>
              <w:rPr>
                <w:b w:val="false"/>
                <w:bCs w:val="false"/>
              </w:rPr>
              <w:t xml:space="preserve">Customer Service</w:t>
            </w:r>
          </w:p>
        </w:tc>
        <w:tc>
          <w:tcPr>
            <w:tcW w:type="dxa" w:w="3760"/>
            <w:tcMar>
              <w:top w:type="dxa" w:w="80"/>
              <w:left w:type="dxa" w:w="100"/>
              <w:bottom w:type="dxa" w:w="80"/>
              <w:right w:type="dxa" w:w="100"/>
            </w:tcMar>
          </w:tcPr>
          <w:p>
            <w:r>
              <w:rPr>
                <w:b w:val="false"/>
                <w:bCs w:val="false"/>
              </w:rPr>
              <w:t xml:space="preserve">Service Connectivity (rare / may not exist for a given tenant)</w:t>
            </w:r>
          </w:p>
        </w:tc>
      </w:tr>
      <w:tr>
        <w:tc>
          <w:tcPr>
            <w:tcW w:type="dxa" w:w="2800"/>
            <w:tcMar>
              <w:top w:type="dxa" w:w="80"/>
              <w:left w:type="dxa" w:w="100"/>
              <w:bottom w:type="dxa" w:w="80"/>
              <w:right w:type="dxa" w:w="100"/>
            </w:tcMar>
          </w:tcPr>
          <w:p>
            <w:r>
              <w:rPr>
                <w:b w:val="false"/>
                <w:bCs w:val="false"/>
              </w:rPr>
              <w:t xml:space="preserve">Platform Service</w:t>
            </w:r>
          </w:p>
        </w:tc>
        <w:tc>
          <w:tcPr>
            <w:tcW w:type="dxa" w:w="2800"/>
            <w:tcMar>
              <w:top w:type="dxa" w:w="80"/>
              <w:left w:type="dxa" w:w="100"/>
              <w:bottom w:type="dxa" w:w="80"/>
              <w:right w:type="dxa" w:w="100"/>
            </w:tcMar>
          </w:tcPr>
          <w:p>
            <w:r>
              <w:rPr>
                <w:b w:val="false"/>
                <w:bCs w:val="false"/>
              </w:rPr>
              <w:t xml:space="preserve">Platform Resource</w:t>
            </w:r>
          </w:p>
        </w:tc>
        <w:tc>
          <w:tcPr>
            <w:tcW w:type="dxa" w:w="3760"/>
            <w:tcMar>
              <w:top w:type="dxa" w:w="80"/>
              <w:left w:type="dxa" w:w="100"/>
              <w:bottom w:type="dxa" w:w="80"/>
              <w:right w:type="dxa" w:w="100"/>
            </w:tcMar>
          </w:tcPr>
          <w:p>
            <w:r>
              <w:rPr>
                <w:b w:val="false"/>
                <w:bCs w:val="false"/>
              </w:rPr>
              <w:t xml:space="preserve">Resource Connectivity (internal — no Gateway tunnel; ambient mesh + Platform Connector only)</w:t>
            </w:r>
          </w:p>
        </w:tc>
      </w:tr>
      <w:tr>
        <w:tc>
          <w:tcPr>
            <w:tcW w:type="dxa" w:w="2800"/>
            <w:tcMar>
              <w:top w:type="dxa" w:w="80"/>
              <w:left w:type="dxa" w:w="100"/>
              <w:bottom w:type="dxa" w:w="80"/>
              <w:right w:type="dxa" w:w="100"/>
            </w:tcMar>
          </w:tcPr>
          <w:p>
            <w:r>
              <w:rPr>
                <w:b w:val="false"/>
                <w:bCs w:val="false"/>
              </w:rPr>
              <w:t xml:space="preserve">Platform Service</w:t>
            </w:r>
          </w:p>
        </w:tc>
        <w:tc>
          <w:tcPr>
            <w:tcW w:type="dxa" w:w="2800"/>
            <w:tcMar>
              <w:top w:type="dxa" w:w="80"/>
              <w:left w:type="dxa" w:w="100"/>
              <w:bottom w:type="dxa" w:w="80"/>
              <w:right w:type="dxa" w:w="100"/>
            </w:tcMar>
          </w:tcPr>
          <w:p>
            <w:r>
              <w:rPr>
                <w:b w:val="false"/>
                <w:bCs w:val="false"/>
              </w:rPr>
              <w:t xml:space="preserve">Customer Resource</w:t>
            </w:r>
          </w:p>
        </w:tc>
        <w:tc>
          <w:tcPr>
            <w:tcW w:type="dxa" w:w="3760"/>
            <w:tcMar>
              <w:top w:type="dxa" w:w="80"/>
              <w:left w:type="dxa" w:w="100"/>
              <w:bottom w:type="dxa" w:w="80"/>
              <w:right w:type="dxa" w:w="100"/>
            </w:tcMar>
          </w:tcPr>
          <w:p>
            <w:r>
              <w:rPr>
                <w:b w:val="false"/>
                <w:bCs w:val="false"/>
              </w:rPr>
              <w:t xml:space="preserve">Resource Connectivity</w:t>
            </w:r>
          </w:p>
        </w:tc>
      </w:tr>
      <w:tr>
        <w:tc>
          <w:tcPr>
            <w:tcW w:type="dxa" w:w="2800"/>
            <w:tcMar>
              <w:top w:type="dxa" w:w="80"/>
              <w:left w:type="dxa" w:w="100"/>
              <w:bottom w:type="dxa" w:w="80"/>
              <w:right w:type="dxa" w:w="100"/>
            </w:tcMar>
          </w:tcPr>
          <w:p>
            <w:r>
              <w:rPr>
                <w:b w:val="false"/>
                <w:bCs w:val="false"/>
              </w:rPr>
              <w:t xml:space="preserve">Customer Service</w:t>
            </w:r>
          </w:p>
        </w:tc>
        <w:tc>
          <w:tcPr>
            <w:tcW w:type="dxa" w:w="2800"/>
            <w:tcMar>
              <w:top w:type="dxa" w:w="80"/>
              <w:left w:type="dxa" w:w="100"/>
              <w:bottom w:type="dxa" w:w="80"/>
              <w:right w:type="dxa" w:w="100"/>
            </w:tcMar>
          </w:tcPr>
          <w:p>
            <w:r>
              <w:rPr>
                <w:b w:val="false"/>
                <w:bCs w:val="false"/>
              </w:rPr>
              <w:t xml:space="preserve">Platform Resource</w:t>
            </w:r>
          </w:p>
        </w:tc>
        <w:tc>
          <w:tcPr>
            <w:tcW w:type="dxa" w:w="3760"/>
            <w:tcMar>
              <w:top w:type="dxa" w:w="80"/>
              <w:left w:type="dxa" w:w="100"/>
              <w:bottom w:type="dxa" w:w="80"/>
              <w:right w:type="dxa" w:w="100"/>
            </w:tcMar>
          </w:tcPr>
          <w:p>
            <w:r>
              <w:rPr>
                <w:b w:val="false"/>
                <w:bCs w:val="false"/>
              </w:rPr>
              <w:t xml:space="preserve">Resource Connectivity</w:t>
            </w:r>
          </w:p>
        </w:tc>
      </w:tr>
      <w:tr>
        <w:tc>
          <w:tcPr>
            <w:tcW w:type="dxa" w:w="2800"/>
            <w:tcMar>
              <w:top w:type="dxa" w:w="80"/>
              <w:left w:type="dxa" w:w="100"/>
              <w:bottom w:type="dxa" w:w="80"/>
              <w:right w:type="dxa" w:w="100"/>
            </w:tcMar>
          </w:tcPr>
          <w:p>
            <w:r>
              <w:rPr>
                <w:b w:val="false"/>
                <w:bCs w:val="false"/>
              </w:rPr>
              <w:t xml:space="preserve">Customer Service</w:t>
            </w:r>
          </w:p>
        </w:tc>
        <w:tc>
          <w:tcPr>
            <w:tcW w:type="dxa" w:w="2800"/>
            <w:tcMar>
              <w:top w:type="dxa" w:w="80"/>
              <w:left w:type="dxa" w:w="100"/>
              <w:bottom w:type="dxa" w:w="80"/>
              <w:right w:type="dxa" w:w="100"/>
            </w:tcMar>
          </w:tcPr>
          <w:p>
            <w:r>
              <w:rPr>
                <w:b w:val="false"/>
                <w:bCs w:val="false"/>
              </w:rPr>
              <w:t xml:space="preserve">Customer Resource</w:t>
            </w:r>
          </w:p>
        </w:tc>
        <w:tc>
          <w:tcPr>
            <w:tcW w:type="dxa" w:w="3760"/>
            <w:tcMar>
              <w:top w:type="dxa" w:w="80"/>
              <w:left w:type="dxa" w:w="100"/>
              <w:bottom w:type="dxa" w:w="80"/>
              <w:right w:type="dxa" w:w="100"/>
            </w:tcMar>
          </w:tcPr>
          <w:p>
            <w:r>
              <w:rPr>
                <w:b w:val="false"/>
                <w:bCs w:val="false"/>
              </w:rPr>
              <w:t xml:space="preserve">Resource Connectivity</w:t>
            </w:r>
          </w:p>
        </w:tc>
      </w:tr>
    </w:tbl>
    <w:p>
      <w:r>
        <w:br w:type="page"/>
      </w:r>
    </w:p>
    <w:p>
      <w:pPr>
        <w:pStyle w:val="Heading1"/>
        <w:spacing w:after="200" w:before="400"/>
      </w:pPr>
      <w:r>
        <w:t xml:space="preserve">8. Connectivity Pathways in Detail</w:t>
      </w:r>
    </w:p>
    <w:p>
      <w:pPr>
        <w:spacing w:after="120"/>
      </w:pPr>
      <w:r>
        <w:t xml:space="preserve">The following walks every pathway end to end, including the internal platform-only flow surfaced during review. Destination resolution in every cross-boundary flow goes through the Gateway's Destination Adapter abstraction (§5.2, ADR-008) — the specific adapter used depends on where the destination actually lives, not on which “side” initiated the call.</w:t>
      </w:r>
    </w:p>
    <w:p>
      <w:pPr>
        <w:pStyle w:val="Heading2"/>
        <w:spacing w:after="150" w:before="300"/>
      </w:pPr>
      <w:r>
        <w:t xml:space="preserve">8.1 A1 — Platform Service → Platform Service</w:t>
      </w:r>
    </w:p>
    <w:p>
      <w:pPr>
        <w:shd w:fill="F2F2F2" w:val="clear"/>
        <w:spacing w:after="60"/>
      </w:pPr>
      <w:r>
        <w:rPr>
          <w:rFonts w:ascii="Consolas" w:cs="Consolas" w:eastAsia="Consolas" w:hAnsi="Consolas"/>
          <w:sz w:val="18"/>
          <w:szCs w:val="18"/>
        </w:rPr>
        <w:t>Platform Service → ztunnel → [optional waypoint] → ztunnel → Platform Service</w:t>
      </w:r>
    </w:p>
    <w:p>
      <w:pPr>
        <w:pStyle w:val="ListParagraph"/>
        <w:numPr>
          <w:ilvl w:val="0"/>
          <w:numId w:val="1"/>
        </w:numPr>
        <w:spacing w:after="60"/>
      </w:pPr>
      <w:r>
        <w:t>Entirely within the Platform. No Gateway, no Connect Agent, no tunnel involved. waypoint here is optional per §5.4 (namespace policy default; omit only when the namespace is genuinely non-HTTP/gRPC) -- this bracketed hop is a notation convention used consistently for optional waypoint hops throughout §8, not a narrowing of scope.</w:t>
      </w:r>
    </w:p>
    <w:p>
      <w:pPr>
        <w:pStyle w:val="ListParagraph"/>
        <w:numPr>
          <w:ilvl w:val="0"/>
          <w:numId w:val="1"/>
        </w:numPr>
        <w:spacing w:after="60"/>
      </w:pPr>
      <w:r>
        <w:t xml:space="preserve">ztunnel provides mTLS/L4 automatically; waypoint provides L7 retries, circuit-breaking, and L7 authorization policy.</w:t>
      </w:r>
    </w:p>
    <w:p>
      <w:pPr>
        <w:pStyle w:val="Heading2"/>
        <w:spacing w:after="150" w:before="300"/>
      </w:pPr>
      <w:r>
        <w:t xml:space="preserve">8.2 A2 — Customer Service → Platform Service</w:t>
      </w:r>
    </w:p>
    <w:p>
      <w:pPr>
        <w:shd w:fill="F2F2F2" w:val="clear"/>
        <w:spacing w:after="60"/>
      </w:pPr>
      <w:r>
        <w:rPr>
          <w:rFonts w:ascii="Consolas" w:cs="Consolas" w:eastAsia="Consolas" w:hAnsi="Consolas"/>
          <w:sz w:val="18"/>
          <w:szCs w:val="18"/>
        </w:rPr>
        <w:t>Customer Service → Connect Agent → [tunnel] → Gateway → ztunnel → [optional waypoint] → Platform Service</w:t>
      </w:r>
    </w:p>
    <w:p>
      <w:pPr>
        <w:pStyle w:val="ListParagraph"/>
        <w:numPr>
          <w:ilvl w:val="0"/>
          <w:numId w:val="1"/>
        </w:numPr>
        <w:spacing w:after="60"/>
      </w:pPr>
      <w:r>
        <w:t xml:space="preserve">Customer Service connects to an ordinary in-Customer-Environment DNS name / port; the Connect Agent is the local endpoint.</w:t>
      </w:r>
    </w:p>
    <w:p>
      <w:pPr>
        <w:pStyle w:val="ListParagraph"/>
        <w:numPr>
          <w:ilvl w:val="0"/>
          <w:numId w:val="1"/>
        </w:numPr>
        <w:spacing w:after="60"/>
      </w:pPr>
      <w:r>
        <w:t xml:space="preserve">Gateway authenticates the tenant, authorizes from the registry, and hands the stream into the ambient mesh on the Platform side.</w:t>
      </w:r>
    </w:p>
    <w:p>
      <w:pPr>
        <w:pStyle w:val="ListParagraph"/>
        <w:numPr>
          <w:ilvl w:val="0"/>
          <w:numId w:val="1"/>
        </w:numPr>
        <w:spacing w:after="60"/>
      </w:pPr>
      <w:r>
        <w:t xml:space="preserve">Adapter on this path: Direct Endpoint Adapter (§5.2 mapping for PLATFORM_SERVICE). The Gateway does not invent topology; it dials the Registration’s host:port, which must be a Platform-mesh-reachable name so ztunnel / optional waypoint can carry the stream to the Platform Service.</w:t>
      </w:r>
    </w:p>
    <w:p>
      <w:pPr>
        <w:pStyle w:val="ListParagraph"/>
        <w:numPr>
          <w:ilvl w:val="0"/>
          <w:numId w:val="1"/>
        </w:numPr>
        <w:spacing w:after="60"/>
      </w:pPr>
      <w:r>
        <w:t xml:space="preserve">Retry boundary: transport-level retry (tunnel/TCP/stream) is owned by the Connect Agent up to the Gateway. HTTP/gRPC-level retry is owned by waypoint, only once traffic is inside the mesh — waypoint has no visibility into, and does not retry, failures on the Customer Environment side of the Gateway.</w:t>
      </w:r>
    </w:p>
    <w:p>
      <w:pPr>
        <w:pStyle w:val="Heading2"/>
        <w:spacing w:after="150" w:before="300"/>
      </w:pPr>
      <w:r>
        <w:t xml:space="preserve">8.3 A3 — Platform Service → Customer Service</w:t>
      </w:r>
    </w:p>
    <w:p>
      <w:pPr>
        <w:shd w:fill="F2F2F2" w:val="clear"/>
        <w:spacing w:after="60"/>
      </w:pPr>
      <w:r>
        <w:rPr>
          <w:rFonts w:ascii="Consolas" w:cs="Consolas" w:eastAsia="Consolas" w:hAnsi="Consolas"/>
          <w:sz w:val="18"/>
          <w:szCs w:val="18"/>
        </w:rPr>
        <w:t>Platform Service → [optional waypoint] → ztunnel → Gateway → [tunnel] → Connect Agent → Customer Service</w:t>
      </w:r>
    </w:p>
    <w:p>
      <w:pPr>
        <w:pStyle w:val="ListParagraph"/>
        <w:numPr>
          <w:ilvl w:val="0"/>
          <w:numId w:val="1"/>
        </w:numPr>
        <w:spacing w:after="60"/>
      </w:pPr>
      <w:r>
        <w:t xml:space="preserve">Mirror image of A2. Waypoint can retry up to the Gateway; it cannot retry Gateway → Customer Environment failures unless the Gateway itself becomes retry-aware for that hop, which it is not in v1 (transport-level reconnect only).</w:t>
      </w:r>
    </w:p>
    <w:p>
      <w:pPr>
        <w:pStyle w:val="ListParagraph"/>
        <w:numPr>
          <w:ilvl w:val="0"/>
          <w:numId w:val="1"/>
        </w:numPr>
        <w:spacing w:after="60"/>
      </w:pPr>
      <w:r>
        <w:t xml:space="preserve">Destination addressing (closes the dial-target gap left open by the hop chain above): §8.3 names the components but not how a Platform Service reaches a specific tenant+registration through the Gateway. Resolved: the Platform Service dials a platform-minted DNS name of the form &lt;registration_id&gt;.&lt;tenant_id&gt;.connect.mesh (default suffix; configurable via platform config). That name resolves to the tenant’s shared Gateway inbound endpoint (one inbound endpoint per tenant, not per registration). The Gateway recovers (tenant_id, registration_id) from TLS SNI / hostname, authorizes against an Active Registration for that pair, then opens a stream on an already-established Connect Agent tunnel (Connect Agent Adapter). The hostname is Controller-synthesized from Store identity fields — not a customer-supplied routing string — and never grants access by itself (L2 §G.1). Distinct from §14 item 3 (Agent selection among eligible tunnels once the Registration is already identified).</w:t>
      </w:r>
    </w:p>
    <w:p>
      <w:pPr>
        <w:pStyle w:val="Heading2"/>
        <w:spacing w:after="150" w:before="300"/>
      </w:pPr>
      <w:r>
        <w:t xml:space="preserve">8.4 A4 — Customer Service → Customer Service (rare / tenant-dependent)</w:t>
      </w:r>
    </w:p>
    <w:p>
      <w:pPr>
        <w:shd w:fill="F2F2F2" w:val="clear"/>
        <w:spacing w:after="60"/>
      </w:pPr>
      <w:r>
        <w:rPr>
          <w:rFonts w:ascii="Consolas" w:cs="Consolas" w:eastAsia="Consolas" w:hAnsi="Consolas"/>
          <w:sz w:val="18"/>
          <w:szCs w:val="18"/>
        </w:rPr>
        <w:t xml:space="preserve">Customer Service → Connect Agent → [tunnel] → Gateway → [tunnel] → Connect Agent → Customer Service</w:t>
      </w:r>
    </w:p>
    <w:p>
      <w:pPr>
        <w:pStyle w:val="ListParagraph"/>
        <w:numPr>
          <w:ilvl w:val="0"/>
          <w:numId w:val="1"/>
        </w:numPr>
        <w:spacing w:after="60"/>
      </w:pPr>
      <w:r>
        <w:t xml:space="preserve">May not exist for a given tenant — many tenants have no pod-to-pod traffic pattern across their own services that needs to cross the Gateway. Included for completeness of the matrix, not because it is commonly used.</w:t>
      </w:r>
    </w:p>
    <w:p>
      <w:pPr>
        <w:pStyle w:val="Heading2"/>
        <w:spacing w:after="150" w:before="300"/>
      </w:pPr>
      <w:r>
        <w:t xml:space="preserve">8.5 B1 — Platform Service → Platform Resource (internal)</w:t>
      </w:r>
    </w:p>
    <w:p>
      <w:pPr>
        <w:shd w:fill="F2F2F2" w:val="clear"/>
        <w:spacing w:after="60"/>
      </w:pPr>
      <w:r>
        <w:rPr>
          <w:rFonts w:ascii="Consolas" w:cs="Consolas" w:eastAsia="Consolas" w:hAnsi="Consolas"/>
          <w:sz w:val="18"/>
          <w:szCs w:val="18"/>
        </w:rPr>
        <w:t xml:space="preserve">Platform Service → ztunnel → Platform Connector Adapter → Platform Resource</w:t>
      </w:r>
    </w:p>
    <w:p>
      <w:pPr>
        <w:pStyle w:val="ListParagraph"/>
        <w:numPr>
          <w:ilvl w:val="0"/>
          <w:numId w:val="1"/>
        </w:numPr>
        <w:spacing w:after="60"/>
      </w:pPr>
      <w:r>
        <w:t xml:space="preserve">Purely internal to the Platform. No Gateway tunnel, no Connect Agent. Included explicitly in the matrix (§7) because without it, a reviewer has no documented answer to “does Orders-to-our-own-Postgres go through the Connect Agent” — it does not.</w:t>
      </w:r>
    </w:p>
    <w:p>
      <w:pPr>
        <w:pStyle w:val="Heading2"/>
        <w:spacing w:after="150" w:before="300"/>
      </w:pPr>
      <w:r>
        <w:t xml:space="preserve">8.6 B2 — Customer Service → Customer Resource</w:t>
      </w:r>
    </w:p>
    <w:p>
      <w:pPr>
        <w:shd w:fill="F2F2F2" w:val="clear"/>
        <w:spacing w:after="60"/>
      </w:pPr>
      <w:r>
        <w:rPr>
          <w:rFonts w:ascii="Consolas" w:cs="Consolas" w:eastAsia="Consolas" w:hAnsi="Consolas"/>
          <w:sz w:val="18"/>
          <w:szCs w:val="18"/>
        </w:rPr>
        <w:t xml:space="preserve">Customer Service → Connect Agent → [tunnel] → Gateway → Connect Agent Adapter → [tunnel] → Connect Agent → Customer Resource</w:t>
      </w:r>
    </w:p>
    <w:p>
      <w:pPr>
        <w:pStyle w:val="ListParagraph"/>
        <w:numPr>
          <w:ilvl w:val="0"/>
          <w:numId w:val="1"/>
        </w:numPr>
        <w:spacing w:after="60"/>
      </w:pPr>
      <w:r>
        <w:t xml:space="preserve">The Connect Agent is a pure TCP passthrough on both ends of this path — it never terminates or inspects TLS. DB wire protocols (PostgreSQL, and others) negotiate TLS in-band; a generic TLS-terminating proxy breaks this class of client (a documented, previously-hit issue in Istio/Envoy for exactly this reason).</w:t>
      </w:r>
    </w:p>
    <w:p>
      <w:pPr>
        <w:pStyle w:val="ListParagraph"/>
        <w:numPr>
          <w:ilvl w:val="0"/>
          <w:numId w:val="1"/>
        </w:numPr>
        <w:spacing w:after="60"/>
      </w:pPr>
      <w:r>
        <w:t xml:space="preserve">One local listener per registered resource keeps the Agent protocol-ignorant across a heterogeneous DB fleet (Postgres, Redis, Kafka, OpenSearch, Mongo) without needing per-protocol parsing.</w:t>
      </w:r>
    </w:p>
    <w:p>
      <w:pPr>
        <w:pStyle w:val="ListParagraph"/>
        <w:numPr>
          <w:ilvl w:val="0"/>
          <w:numId w:val="1"/>
        </w:numPr>
        <w:spacing w:after="60"/>
      </w:pPr>
      <w:r>
        <w:t>v1 hairpin invariant (resolves former §14 item 2): this path always traverses the Platform Gateway, even when the Customer Service and Customer Resource are network-adjacent. Local short-circuit is explicitly out of scope for v1 — it would require the Connect Agent to authorize or cache authorization decisions, contradicting ADR-007 and weakening ADR-002. Customer-facing consequences (latency, egress, data residency, and Gateway byte visibility when the destination protocol has no TLS of its own — see §8.6 plaintext property below) are accepted product tradeoffs for preserving a single authorization point. A future local short-circuit requires a new ADR, not a silent Agent-side exception.</w:t>
      </w:r>
    </w:p>
    <w:p>
      <w:pPr>
        <w:pStyle w:val="Heading2"/>
        <w:spacing w:after="150" w:before="300"/>
      </w:pPr>
      <w:r>
        <w:t xml:space="preserve">8.7 B3 — Customer Service → Platform Resource</w:t>
      </w:r>
    </w:p>
    <w:p>
      <w:pPr>
        <w:shd w:fill="F2F2F2" w:val="clear"/>
        <w:spacing w:after="60"/>
      </w:pPr>
      <w:r>
        <w:rPr>
          <w:rFonts w:ascii="Consolas" w:cs="Consolas" w:eastAsia="Consolas" w:hAnsi="Consolas"/>
          <w:sz w:val="18"/>
          <w:szCs w:val="18"/>
        </w:rPr>
        <w:t xml:space="preserve">Customer Service → Connect Agent → [tunnel] → Gateway → Platform Connector Adapter → Platform Resource</w:t>
      </w:r>
    </w:p>
    <w:p>
      <w:pPr>
        <w:pStyle w:val="ListParagraph"/>
        <w:numPr>
          <w:ilvl w:val="0"/>
          <w:numId w:val="1"/>
        </w:numPr>
        <w:spacing w:after="60"/>
      </w:pPr>
      <w:r>
        <w:t xml:space="preserve">The destination here is a Platform Connector Adapter, not a second Connect Agent — the resource is platform-managed, so there is no tenant-side agent to reach. This is exactly the destination-class distinction ADR-008 exists to make explicit: the Gateway's authorization/dispatch logic must not assume the destination is always “another agent.”</w:t>
      </w:r>
    </w:p>
    <w:p>
      <w:pPr>
        <w:pStyle w:val="Heading2"/>
        <w:spacing w:after="150" w:before="300"/>
      </w:pPr>
      <w:r>
        <w:t xml:space="preserve">8.8 B4 — Platform Service → Customer Resource</w:t>
      </w:r>
    </w:p>
    <w:p>
      <w:pPr>
        <w:shd w:fill="F2F2F2" w:val="clear"/>
        <w:spacing w:after="60"/>
      </w:pPr>
      <w:r>
        <w:rPr>
          <w:rFonts w:ascii="Consolas" w:cs="Consolas" w:eastAsia="Consolas" w:hAnsi="Consolas"/>
          <w:sz w:val="18"/>
          <w:szCs w:val="18"/>
        </w:rPr>
        <w:t xml:space="preserve">Platform Service → ztunnel → Gateway → Connect Agent Adapter → [tunnel] → Connect Agent → Customer Resource</w:t>
      </w:r>
    </w:p>
    <w:p>
      <w:pPr>
        <w:pStyle w:val="ListParagraph"/>
        <w:numPr>
          <w:ilvl w:val="0"/>
          <w:numId w:val="1"/>
        </w:numPr>
        <w:spacing w:after="60"/>
      </w:pPr>
      <w:r>
        <w:t xml:space="preserve">Common use cases: ETL, backup, sync, migration, reporting, scheduled data validation jobs run from the Platform against tenant-hosted data.</w:t>
      </w:r>
    </w:p>
    <w:p>
      <w:pPr>
        <w:pStyle w:val="ListParagraph"/>
        <w:numPr>
          <w:ilvl w:val="0"/>
          <w:numId w:val="1"/>
        </w:numPr>
        <w:spacing w:after="60"/>
      </w:pPr>
      <w:r>
        <w:t xml:space="preserve">Same pure-TCP-passthrough guarantee applies on the Connect Agent side as in B2.</w:t>
      </w:r>
    </w:p>
    <w:p>
      <w:pPr>
        <w:pStyle w:val="ListParagraph"/>
        <w:numPr>
          <w:ilvl w:val="0"/>
          <w:numId w:val="1"/>
        </w:numPr>
        <w:spacing w:after="60"/>
      </w:pPr>
      <w:r>
        <w:t xml:space="preserve">Destination addressing: same platform-minted DNS / SNI mechanism as §8.3 (&lt;registration_id&gt;.&lt;tenant_id&gt;.connect.mesh → per-tenant Gateway inbound → authorize → Connect Agent Adapter → existing tunnel). Resource path: no waypoint (§5.4).</w:t>
      </w:r>
    </w:p>
    <w:p>
      <w:pPr>
        <w:pStyle w:val="ListParagraph"/>
        <w:numPr>
          <w:ilvl w:val="0"/>
          <w:numId w:val="1"/>
        </w:numPr>
        <w:spacing w:after="60"/>
      </w:pPr>
      <w:r>
        <w:t xml:space="preserve">No waypoint on this path, consistent with §5.4's explicit scope limit (waypoint never parses non-HTTP/gRPC application protocols and is not where Postgres/Kafka/Redis traffic is handled) and with B1's identical pattern for the Platform-internal case (§8.5). An earlier version of this diagram incorrectly routed this path through waypoint; corrected here — Resource Connectivity never traverses waypoint in either direction, regardless of which side initiates it.</w:t>
      </w:r>
    </w:p>
    <w:p>
      <w:r>
        <w:br w:type="page"/>
      </w:r>
    </w:p>
    <w:p>
      <w:pPr>
        <w:pStyle w:val="Heading1"/>
        <w:spacing w:after="200" w:before="400"/>
      </w:pPr>
      <w:r>
        <w:t xml:space="preserve">9. Retry / Resiliency Ownership</w:t>
      </w:r>
    </w:p>
    <w:p>
      <w:pPr>
        <w:spacing w:after="120"/>
      </w:pPr>
      <w:r>
        <w:t xml:space="preserve">Explicit ownership per failure type, to prevent any single component from silently expanding its retry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Mar>
              <w:top w:type="dxa" w:w="80"/>
              <w:left w:type="dxa" w:w="100"/>
              <w:bottom w:type="dxa" w:w="80"/>
              <w:right w:type="dxa" w:w="100"/>
            </w:tcMar>
          </w:tcPr>
          <w:p>
            <w:r>
              <w:rPr>
                <w:b/>
                <w:bCs/>
              </w:rPr>
              <w:t xml:space="preserve">Failure</w:t>
            </w:r>
          </w:p>
        </w:tc>
        <w:tc>
          <w:tcPr>
            <w:tcW w:type="dxa" w:w="6360"/>
            <w:shd w:fill="D9E2F3" w:val="clear"/>
            <w:tcMar>
              <w:top w:type="dxa" w:w="80"/>
              <w:left w:type="dxa" w:w="100"/>
              <w:bottom w:type="dxa" w:w="80"/>
              <w:right w:type="dxa" w:w="100"/>
            </w:tcMar>
          </w:tcPr>
          <w:p>
            <w:r>
              <w:rPr>
                <w:b/>
                <w:bCs/>
              </w:rPr>
              <w:t xml:space="preserve">Owner</w:t>
            </w:r>
          </w:p>
        </w:tc>
      </w:tr>
      <w:tr>
        <w:tc>
          <w:tcPr>
            <w:tcW w:type="dxa" w:w="3000"/>
            <w:tcMar>
              <w:top w:type="dxa" w:w="80"/>
              <w:left w:type="dxa" w:w="100"/>
              <w:bottom w:type="dxa" w:w="80"/>
              <w:right w:type="dxa" w:w="100"/>
            </w:tcMar>
          </w:tcPr>
          <w:p>
            <w:r>
              <w:rPr>
                <w:b w:val="false"/>
                <w:bCs w:val="false"/>
              </w:rPr>
              <w:t xml:space="preserve">Tunnel reconnect</w:t>
            </w:r>
          </w:p>
        </w:tc>
        <w:tc>
          <w:tcPr>
            <w:tcW w:type="dxa" w:w="6360"/>
            <w:tcMar>
              <w:top w:type="dxa" w:w="80"/>
              <w:left w:type="dxa" w:w="100"/>
              <w:bottom w:type="dxa" w:w="80"/>
              <w:right w:type="dxa" w:w="100"/>
            </w:tcMar>
          </w:tcPr>
          <w:p>
            <w:r>
              <w:rPr>
                <w:b w:val="false"/>
                <w:bCs w:val="false"/>
              </w:rPr>
              <w:t xml:space="preserve">Connect Agent</w:t>
            </w:r>
          </w:p>
        </w:tc>
      </w:tr>
      <w:tr>
        <w:tc>
          <w:tcPr>
            <w:tcW w:type="dxa" w:w="3000"/>
            <w:tcMar>
              <w:top w:type="dxa" w:w="80"/>
              <w:left w:type="dxa" w:w="100"/>
              <w:bottom w:type="dxa" w:w="80"/>
              <w:right w:type="dxa" w:w="100"/>
            </w:tcMar>
          </w:tcPr>
          <w:p>
            <w:r>
              <w:rPr>
                <w:b w:val="false"/>
                <w:bCs w:val="false"/>
              </w:rPr>
              <w:t xml:space="preserve">TCP reconnect</w:t>
            </w:r>
          </w:p>
        </w:tc>
        <w:tc>
          <w:tcPr>
            <w:tcW w:type="dxa" w:w="6360"/>
            <w:tcMar>
              <w:top w:type="dxa" w:w="80"/>
              <w:left w:type="dxa" w:w="100"/>
              <w:bottom w:type="dxa" w:w="80"/>
              <w:right w:type="dxa" w:w="100"/>
            </w:tcMar>
          </w:tcPr>
          <w:p>
            <w:r>
              <w:rPr>
                <w:b w:val="false"/>
                <w:bCs w:val="false"/>
              </w:rPr>
              <w:t xml:space="preserve">Connect Agent</w:t>
            </w:r>
          </w:p>
        </w:tc>
      </w:tr>
      <w:tr>
        <w:tc>
          <w:tcPr>
            <w:tcW w:type="dxa" w:w="3000"/>
            <w:tcMar>
              <w:top w:type="dxa" w:w="80"/>
              <w:left w:type="dxa" w:w="100"/>
              <w:bottom w:type="dxa" w:w="80"/>
              <w:right w:type="dxa" w:w="100"/>
            </w:tcMar>
          </w:tcPr>
          <w:p>
            <w:r>
              <w:rPr>
                <w:b w:val="false"/>
                <w:bCs w:val="false"/>
              </w:rPr>
              <w:t xml:space="preserve">Stream establishment retry</w:t>
            </w:r>
          </w:p>
        </w:tc>
        <w:tc>
          <w:tcPr>
            <w:tcW w:type="dxa" w:w="6360"/>
            <w:tcMar>
              <w:top w:type="dxa" w:w="80"/>
              <w:left w:type="dxa" w:w="100"/>
              <w:bottom w:type="dxa" w:w="80"/>
              <w:right w:type="dxa" w:w="100"/>
            </w:tcMar>
          </w:tcPr>
          <w:p>
            <w:r>
              <w:rPr>
                <w:b w:val="false"/>
                <w:bCs w:val="false"/>
              </w:rPr>
              <w:t xml:space="preserve">Connect Agent</w:t>
            </w:r>
          </w:p>
        </w:tc>
      </w:tr>
      <w:tr>
        <w:tc>
          <w:tcPr>
            <w:tcW w:type="dxa" w:w="3000"/>
            <w:tcMar>
              <w:top w:type="dxa" w:w="80"/>
              <w:left w:type="dxa" w:w="100"/>
              <w:bottom w:type="dxa" w:w="80"/>
              <w:right w:type="dxa" w:w="100"/>
            </w:tcMar>
          </w:tcPr>
          <w:p>
            <w:r>
              <w:rPr>
                <w:b w:val="false"/>
                <w:bCs w:val="false"/>
              </w:rPr>
              <w:t xml:space="preserve">HTTP retry</w:t>
            </w:r>
          </w:p>
        </w:tc>
        <w:tc>
          <w:tcPr>
            <w:tcW w:type="dxa" w:w="6360"/>
            <w:tcMar>
              <w:top w:type="dxa" w:w="80"/>
              <w:left w:type="dxa" w:w="100"/>
              <w:bottom w:type="dxa" w:w="80"/>
              <w:right w:type="dxa" w:w="100"/>
            </w:tcMar>
          </w:tcPr>
          <w:p>
            <w:r>
              <w:rPr>
                <w:b w:val="false"/>
                <w:bCs w:val="false"/>
              </w:rPr>
              <w:t xml:space="preserve">Waypoint</w:t>
            </w:r>
          </w:p>
        </w:tc>
      </w:tr>
      <w:tr>
        <w:tc>
          <w:tcPr>
            <w:tcW w:type="dxa" w:w="3000"/>
            <w:tcMar>
              <w:top w:type="dxa" w:w="80"/>
              <w:left w:type="dxa" w:w="100"/>
              <w:bottom w:type="dxa" w:w="80"/>
              <w:right w:type="dxa" w:w="100"/>
            </w:tcMar>
          </w:tcPr>
          <w:p>
            <w:r>
              <w:rPr>
                <w:b w:val="false"/>
                <w:bCs w:val="false"/>
              </w:rPr>
              <w:t xml:space="preserve">gRPC retry</w:t>
            </w:r>
          </w:p>
        </w:tc>
        <w:tc>
          <w:tcPr>
            <w:tcW w:type="dxa" w:w="6360"/>
            <w:tcMar>
              <w:top w:type="dxa" w:w="80"/>
              <w:left w:type="dxa" w:w="100"/>
              <w:bottom w:type="dxa" w:w="80"/>
              <w:right w:type="dxa" w:w="100"/>
            </w:tcMar>
          </w:tcPr>
          <w:p>
            <w:r>
              <w:rPr>
                <w:b w:val="false"/>
                <w:bCs w:val="false"/>
              </w:rPr>
              <w:t xml:space="preserve">Waypoint</w:t>
            </w:r>
          </w:p>
        </w:tc>
      </w:tr>
      <w:tr>
        <w:tc>
          <w:tcPr>
            <w:tcW w:type="dxa" w:w="3000"/>
            <w:tcMar>
              <w:top w:type="dxa" w:w="80"/>
              <w:left w:type="dxa" w:w="100"/>
              <w:bottom w:type="dxa" w:w="80"/>
              <w:right w:type="dxa" w:w="100"/>
            </w:tcMar>
          </w:tcPr>
          <w:p>
            <w:r>
              <w:rPr>
                <w:b w:val="false"/>
                <w:bCs w:val="false"/>
              </w:rPr>
              <w:t xml:space="preserve">Database operation retry</w:t>
            </w:r>
          </w:p>
        </w:tc>
        <w:tc>
          <w:tcPr>
            <w:tcW w:type="dxa" w:w="6360"/>
            <w:tcMar>
              <w:top w:type="dxa" w:w="80"/>
              <w:left w:type="dxa" w:w="100"/>
              <w:bottom w:type="dxa" w:w="80"/>
              <w:right w:type="dxa" w:w="100"/>
            </w:tcMar>
          </w:tcPr>
          <w:p>
            <w:r>
              <w:rPr>
                <w:b w:val="false"/>
                <w:bCs w:val="false"/>
              </w:rPr>
              <w:t xml:space="preserve">Application — never the Connect Agent or Gateway. Transparently retrying a database write (e.g. a half-sent INSERT) is unsafe; this must remain an explicit application-level decision.</w:t>
            </w:r>
          </w:p>
        </w:tc>
      </w:tr>
    </w:tbl>
    <w:p>
      <w:r>
        <w:br w:type="page"/>
      </w:r>
    </w:p>
    <w:p>
      <w:pPr>
        <w:pStyle w:val="Heading1"/>
        <w:spacing w:after="200" w:before="400"/>
      </w:pPr>
      <w:r>
        <w:t xml:space="preserve">10. Control Plane and Lifecycle (Level 1.5)</w:t>
      </w:r>
    </w:p>
    <w:p>
      <w:pPr>
        <w:spacing w:after="120"/>
      </w:pPr>
      <w:r>
        <w:t xml:space="preserve">This section answers how the system comes into existence and evolves — a question Level 1 (§1–9) deliberately does not answer, since “what exists” and “how it comes to exist” are different concerns.</w:t>
      </w:r>
    </w:p>
    <w:p>
      <w:pPr>
        <w:pStyle w:val="Heading2"/>
        <w:spacing w:after="150" w:before="300"/>
      </w:pPr>
      <w:r>
        <w:t xml:space="preserve">10.1 Three Phases</w:t>
      </w:r>
    </w:p>
    <w:p>
      <w:pPr>
        <w:spacing w:after="120"/>
      </w:pPr>
      <w:r>
        <w:rPr>
          <w:b/>
          <w:bCs/>
        </w:rPr>
        <w:t xml:space="preserve">Phase 0 — Platform Bootstrap (once, by the platform team)</w:t>
      </w:r>
    </w:p>
    <w:p>
      <w:pPr>
        <w:spacing w:after="120"/>
      </w:pPr>
      <w:r>
        <w:t xml:space="preserve">Install Istio Ambient; install PKI (step-ca or equivalent); deploy Gateway, Controllers, Registration Store, audit and metrics pipelines, Platform CRDs/operator, shared namespaces, and Platform Resources. Nothing here mentions a tenant.</w:t>
      </w:r>
    </w:p>
    <w:p>
      <w:pPr>
        <w:spacing w:after="120"/>
      </w:pPr>
      <w:r>
        <w:rPr>
          <w:b/>
          <w:bCs/>
        </w:rPr>
        <w:t xml:space="preserve">Phase 1 — Customer Onboarding</w:t>
      </w:r>
    </w:p>
    <w:p>
      <w:pPr>
        <w:spacing w:after="120"/>
      </w:pPr>
      <w:r>
        <w:t xml:space="preserve">Triggered by a new tenant. Controller creates the tenant record, issues tenant identity, generates a Connect Agent bootstrap configuration and bootstrap certificate, creates the tenant's registration namespace, and returns an install bundle. The tenant installs the Connect Agent (Helm chart / ECS task definition / VM package as appropriate). The tunnel establishes. Nothing is routed yet until a registration exists.</w:t>
      </w:r>
    </w:p>
    <w:p>
      <w:pPr>
        <w:spacing w:after="120"/>
      </w:pPr>
      <w:r>
        <w:t>Enrollment PendingApproval (resolves former §14 item 4): a successful bootstrap-token exchange issues the Agent’s permanent certificate but places the Agent in PendingApproval. The Gateway refuses data-plane StreamOpen for that Agent until a tenant admin approves enrollment in the Platform UI (or the tenant’s policy auto-approves). Optional substrate binding: if the tenant supplied a cluster UID / cloud account at onboarding and enabled strict binding, enrollment from a mismatched substrate is rejected. A stolen bootstrap token therefore cannot silently obtain a traffic-capable Agent without an approval step.</w:t>
      </w:r>
    </w:p>
    <w:p>
      <w:pPr>
        <w:spacing w:after="120"/>
      </w:pPr>
      <w:r>
        <w:rPr>
          <w:b/>
          <w:bCs/>
        </w:rPr>
        <w:t xml:space="preserve">Phase 2 — Customer Evolution (where the system spends most of its life)</w:t>
      </w:r>
    </w:p>
    <w:p>
      <w:pPr>
        <w:spacing w:after="120"/>
      </w:pPr>
      <w:r>
        <w:t xml:space="preserve">Adding/removing a resource, rotating a certificate, adding a region, changing policy, upgrading the agent — all follow the same shape: customer intent → API/UI → Controller → Registration → Gateway → Agent → traffic changes. Every entry point funnels through the Controller's single write path (ADR-006).</w:t>
      </w:r>
    </w:p>
    <w:p>
      <w:pPr>
        <w:pStyle w:val="Heading2"/>
        <w:spacing w:after="150" w:before="300"/>
      </w:pPr>
      <w:r>
        <w:t xml:space="preserve">10.2 Registration Lifecycle</w:t>
      </w:r>
    </w:p>
    <w:p>
      <w:pPr>
        <w:shd w:fill="F2F2F2" w:val="clear"/>
        <w:spacing w:after="60"/>
      </w:pPr>
      <w:r>
        <w:rPr>
          <w:rFonts w:ascii="Consolas" w:cs="Consolas" w:eastAsia="Consolas" w:hAnsi="Consolas"/>
          <w:sz w:val="18"/>
          <w:szCs w:val="18"/>
        </w:rPr>
        <w:t xml:space="preserve">Requested → Validated → Provisioned → Active → Updating → Deleting → Deleted</w:t>
      </w:r>
    </w:p>
    <w:p>
      <w:pPr>
        <w:spacing w:after="120"/>
      </w:pPr>
      <w:r>
        <w:t xml:space="preserve">Kept intentionally simple at this level; the Gateway design (Level 2) defines precisely which states are “routeable” for authorization purposes (ADR-013), and the Failure Semantics design (Level 2) defines how in-flight streams are treated across a transition — deliberately not fixed here, since the correct behavior differs by cause (a routine update may reasonably drain existing connections; a security revocation may reasonably require immediate termination).</w:t>
      </w:r>
    </w:p>
    <w:p>
      <w:pPr>
        <w:pStyle w:val="Heading2"/>
        <w:spacing w:after="150" w:before="300"/>
      </w:pPr>
      <w:r>
        <w:t xml:space="preserve">10.3 Desired State vs. Observed State</w:t>
      </w:r>
    </w:p>
    <w:p>
      <w:pPr>
        <w:spacing w:after="120"/>
      </w:pPr>
      <w:r>
        <w:t xml:space="preserve">Registration has a desired state (what the Controller wants) and each consuming runtime component (the Gateway; each individual Connect Agent instance) reports its own observed/applied state back. This is the same spec/status separation used throughout Kubernetes itself, and it exists to answer an otherwise-unanswerable operational question: when a tenant adds a database, has that registration actually been picked up by the relevant agent yet, or is a service about to fail against configuration that hasn't propagated?</w:t>
      </w:r>
    </w:p>
    <w:p>
      <w:pPr>
        <w:pStyle w:val="Heading2"/>
        <w:spacing w:after="150" w:before="300"/>
      </w:pPr>
      <w:r>
        <w:t xml:space="preserve">10.4 Three Independent State Machines</w:t>
      </w:r>
    </w:p>
    <w:p>
      <w:pPr>
        <w:spacing w:after="120"/>
      </w:pPr>
      <w:r>
        <w:t xml:space="preserve">Kept separate rather than conflated into one overloaded “registration status” field:</w:t>
      </w:r>
    </w:p>
    <w:p>
      <w:pPr>
        <w:pStyle w:val="ListParagraph"/>
        <w:numPr>
          <w:ilvl w:val="0"/>
          <w:numId w:val="1"/>
        </w:numPr>
        <w:spacing w:after="60"/>
      </w:pPr>
      <w:r>
        <w:t xml:space="preserve">Registration: Requested → Validated → Provisioned → Active → Updating → Deleting → Deleted</w:t>
      </w:r>
    </w:p>
    <w:p>
      <w:pPr>
        <w:pStyle w:val="ListParagraph"/>
        <w:numPr>
          <w:ilvl w:val="0"/>
          <w:numId w:val="1"/>
        </w:numPr>
        <w:spacing w:after="60"/>
      </w:pPr>
      <w:r>
        <w:t xml:space="preserve">Agent: Offline → Connecting → Connected → Degraded</w:t>
      </w:r>
    </w:p>
    <w:p>
      <w:pPr>
        <w:pStyle w:val="ListParagraph"/>
        <w:numPr>
          <w:ilvl w:val="0"/>
          <w:numId w:val="1"/>
        </w:numPr>
        <w:spacing w:after="60"/>
      </w:pPr>
      <w:r>
        <w:t xml:space="preserve">Tunnel: Disconnected → Establishing → Ready</w:t>
      </w:r>
    </w:p>
    <w:p>
      <w:pPr>
        <w:spacing w:after="120"/>
      </w:pPr>
      <w:r>
        <w:t xml:space="preserve">This allows correctly representing states such as “Registration is Active, but the Agent for this tenant is currently Degraded” without contradiction.</w:t>
      </w:r>
    </w:p>
    <w:p>
      <w:pPr>
        <w:pStyle w:val="Heading2"/>
        <w:spacing w:after="150" w:before="300"/>
      </w:pPr>
      <w:r>
        <w:t xml:space="preserve">10.5 Configuration Distribution</w:t>
      </w:r>
    </w:p>
    <w:p>
      <w:pPr>
        <w:spacing w:after="120"/>
      </w:pPr>
      <w:r>
        <w:t xml:space="preserve">Desired connectivity originates solely in the Control Plane and is distributed to runtime components. Runtime components never discover, infer, or persist connectivity intent on their own. The specific distribution mechanism (a live push stream vs. an agent that re-fetches configuration on reconnect) is a Level 2 implementation choice — the invariant is single source of truth, not a specific transport pattern.</w:t>
      </w:r>
    </w:p>
    <w:p>
      <w:pPr>
        <w:pStyle w:val="Heading2"/>
        <w:spacing w:after="150" w:before="300"/>
      </w:pPr>
      <w:r>
        <w:t xml:space="preserve">10.6 Named Control-Plane Actors</w:t>
      </w:r>
    </w:p>
    <w:p>
      <w:pPr>
        <w:spacing w:after="120"/>
      </w:pPr>
      <w:r>
        <w:t xml:space="preserve">Two participants have been referenced throughout this document but are named here explicitly as first-class actors, since both are load-bearing enough to warrant it rather than remaining implicit:</w:t>
      </w:r>
    </w:p>
    <w:p>
      <w:pPr>
        <w:pStyle w:val="ListParagraph"/>
        <w:numPr>
          <w:ilvl w:val="0"/>
          <w:numId w:val="1"/>
        </w:numPr>
        <w:spacing w:after="60"/>
      </w:pPr>
      <w:r>
        <w:t xml:space="preserve">Registration Store — the system of record for Registrations and their desired/observed state. Controllers are its only writer; the Gateway and every Connect Agent are readers only, consistent with ADR-006 and ADR-012. Its specific storage technology is a Level 2 (Controller / Registration Design) decision.</w:t>
      </w:r>
    </w:p>
    <w:p>
      <w:pPr>
        <w:pStyle w:val="ListParagraph"/>
        <w:numPr>
          <w:ilvl w:val="0"/>
          <w:numId w:val="1"/>
        </w:numPr>
        <w:spacing w:after="60"/>
      </w:pPr>
      <w:r>
        <w:t xml:space="preserve">Certificate Authority — signs the credentials that anchor tenant identity (§6.1). Reused, not built (§5.5). Reachable only by Controllers, per the issuance-ownership rule in §5.5 — no other runtime component is a CA client.</w:t>
      </w:r>
    </w:p>
    <w:p>
      <w:pPr>
        <w:pStyle w:val="Heading2"/>
        <w:spacing w:after="150" w:before="300"/>
      </w:pPr>
      <w:r>
        <w:t xml:space="preserve">10.7 Failure Ownership</w:t>
      </w:r>
    </w:p>
    <w:p>
      <w:pPr>
        <w:spacing w:after="120"/>
      </w:pPr>
      <w:r>
        <w:t xml:space="preserve">Distinct from the retry-ownership table in §9, which answers “who retries a given failure.” This table answers a different question: when a component is down, whose operational responsibility is it to restore it? Stating this at Level 1.5 removes ambiguity about accountability before it becomes an incident-response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9E2F3" w:val="clear"/>
            <w:tcMar>
              <w:top w:type="dxa" w:w="80"/>
              <w:left w:type="dxa" w:w="100"/>
              <w:bottom w:type="dxa" w:w="80"/>
              <w:right w:type="dxa" w:w="100"/>
            </w:tcMar>
          </w:tcPr>
          <w:p>
            <w:r>
              <w:rPr>
                <w:b/>
                <w:bCs/>
              </w:rPr>
              <w:t xml:space="preserve">Component</w:t>
            </w:r>
          </w:p>
        </w:tc>
        <w:tc>
          <w:tcPr>
            <w:tcW w:type="dxa" w:w="5160"/>
            <w:shd w:fill="D9E2F3" w:val="clear"/>
            <w:tcMar>
              <w:top w:type="dxa" w:w="80"/>
              <w:left w:type="dxa" w:w="100"/>
              <w:bottom w:type="dxa" w:w="80"/>
              <w:right w:type="dxa" w:w="100"/>
            </w:tcMar>
          </w:tcPr>
          <w:p>
            <w:r>
              <w:rPr>
                <w:b/>
                <w:bCs/>
              </w:rPr>
              <w:t xml:space="preserve">Failure Owner</w:t>
            </w:r>
          </w:p>
        </w:tc>
      </w:tr>
      <w:tr>
        <w:tc>
          <w:tcPr>
            <w:tcW w:type="dxa" w:w="4200"/>
            <w:tcMar>
              <w:top w:type="dxa" w:w="80"/>
              <w:left w:type="dxa" w:w="100"/>
              <w:bottom w:type="dxa" w:w="80"/>
              <w:right w:type="dxa" w:w="100"/>
            </w:tcMar>
          </w:tcPr>
          <w:p>
            <w:r>
              <w:rPr>
                <w:b w:val="false"/>
                <w:bCs w:val="false"/>
              </w:rPr>
              <w:t xml:space="preserve">Connect Agent down</w:t>
            </w:r>
          </w:p>
        </w:tc>
        <w:tc>
          <w:tcPr>
            <w:tcW w:type="dxa" w:w="5160"/>
            <w:tcMar>
              <w:top w:type="dxa" w:w="80"/>
              <w:left w:type="dxa" w:w="100"/>
              <w:bottom w:type="dxa" w:w="80"/>
              <w:right w:type="dxa" w:w="100"/>
            </w:tcMar>
          </w:tcPr>
          <w:p>
            <w:r>
              <w:rPr>
                <w:b w:val="false"/>
                <w:bCs w:val="false"/>
              </w:rPr>
              <w:t xml:space="preserve">Customer (it runs inside the Customer Environment, even though the Platform authored the software)</w:t>
            </w:r>
          </w:p>
        </w:tc>
      </w:tr>
      <w:tr>
        <w:tc>
          <w:tcPr>
            <w:tcW w:type="dxa" w:w="4200"/>
            <w:tcMar>
              <w:top w:type="dxa" w:w="80"/>
              <w:left w:type="dxa" w:w="100"/>
              <w:bottom w:type="dxa" w:w="80"/>
              <w:right w:type="dxa" w:w="100"/>
            </w:tcMar>
          </w:tcPr>
          <w:p>
            <w:r>
              <w:rPr>
                <w:b w:val="false"/>
                <w:bCs w:val="false"/>
              </w:rPr>
              <w:t xml:space="preserve">Gateway down</w:t>
            </w:r>
          </w:p>
        </w:tc>
        <w:tc>
          <w:tcPr>
            <w:tcW w:type="dxa" w:w="5160"/>
            <w:tcMar>
              <w:top w:type="dxa" w:w="80"/>
              <w:left w:type="dxa" w:w="100"/>
              <w:bottom w:type="dxa" w:w="80"/>
              <w:right w:type="dxa" w:w="100"/>
            </w:tcMar>
          </w:tcPr>
          <w:p>
            <w:r>
              <w:rPr>
                <w:b w:val="false"/>
                <w:bCs w:val="false"/>
              </w:rPr>
              <w:t xml:space="preserve">Platform</w:t>
            </w:r>
          </w:p>
        </w:tc>
      </w:tr>
      <w:tr>
        <w:tc>
          <w:tcPr>
            <w:tcW w:type="dxa" w:w="4200"/>
            <w:tcMar>
              <w:top w:type="dxa" w:w="80"/>
              <w:left w:type="dxa" w:w="100"/>
              <w:bottom w:type="dxa" w:w="80"/>
              <w:right w:type="dxa" w:w="100"/>
            </w:tcMar>
          </w:tcPr>
          <w:p>
            <w:r>
              <w:rPr>
                <w:b w:val="false"/>
                <w:bCs w:val="false"/>
              </w:rPr>
              <w:t xml:space="preserve">Controllers down</w:t>
            </w:r>
          </w:p>
        </w:tc>
        <w:tc>
          <w:tcPr>
            <w:tcW w:type="dxa" w:w="5160"/>
            <w:tcMar>
              <w:top w:type="dxa" w:w="80"/>
              <w:left w:type="dxa" w:w="100"/>
              <w:bottom w:type="dxa" w:w="80"/>
              <w:right w:type="dxa" w:w="100"/>
            </w:tcMar>
          </w:tcPr>
          <w:p>
            <w:r>
              <w:rPr>
                <w:b w:val="false"/>
                <w:bCs w:val="false"/>
              </w:rPr>
              <w:t xml:space="preserve">Platform</w:t>
            </w:r>
          </w:p>
        </w:tc>
      </w:tr>
      <w:tr>
        <w:tc>
          <w:tcPr>
            <w:tcW w:type="dxa" w:w="4200"/>
            <w:tcMar>
              <w:top w:type="dxa" w:w="80"/>
              <w:left w:type="dxa" w:w="100"/>
              <w:bottom w:type="dxa" w:w="80"/>
              <w:right w:type="dxa" w:w="100"/>
            </w:tcMar>
          </w:tcPr>
          <w:p>
            <w:r>
              <w:rPr>
                <w:b w:val="false"/>
                <w:bCs w:val="false"/>
              </w:rPr>
              <w:t xml:space="preserve">Certificate Authority down</w:t>
            </w:r>
          </w:p>
        </w:tc>
        <w:tc>
          <w:tcPr>
            <w:tcW w:type="dxa" w:w="5160"/>
            <w:tcMar>
              <w:top w:type="dxa" w:w="80"/>
              <w:left w:type="dxa" w:w="100"/>
              <w:bottom w:type="dxa" w:w="80"/>
              <w:right w:type="dxa" w:w="100"/>
            </w:tcMar>
          </w:tcPr>
          <w:p>
            <w:r>
              <w:rPr>
                <w:b w:val="false"/>
                <w:bCs w:val="false"/>
              </w:rPr>
              <w:t xml:space="preserve">Platform</w:t>
            </w:r>
          </w:p>
        </w:tc>
      </w:tr>
      <w:tr>
        <w:tc>
          <w:tcPr>
            <w:tcW w:type="dxa" w:w="4200"/>
            <w:tcMar>
              <w:top w:type="dxa" w:w="80"/>
              <w:left w:type="dxa" w:w="100"/>
              <w:bottom w:type="dxa" w:w="80"/>
              <w:right w:type="dxa" w:w="100"/>
            </w:tcMar>
          </w:tcPr>
          <w:p>
            <w:r>
              <w:rPr>
                <w:b w:val="false"/>
                <w:bCs w:val="false"/>
              </w:rPr>
              <w:t xml:space="preserve">Customer Resource (e.g. tenant-hosted database) down</w:t>
            </w:r>
          </w:p>
        </w:tc>
        <w:tc>
          <w:tcPr>
            <w:tcW w:type="dxa" w:w="5160"/>
            <w:tcMar>
              <w:top w:type="dxa" w:w="80"/>
              <w:left w:type="dxa" w:w="100"/>
              <w:bottom w:type="dxa" w:w="80"/>
              <w:right w:type="dxa" w:w="100"/>
            </w:tcMar>
          </w:tcPr>
          <w:p>
            <w:r>
              <w:rPr>
                <w:b w:val="false"/>
                <w:bCs w:val="false"/>
              </w:rPr>
              <w:t xml:space="preserve">Customer</w:t>
            </w:r>
          </w:p>
        </w:tc>
      </w:tr>
      <w:tr>
        <w:tc>
          <w:tcPr>
            <w:tcW w:type="dxa" w:w="4200"/>
            <w:tcMar>
              <w:top w:type="dxa" w:w="80"/>
              <w:left w:type="dxa" w:w="100"/>
              <w:bottom w:type="dxa" w:w="80"/>
              <w:right w:type="dxa" w:w="100"/>
            </w:tcMar>
          </w:tcPr>
          <w:p>
            <w:r>
              <w:rPr>
                <w:b w:val="false"/>
                <w:bCs w:val="false"/>
              </w:rPr>
              <w:t xml:space="preserve">Platform Resource (e.g. platform-managed database) down</w:t>
            </w:r>
          </w:p>
        </w:tc>
        <w:tc>
          <w:tcPr>
            <w:tcW w:type="dxa" w:w="5160"/>
            <w:tcMar>
              <w:top w:type="dxa" w:w="80"/>
              <w:left w:type="dxa" w:w="100"/>
              <w:bottom w:type="dxa" w:w="80"/>
              <w:right w:type="dxa" w:w="100"/>
            </w:tcMar>
          </w:tcPr>
          <w:p>
            <w:r>
              <w:rPr>
                <w:b w:val="false"/>
                <w:bCs w:val="false"/>
              </w:rPr>
              <w:t xml:space="preserve">Platform</w:t>
            </w:r>
          </w:p>
        </w:tc>
      </w:tr>
    </w:tbl>
    <w:p>
      <w:pPr>
        <w:spacing w:after="120"/>
      </w:pPr>
      <w:r>
        <w:t xml:space="preserve">This does not change any technical responsibility defined elsewhere in this document (e.g. the Connect Agent's own reconnect logic still applies regardless of who is accountable for restoring the underlying environment it runs in).</w:t>
      </w:r>
    </w:p>
    <w:p>
      <w:r>
        <w:br w:type="page"/>
      </w:r>
    </w:p>
    <w:p>
      <w:pPr>
        <w:pStyle w:val="Heading1"/>
        <w:spacing w:after="200" w:before="400"/>
      </w:pPr>
      <w:r>
        <w:t xml:space="preserve">11. Build vs. Reuse</w:t>
      </w:r>
    </w:p>
    <w:p>
      <w:pPr>
        <w:spacing w:after="120"/>
      </w:pPr>
      <w:r>
        <w:t xml:space="preserve">Stated explicitly to prevent future scope creep into re-implementing solved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shd w:fill="D9E2F3" w:val="clear"/>
            <w:tcMar>
              <w:top w:type="dxa" w:w="80"/>
              <w:left w:type="dxa" w:w="100"/>
              <w:bottom w:type="dxa" w:w="80"/>
              <w:right w:type="dxa" w:w="100"/>
            </w:tcMar>
          </w:tcPr>
          <w:p>
            <w:r>
              <w:rPr>
                <w:b/>
                <w:bCs/>
              </w:rPr>
              <w:t xml:space="preserve">Capability</w:t>
            </w:r>
          </w:p>
        </w:tc>
        <w:tc>
          <w:tcPr>
            <w:tcW w:type="dxa" w:w="3200"/>
            <w:shd w:fill="D9E2F3" w:val="clear"/>
            <w:tcMar>
              <w:top w:type="dxa" w:w="80"/>
              <w:left w:type="dxa" w:w="100"/>
              <w:bottom w:type="dxa" w:w="80"/>
              <w:right w:type="dxa" w:w="100"/>
            </w:tcMar>
          </w:tcPr>
          <w:p>
            <w:r>
              <w:rPr>
                <w:b/>
                <w:bCs/>
              </w:rPr>
              <w:t xml:space="preserve">Build</w:t>
            </w:r>
          </w:p>
        </w:tc>
        <w:tc>
          <w:tcPr>
            <w:tcW w:type="dxa" w:w="2760"/>
            <w:shd w:fill="D9E2F3" w:val="clear"/>
            <w:tcMar>
              <w:top w:type="dxa" w:w="80"/>
              <w:left w:type="dxa" w:w="100"/>
              <w:bottom w:type="dxa" w:w="80"/>
              <w:right w:type="dxa" w:w="100"/>
            </w:tcMar>
          </w:tcPr>
          <w:p>
            <w:r>
              <w:rPr>
                <w:b/>
                <w:bCs/>
              </w:rPr>
              <w:t xml:space="preserve">Reuse</w:t>
            </w:r>
          </w:p>
        </w:tc>
      </w:tr>
      <w:tr>
        <w:tc>
          <w:tcPr>
            <w:tcW w:type="dxa" w:w="3400"/>
            <w:tcMar>
              <w:top w:type="dxa" w:w="80"/>
              <w:left w:type="dxa" w:w="100"/>
              <w:bottom w:type="dxa" w:w="80"/>
              <w:right w:type="dxa" w:w="100"/>
            </w:tcMar>
          </w:tcPr>
          <w:p>
            <w:r>
              <w:rPr>
                <w:b w:val="false"/>
                <w:bCs w:val="false"/>
              </w:rPr>
              <w:t xml:space="preserve">Connect Agent</w:t>
            </w:r>
          </w:p>
        </w:tc>
        <w:tc>
          <w:tcPr>
            <w:tcW w:type="dxa" w:w="3200"/>
            <w:tcMar>
              <w:top w:type="dxa" w:w="80"/>
              <w:left w:type="dxa" w:w="100"/>
              <w:bottom w:type="dxa" w:w="80"/>
              <w:right w:type="dxa" w:w="100"/>
            </w:tcMar>
          </w:tcPr>
          <w:p>
            <w:r>
              <w:rPr>
                <w:b w:val="false"/>
                <w:bCs w:val="false"/>
              </w:rPr>
              <w:t xml:space="preserve">✓ (product-specific: no existing product matches these constraints)</w:t>
            </w:r>
          </w:p>
        </w:tc>
        <w:tc>
          <w:tcPr>
            <w:tcW w:type="dxa" w:w="2760"/>
            <w:tcMar>
              <w:top w:type="dxa" w:w="80"/>
              <w:left w:type="dxa" w:w="100"/>
              <w:bottom w:type="dxa" w:w="80"/>
              <w:right w:type="dxa" w:w="100"/>
            </w:tcMar>
          </w:tcPr>
          <w:p>
            <w:r>
              <w:rPr>
                <w:b w:val="false"/>
                <w:bCs w:val="false"/>
              </w:rPr>
              <w:t xml:space="preserve"/>
            </w:r>
          </w:p>
        </w:tc>
      </w:tr>
      <w:tr>
        <w:tc>
          <w:tcPr>
            <w:tcW w:type="dxa" w:w="3400"/>
            <w:tcMar>
              <w:top w:type="dxa" w:w="80"/>
              <w:left w:type="dxa" w:w="100"/>
              <w:bottom w:type="dxa" w:w="80"/>
              <w:right w:type="dxa" w:w="100"/>
            </w:tcMar>
          </w:tcPr>
          <w:p>
            <w:r>
              <w:rPr>
                <w:b w:val="false"/>
                <w:bCs w:val="false"/>
              </w:rPr>
              <w:t xml:space="preserve">Gateway</w:t>
            </w:r>
          </w:p>
        </w:tc>
        <w:tc>
          <w:tcPr>
            <w:tcW w:type="dxa" w:w="3200"/>
            <w:tcMar>
              <w:top w:type="dxa" w:w="80"/>
              <w:left w:type="dxa" w:w="100"/>
              <w:bottom w:type="dxa" w:w="80"/>
              <w:right w:type="dxa" w:w="100"/>
            </w:tcMar>
          </w:tcPr>
          <w:p>
            <w:r>
              <w:rPr>
                <w:b w:val="false"/>
                <w:bCs w:val="false"/>
              </w:rPr>
              <w:t xml:space="preserve">✓ (product-specific: encodes the tenant/registration/adapter model)</w:t>
            </w:r>
          </w:p>
        </w:tc>
        <w:tc>
          <w:tcPr>
            <w:tcW w:type="dxa" w:w="2760"/>
            <w:tcMar>
              <w:top w:type="dxa" w:w="80"/>
              <w:left w:type="dxa" w:w="100"/>
              <w:bottom w:type="dxa" w:w="80"/>
              <w:right w:type="dxa" w:w="100"/>
            </w:tcMar>
          </w:tcPr>
          <w:p>
            <w:r>
              <w:rPr>
                <w:b w:val="false"/>
                <w:bCs w:val="false"/>
              </w:rPr>
              <w:t xml:space="preserve"/>
            </w:r>
          </w:p>
        </w:tc>
      </w:tr>
      <w:tr>
        <w:tc>
          <w:tcPr>
            <w:tcW w:type="dxa" w:w="3400"/>
            <w:tcMar>
              <w:top w:type="dxa" w:w="80"/>
              <w:left w:type="dxa" w:w="100"/>
              <w:bottom w:type="dxa" w:w="80"/>
              <w:right w:type="dxa" w:w="100"/>
            </w:tcMar>
          </w:tcPr>
          <w:p>
            <w:r>
              <w:rPr>
                <w:b w:val="false"/>
                <w:bCs w:val="false"/>
              </w:rPr>
              <w:t xml:space="preserve">Registration model</w:t>
            </w:r>
          </w:p>
        </w:tc>
        <w:tc>
          <w:tcPr>
            <w:tcW w:type="dxa" w:w="3200"/>
            <w:tcMar>
              <w:top w:type="dxa" w:w="80"/>
              <w:left w:type="dxa" w:w="100"/>
              <w:bottom w:type="dxa" w:w="80"/>
              <w:right w:type="dxa" w:w="100"/>
            </w:tcMar>
          </w:tcPr>
          <w:p>
            <w:r>
              <w:rPr>
                <w:b w:val="false"/>
                <w:bCs w:val="false"/>
              </w:rPr>
              <w:t xml:space="preserve">✓ (this is the actual center of the system's IP)</w:t>
            </w:r>
          </w:p>
        </w:tc>
        <w:tc>
          <w:tcPr>
            <w:tcW w:type="dxa" w:w="2760"/>
            <w:tcMar>
              <w:top w:type="dxa" w:w="80"/>
              <w:left w:type="dxa" w:w="100"/>
              <w:bottom w:type="dxa" w:w="80"/>
              <w:right w:type="dxa" w:w="100"/>
            </w:tcMar>
          </w:tcPr>
          <w:p>
            <w:r>
              <w:rPr>
                <w:b w:val="false"/>
                <w:bCs w:val="false"/>
              </w:rPr>
              <w:t xml:space="preserve"/>
            </w:r>
          </w:p>
        </w:tc>
      </w:tr>
      <w:tr>
        <w:tc>
          <w:tcPr>
            <w:tcW w:type="dxa" w:w="3400"/>
            <w:tcMar>
              <w:top w:type="dxa" w:w="80"/>
              <w:left w:type="dxa" w:w="100"/>
              <w:bottom w:type="dxa" w:w="80"/>
              <w:right w:type="dxa" w:w="100"/>
            </w:tcMar>
          </w:tcPr>
          <w:p>
            <w:r>
              <w:rPr>
                <w:b w:val="false"/>
                <w:bCs w:val="false"/>
              </w:rPr>
              <w:t xml:space="preserve">Controllers (business logic)</w:t>
            </w:r>
          </w:p>
        </w:tc>
        <w:tc>
          <w:tcPr>
            <w:tcW w:type="dxa" w:w="3200"/>
            <w:tcMar>
              <w:top w:type="dxa" w:w="80"/>
              <w:left w:type="dxa" w:w="100"/>
              <w:bottom w:type="dxa" w:w="80"/>
              <w:right w:type="dxa" w:w="100"/>
            </w:tcMar>
          </w:tcPr>
          <w:p>
            <w:r>
              <w:rPr>
                <w:b w:val="false"/>
                <w:bCs w:val="false"/>
              </w:rPr>
              <w:t xml:space="preserve">✓</w:t>
            </w:r>
          </w:p>
        </w:tc>
        <w:tc>
          <w:tcPr>
            <w:tcW w:type="dxa" w:w="2760"/>
            <w:tcMar>
              <w:top w:type="dxa" w:w="80"/>
              <w:left w:type="dxa" w:w="100"/>
              <w:bottom w:type="dxa" w:w="80"/>
              <w:right w:type="dxa" w:w="100"/>
            </w:tcMar>
          </w:tcPr>
          <w:p>
            <w:r>
              <w:rPr>
                <w:b w:val="false"/>
                <w:bCs w:val="false"/>
              </w:rPr>
              <w:t xml:space="preserve">✓ (reconciliation-loop framework, e.g. controller-runtime)</w:t>
            </w:r>
          </w:p>
        </w:tc>
      </w:tr>
      <w:tr>
        <w:tc>
          <w:tcPr>
            <w:tcW w:type="dxa" w:w="3400"/>
            <w:tcMar>
              <w:top w:type="dxa" w:w="80"/>
              <w:left w:type="dxa" w:w="100"/>
              <w:bottom w:type="dxa" w:w="80"/>
              <w:right w:type="dxa" w:w="100"/>
            </w:tcMar>
          </w:tcPr>
          <w:p>
            <w:r>
              <w:rPr>
                <w:b w:val="false"/>
                <w:bCs w:val="false"/>
              </w:rPr>
              <w:t xml:space="preserve">Transport multiplexing</w:t>
            </w:r>
          </w:p>
        </w:tc>
        <w:tc>
          <w:tcPr>
            <w:tcW w:type="dxa" w:w="3200"/>
            <w:tcMar>
              <w:top w:type="dxa" w:w="80"/>
              <w:left w:type="dxa" w:w="100"/>
              <w:bottom w:type="dxa" w:w="80"/>
              <w:right w:type="dxa" w:w="100"/>
            </w:tcMar>
          </w:tcPr>
          <w:p>
            <w:r>
              <w:rPr>
                <w:b w:val="false"/>
                <w:bCs w:val="false"/>
              </w:rPr>
              <w:t xml:space="preserve"/>
            </w:r>
          </w:p>
        </w:tc>
        <w:tc>
          <w:tcPr>
            <w:tcW w:type="dxa" w:w="2760"/>
            <w:tcMar>
              <w:top w:type="dxa" w:w="80"/>
              <w:left w:type="dxa" w:w="100"/>
              <w:bottom w:type="dxa" w:w="80"/>
              <w:right w:type="dxa" w:w="100"/>
            </w:tcMar>
          </w:tcPr>
          <w:p>
            <w:r>
              <w:rPr>
                <w:b w:val="false"/>
                <w:bCs w:val="false"/>
              </w:rPr>
              <w:t xml:space="preserve">✓ (e.g. yamux/smux — production-proven, not reinvented)</w:t>
            </w:r>
          </w:p>
        </w:tc>
      </w:tr>
      <w:tr>
        <w:tc>
          <w:tcPr>
            <w:tcW w:type="dxa" w:w="3400"/>
            <w:tcMar>
              <w:top w:type="dxa" w:w="80"/>
              <w:left w:type="dxa" w:w="100"/>
              <w:bottom w:type="dxa" w:w="80"/>
              <w:right w:type="dxa" w:w="100"/>
            </w:tcMar>
          </w:tcPr>
          <w:p>
            <w:r>
              <w:rPr>
                <w:b w:val="false"/>
                <w:bCs w:val="false"/>
              </w:rPr>
              <w:t xml:space="preserve">Service mesh (L4/L7 on Platform side)</w:t>
            </w:r>
          </w:p>
        </w:tc>
        <w:tc>
          <w:tcPr>
            <w:tcW w:type="dxa" w:w="3200"/>
            <w:tcMar>
              <w:top w:type="dxa" w:w="80"/>
              <w:left w:type="dxa" w:w="100"/>
              <w:bottom w:type="dxa" w:w="80"/>
              <w:right w:type="dxa" w:w="100"/>
            </w:tcMar>
          </w:tcPr>
          <w:p>
            <w:r>
              <w:rPr>
                <w:b w:val="false"/>
                <w:bCs w:val="false"/>
              </w:rPr>
              <w:t xml:space="preserve"/>
            </w:r>
          </w:p>
        </w:tc>
        <w:tc>
          <w:tcPr>
            <w:tcW w:type="dxa" w:w="2760"/>
            <w:tcMar>
              <w:top w:type="dxa" w:w="80"/>
              <w:left w:type="dxa" w:w="100"/>
              <w:bottom w:type="dxa" w:w="80"/>
              <w:right w:type="dxa" w:w="100"/>
            </w:tcMar>
          </w:tcPr>
          <w:p>
            <w:r>
              <w:rPr>
                <w:b w:val="false"/>
                <w:bCs w:val="false"/>
              </w:rPr>
              <w:t xml:space="preserve">✓ (Istio Ambient)</w:t>
            </w:r>
          </w:p>
        </w:tc>
      </w:tr>
      <w:tr>
        <w:tc>
          <w:tcPr>
            <w:tcW w:type="dxa" w:w="3400"/>
            <w:tcMar>
              <w:top w:type="dxa" w:w="80"/>
              <w:left w:type="dxa" w:w="100"/>
              <w:bottom w:type="dxa" w:w="80"/>
              <w:right w:type="dxa" w:w="100"/>
            </w:tcMar>
          </w:tcPr>
          <w:p>
            <w:r>
              <w:rPr>
                <w:b w:val="false"/>
                <w:bCs w:val="false"/>
              </w:rPr>
              <w:t xml:space="preserve">PKI / CA</w:t>
            </w:r>
          </w:p>
        </w:tc>
        <w:tc>
          <w:tcPr>
            <w:tcW w:type="dxa" w:w="3200"/>
            <w:tcMar>
              <w:top w:type="dxa" w:w="80"/>
              <w:left w:type="dxa" w:w="100"/>
              <w:bottom w:type="dxa" w:w="80"/>
              <w:right w:type="dxa" w:w="100"/>
            </w:tcMar>
          </w:tcPr>
          <w:p>
            <w:r>
              <w:rPr>
                <w:b w:val="false"/>
                <w:bCs w:val="false"/>
              </w:rPr>
              <w:t xml:space="preserve"/>
            </w:r>
          </w:p>
        </w:tc>
        <w:tc>
          <w:tcPr>
            <w:tcW w:type="dxa" w:w="2760"/>
            <w:tcMar>
              <w:top w:type="dxa" w:w="80"/>
              <w:left w:type="dxa" w:w="100"/>
              <w:bottom w:type="dxa" w:w="80"/>
              <w:right w:type="dxa" w:w="100"/>
            </w:tcMar>
          </w:tcPr>
          <w:p>
            <w:r>
              <w:rPr>
                <w:b w:val="false"/>
                <w:bCs w:val="false"/>
              </w:rPr>
              <w:t xml:space="preserve">✓ (step-ca or equivalent)</w:t>
            </w:r>
          </w:p>
        </w:tc>
      </w:tr>
      <w:tr>
        <w:tc>
          <w:tcPr>
            <w:tcW w:type="dxa" w:w="3400"/>
            <w:tcMar>
              <w:top w:type="dxa" w:w="80"/>
              <w:left w:type="dxa" w:w="100"/>
              <w:bottom w:type="dxa" w:w="80"/>
              <w:right w:type="dxa" w:w="100"/>
            </w:tcMar>
          </w:tcPr>
          <w:p>
            <w:r>
              <w:rPr>
                <w:b w:val="false"/>
                <w:bCs w:val="false"/>
              </w:rPr>
              <w:t xml:space="preserve">Kubernetes primitives / reconciliation</w:t>
            </w:r>
          </w:p>
        </w:tc>
        <w:tc>
          <w:tcPr>
            <w:tcW w:type="dxa" w:w="3200"/>
            <w:tcMar>
              <w:top w:type="dxa" w:w="80"/>
              <w:left w:type="dxa" w:w="100"/>
              <w:bottom w:type="dxa" w:w="80"/>
              <w:right w:type="dxa" w:w="100"/>
            </w:tcMar>
          </w:tcPr>
          <w:p>
            <w:r>
              <w:rPr>
                <w:b w:val="false"/>
                <w:bCs w:val="false"/>
              </w:rPr>
              <w:t xml:space="preserve"/>
            </w:r>
          </w:p>
        </w:tc>
        <w:tc>
          <w:tcPr>
            <w:tcW w:type="dxa" w:w="2760"/>
            <w:tcMar>
              <w:top w:type="dxa" w:w="80"/>
              <w:left w:type="dxa" w:w="100"/>
              <w:bottom w:type="dxa" w:w="80"/>
              <w:right w:type="dxa" w:w="100"/>
            </w:tcMar>
          </w:tcPr>
          <w:p>
            <w:r>
              <w:rPr>
                <w:b w:val="false"/>
                <w:bCs w:val="false"/>
              </w:rPr>
              <w:t xml:space="preserve">✓ (controller-runtime, cloud SDKs)</w:t>
            </w:r>
          </w:p>
        </w:tc>
      </w:tr>
    </w:tbl>
    <w:p>
      <w:pPr>
        <w:spacing w:after="120"/>
      </w:pPr>
      <w:r>
        <w:t xml:space="preserve">Comparison against adjacent real-world products (Cloudflare Tunnel, Tailscale, Teleport, Boundary), performed during review, confirms the scope is closest to “cloudflared plus multiplexing plus registration-awareness” — materially smaller than a service mesh, a VPN product, or an API gateway, because policy, discovery, and identity decisions are deliberately kept out of the Connect Agent and centralized in the Gateway/Controllers.</w:t>
      </w:r>
    </w:p>
    <w:p>
      <w:r>
        <w:br w:type="page"/>
      </w:r>
    </w:p>
    <w:p>
      <w:pPr>
        <w:pStyle w:val="Heading1"/>
        <w:spacing w:after="200" w:before="400"/>
      </w:pPr>
      <w:r>
        <w:t xml:space="preserve">12. Runtime Contract</w:t>
      </w:r>
    </w:p>
    <w:p>
      <w:pPr>
        <w:spacing w:after="120"/>
      </w:pPr>
      <w:r>
        <w:t xml:space="preserve">Every long-running runtime component — Gateway, Connect Agent, waypoint, and Controllers (excluding the traffic-forwarding stages, which do not apply to them) — is expected to satisfy the same lifecycle shape. Stating it once here means each Level 2 design document can reference a shared vocabulary instead of independently inventing its own lifecycle terms.</w:t>
      </w:r>
    </w:p>
    <w:p>
      <w:pPr>
        <w:shd w:fill="F2F2F2" w:val="clear"/>
        <w:spacing w:after="60"/>
      </w:pPr>
      <w:r>
        <w:rPr>
          <w:rFonts w:ascii="Consolas" w:cs="Consolas" w:eastAsia="Consolas" w:hAnsi="Consolas"/>
          <w:sz w:val="18"/>
          <w:szCs w:val="18"/>
        </w:rPr>
        <w:t xml:space="preserve">Bootstrap → Authenticate → Receive Configuration → Become Ready → Serve Traffic → Report Health → Renew Credentials → Receive Configuration Updates → Graceful Shutdown</w:t>
      </w:r>
    </w:p>
    <w:p>
      <w:pPr>
        <w:pStyle w:val="ListParagraph"/>
        <w:numPr>
          <w:ilvl w:val="0"/>
          <w:numId w:val="1"/>
        </w:numPr>
        <w:spacing w:after="60"/>
      </w:pPr>
      <w:r>
        <w:t xml:space="preserve">Bootstrap — component starts and loads its initial configuration/certificate (from local install bundle, mounted config, or equivalent).</w:t>
      </w:r>
    </w:p>
    <w:p>
      <w:pPr>
        <w:pStyle w:val="ListParagraph"/>
        <w:numPr>
          <w:ilvl w:val="0"/>
          <w:numId w:val="1"/>
        </w:numPr>
        <w:spacing w:after="60"/>
      </w:pPr>
      <w:r>
        <w:t xml:space="preserve">Authenticate — establishes its own identity to whatever it connects to (e.g. Connect Agent authenticates to the Gateway).</w:t>
      </w:r>
    </w:p>
    <w:p>
      <w:pPr>
        <w:pStyle w:val="ListParagraph"/>
        <w:numPr>
          <w:ilvl w:val="0"/>
          <w:numId w:val="1"/>
        </w:numPr>
        <w:spacing w:after="60"/>
      </w:pPr>
      <w:r>
        <w:t xml:space="preserve">Receive Configuration — obtains the current desired state relevant to it, per §10.5.</w:t>
      </w:r>
    </w:p>
    <w:p>
      <w:pPr>
        <w:pStyle w:val="ListParagraph"/>
        <w:numPr>
          <w:ilvl w:val="0"/>
          <w:numId w:val="1"/>
        </w:numPr>
        <w:spacing w:after="60"/>
      </w:pPr>
      <w:r>
        <w:t xml:space="preserve">Become Ready — a distinct, observable state from “process is running”; nothing should route traffic to a component before this point.</w:t>
      </w:r>
    </w:p>
    <w:p>
      <w:pPr>
        <w:pStyle w:val="ListParagraph"/>
        <w:numPr>
          <w:ilvl w:val="0"/>
          <w:numId w:val="1"/>
        </w:numPr>
        <w:spacing w:after="60"/>
      </w:pPr>
      <w:r>
        <w:t xml:space="preserve">Serve Traffic / Perform Its Function — the component's core responsibility as defined in §5.</w:t>
      </w:r>
    </w:p>
    <w:p>
      <w:pPr>
        <w:pStyle w:val="ListParagraph"/>
        <w:numPr>
          <w:ilvl w:val="0"/>
          <w:numId w:val="1"/>
        </w:numPr>
        <w:spacing w:after="60"/>
      </w:pPr>
      <w:r>
        <w:t xml:space="preserve">Report Health — continuous, not a one-time bootstrap step; feeds the observed-state model in §10.3.</w:t>
      </w:r>
    </w:p>
    <w:p>
      <w:pPr>
        <w:pStyle w:val="ListParagraph"/>
        <w:numPr>
          <w:ilvl w:val="0"/>
          <w:numId w:val="1"/>
        </w:numPr>
        <w:spacing w:after="60"/>
      </w:pPr>
      <w:r>
        <w:t xml:space="preserve">Renew Credentials — independently of other components, per the rotation rule in §5.5; never a coordinated, multi-component operation.</w:t>
      </w:r>
    </w:p>
    <w:p>
      <w:pPr>
        <w:pStyle w:val="ListParagraph"/>
        <w:numPr>
          <w:ilvl w:val="0"/>
          <w:numId w:val="1"/>
        </w:numPr>
        <w:spacing w:after="60"/>
      </w:pPr>
      <w:r>
        <w:t xml:space="preserve">Receive Configuration Updates — ongoing, not just at bootstrap; reflects §10.5's single-source-of-truth model as desired state changes over time.</w:t>
      </w:r>
    </w:p>
    <w:p>
      <w:pPr>
        <w:pStyle w:val="ListParagraph"/>
        <w:numPr>
          <w:ilvl w:val="0"/>
          <w:numId w:val="1"/>
        </w:numPr>
        <w:spacing w:after="60"/>
      </w:pPr>
      <w:r>
        <w:t xml:space="preserve">Graceful Shutdown — stops accepting new work and allows in-flight work to complete or drain, consistent with whatever policy the relevant Level 2 design (e.g. Failure Semantics) defines for that component and situation.</w:t>
      </w:r>
    </w:p>
    <w:p>
      <w:r>
        <w:br w:type="page"/>
      </w:r>
    </w:p>
    <w:p>
      <w:pPr>
        <w:pStyle w:val="Heading1"/>
        <w:spacing w:after="200" w:before="400"/>
      </w:pPr>
      <w:r>
        <w:t xml:space="preserve">13. Explicitly Deferred to Level 2</w:t>
      </w:r>
    </w:p>
    <w:p>
      <w:pPr>
        <w:spacing w:after="120"/>
      </w:pPr>
      <w:r>
        <w:t xml:space="preserve">These were not gaps in the architecture — they were decisions correctly excluded from Level 1 because they do not need to survive a technology rewrite, and freezing them early would have removed flexibility the architecture is designed to keep open. Most have since been resolved in the Level 2 Design document; this list is kept as the historical record of what Level 1 deliberately left open, with each item marked against where it was resolved. The current, authoritative list of what remains genuinely open is the Level 2 document's own closing section (“Remaining Items Before Development Starts”), not this one — check there first.</w:t>
      </w:r>
    </w:p>
    <w:p>
      <w:pPr>
        <w:pStyle w:val="ListParagraph"/>
        <w:numPr>
          <w:ilvl w:val="0"/>
          <w:numId w:val="1"/>
        </w:numPr>
        <w:spacing w:after="60"/>
      </w:pPr>
      <w:r>
        <w:t xml:space="preserve">Exact wire framing (yamux vs. smux vs. HTTP/2 vs. QUIC streams) — RESOLVED: Level 2 Part J (yamux).</w:t>
      </w:r>
    </w:p>
    <w:p>
      <w:pPr>
        <w:pStyle w:val="ListParagraph"/>
        <w:numPr>
          <w:ilvl w:val="0"/>
          <w:numId w:val="1"/>
        </w:numPr>
        <w:spacing w:after="60"/>
      </w:pPr>
      <w:r>
        <w:t xml:space="preserve">Which registration states are “routable” for Gateway authorization (ADR-013) — RESOLVED: Level 2 §G.2 (Active only).</w:t>
      </w:r>
    </w:p>
    <w:p>
      <w:pPr>
        <w:pStyle w:val="ListParagraph"/>
        <w:numPr>
          <w:ilvl w:val="0"/>
          <w:numId w:val="1"/>
        </w:numPr>
        <w:spacing w:after="60"/>
      </w:pPr>
      <w:r>
        <w:t xml:space="preserve">Treatment of in-flight streams on registration state transitions — RESOLVED: Level 2 §G.3 (cause-based policy table).</w:t>
      </w:r>
    </w:p>
    <w:p>
      <w:pPr>
        <w:pStyle w:val="ListParagraph"/>
        <w:numPr>
          <w:ilvl w:val="0"/>
          <w:numId w:val="1"/>
        </w:numPr>
        <w:spacing w:after="60"/>
      </w:pPr>
      <w:r>
        <w:t xml:space="preserve">Exact packaging of the Gateway's Ghostunnel-based mTLS/cert-validation layer versus its Registration-lookup/dispatch logic — RESOLVED in shape (Level 1 §5.2, Level 2 §G.4): Ghostunnel fronts the dispatch logic; wrapped-vs-two-process remains an operational packaging choice with no design question behind it.</w:t>
      </w:r>
    </w:p>
    <w:p>
      <w:pPr>
        <w:pStyle w:val="ListParagraph"/>
        <w:numPr>
          <w:ilvl w:val="0"/>
          <w:numId w:val="1"/>
        </w:numPr>
        <w:spacing w:after="60"/>
      </w:pPr>
      <w:r>
        <w:t xml:space="preserve">Exact registration schema, database/storage choice — STILL OPEN (Level 3): see Level 2 closing section, item 1.</w:t>
      </w:r>
    </w:p>
    <w:p>
      <w:pPr>
        <w:pStyle w:val="ListParagraph"/>
        <w:numPr>
          <w:ilvl w:val="0"/>
          <w:numId w:val="1"/>
        </w:numPr>
        <w:spacing w:after="60"/>
      </w:pPr>
      <w:r>
        <w:t xml:space="preserve">Exact Kubernetes objects for local routing to the Connect Agent (e.g. ClusterIP Service with internalTrafficPolicy: Local) — Connect Agent design; not yet written up in Level 2, remains open.</w:t>
      </w:r>
    </w:p>
    <w:p>
      <w:pPr>
        <w:pStyle w:val="ListParagraph"/>
        <w:numPr>
          <w:ilvl w:val="0"/>
          <w:numId w:val="1"/>
        </w:numPr>
        <w:spacing w:after="60"/>
      </w:pPr>
      <w:r>
        <w:t xml:space="preserve">Substrate-specific workload-evidence verifier plugins (Kubernetes OIDC discovery, ECS task credentials, others) — STILL OPEN (Level 3): see Level 2 closing section, item 2.</w:t>
      </w:r>
    </w:p>
    <w:p>
      <w:pPr>
        <w:pStyle w:val="ListParagraph"/>
        <w:numPr>
          <w:ilvl w:val="0"/>
          <w:numId w:val="1"/>
        </w:numPr>
        <w:spacing w:after="60"/>
      </w:pPr>
      <w:r>
        <w:t xml:space="preserve">Retry counts, backoff curves, circuit-breaker thresholds — partially addressed (Level 2 §H.3's jitter reasoning); exact numeric values remain an operational tuning choice, not a design question.</w:t>
      </w:r>
    </w:p>
    <w:p>
      <w:pPr>
        <w:pStyle w:val="Heading2"/>
        <w:spacing w:after="150" w:before="300"/>
      </w:pPr>
      <w:r>
        <w:t xml:space="preserve">13.1 Recommended Level 2 Document Set</w:t>
      </w:r>
    </w:p>
    <w:p>
      <w:pPr>
        <w:pStyle w:val="ListParagraph"/>
        <w:numPr>
          <w:ilvl w:val="0"/>
          <w:numId w:val="1"/>
        </w:numPr>
        <w:spacing w:after="60"/>
      </w:pPr>
      <w:r>
        <w:t xml:space="preserve">1. Connect Agent Design — internal modules, tunnel lifecycle, local listeners, config/cert consumption, health/metrics.</w:t>
      </w:r>
    </w:p>
    <w:p>
      <w:pPr>
        <w:pStyle w:val="ListParagraph"/>
        <w:numPr>
          <w:ilvl w:val="0"/>
          <w:numId w:val="1"/>
        </w:numPr>
        <w:spacing w:after="60"/>
      </w:pPr>
      <w:r>
        <w:t xml:space="preserve">2. Gateway Design — registration lookup, authorization flow, Destination Adapter interface, stream routing, routable-state definition.</w:t>
      </w:r>
    </w:p>
    <w:p>
      <w:pPr>
        <w:pStyle w:val="ListParagraph"/>
        <w:numPr>
          <w:ilvl w:val="0"/>
          <w:numId w:val="1"/>
        </w:numPr>
        <w:spacing w:after="60"/>
      </w:pPr>
      <w:r>
        <w:t xml:space="preserve">3. Controller / Registration Design — Day 0/1/2 flows, reconciliation, desired-vs-observed state, registration schema.</w:t>
      </w:r>
    </w:p>
    <w:p>
      <w:pPr>
        <w:pStyle w:val="ListParagraph"/>
        <w:numPr>
          <w:ilvl w:val="0"/>
          <w:numId w:val="1"/>
        </w:numPr>
        <w:spacing w:after="60"/>
      </w:pPr>
      <w:r>
        <w:t xml:space="preserve">4. Connectivity / Transport Framing — session establishment, stream metadata, multiplexing library choice, versioning.</w:t>
      </w:r>
    </w:p>
    <w:p>
      <w:pPr>
        <w:pStyle w:val="ListParagraph"/>
        <w:numPr>
          <w:ilvl w:val="0"/>
          <w:numId w:val="1"/>
        </w:numPr>
        <w:spacing w:after="60"/>
      </w:pPr>
      <w:r>
        <w:t xml:space="preserve">5. Failure Semantics — tunnel loss, Gateway restart, waypoint unavailability, certificate rotation and revocation, registration updates, network partition, in-flight stream treatment.</w:t>
      </w:r>
    </w:p>
    <w:p>
      <w:pPr>
        <w:pStyle w:val="ListParagraph"/>
        <w:numPr>
          <w:ilvl w:val="0"/>
          <w:numId w:val="1"/>
        </w:numPr>
        <w:spacing w:after="60"/>
      </w:pPr>
      <w:r>
        <w:t xml:space="preserve">6. Identity / PKI Design — credential issuance and rotation mechanics, per-substrate workload-evidence verifier plugins.</w:t>
      </w:r>
    </w:p>
    <w:p>
      <w:pPr>
        <w:spacing w:after="120"/>
      </w:pPr>
      <w:r>
        <w:t xml:space="preserve">A recommended first step before writing these in full: a small vertical-slice prototype (agent → gateway → destination → echo server, no controllers, no PKI, an in-memory registration) to validate the runtime/tunneling model quickly. This validates runtime mechanics only — it does not substitute for explicitly designing failure semantics, which should be done on paper in parallel, not deferred until after the prototype. The Level 2 Design document has since covered items 1–2 and 4–6 above at the operational-model level (state machines, ownership, lifecycle, failure semantics); Connect Agent- and Gateway-internal code structure remain the actual remaining Level 3 work, alongside the four items in the Level 2 closing section.</w:t>
      </w:r>
    </w:p>
    <w:p>
      <w:r>
        <w:br w:type="page"/>
      </w:r>
    </w:p>
    <w:p>
      <w:pPr>
        <w:pStyle w:val="Heading1"/>
        <w:spacing w:after="200" w:before="400"/>
      </w:pPr>
      <w:r>
        <w:t>14. Risk Register — v1 Resolutions</w:t>
      </w:r>
    </w:p>
    <w:p>
      <w:pPr>
        <w:pStyle w:val="Heading1"/>
        <w:spacing w:after="200" w:before="400"/>
      </w:pPr>
      <w:r>
        <w:t>Former “Known Open Risks” from external review. Each item below is resolved as an accepted invariant (with stated scope) or a design addition, chosen to conform to ADR-002, ADR-007, C1, C2, and §1.4. Authoritative decision detail also lives in Architecture-Resolutions.md.</w:t>
      </w:r>
    </w:p>
    <w:p>
      <w:pPr>
        <w:pStyle w:val="Heading1"/>
        <w:spacing w:after="200" w:before="400"/>
      </w:pPr>
      <w:r>
        <w:t>14.1 Resolved Register</w:t>
      </w:r>
    </w:p>
    <w:p>
      <w:pPr>
        <w:pStyle w:val="Heading1"/>
        <w:spacing w:after="200" w:before="400"/>
      </w:pPr>
      <w:r>
        <w:t>1 — Customer-local hop: install bundle ships mandatory NetworkPolicy / security-group / host-firewall templates restricting dial to Agent listeners; Agent still does not authorize; residual risk if customer disables templates is accepted and UI-surfaced. See §5.1.</w:t>
      </w:r>
    </w:p>
    <w:p>
      <w:pPr>
        <w:pStyle w:val="Heading1"/>
        <w:spacing w:after="200" w:before="400"/>
      </w:pPr>
      <w:r>
        <w:t>2 — B2 hairpin: accepted v1 invariant; all Customer→Customer Resource traffic traverses the Gateway; local short-circuit requires a future ADR. See §8.6.</w:t>
      </w:r>
    </w:p>
    <w:p>
      <w:pPr>
        <w:pStyle w:val="Heading1"/>
        <w:spacing w:after="200" w:before="400"/>
      </w:pPr>
      <w:r>
        <w:t>3 — Destination Agent selection: reachability-aware selection among Connected Agents advertising the Registration; else DESTINATION_UNAVAILABLE. See §5.2.</w:t>
      </w:r>
    </w:p>
    <w:p>
      <w:pPr>
        <w:pStyle w:val="Heading1"/>
        <w:spacing w:after="200" w:before="400"/>
      </w:pPr>
      <w:r>
        <w:t>4 — Bootstrap attestation: Enrollment PendingApproval (+ optional strict substrate binding) before data-plane StreamOpen. See §10.1 Phase 1.</w:t>
      </w:r>
    </w:p>
    <w:p>
      <w:pPr>
        <w:pStyle w:val="Heading1"/>
        <w:spacing w:after="200" w:before="400"/>
      </w:pPr>
      <w:r>
        <w:t>5 — Revocation transport: Certificate Controller pushes revoke-set to Gateway and updates CRL; security-cause revocation force-closes tunnels immediately (detail in L2-Design §D.3 / §G.3).</w:t>
      </w:r>
    </w:p>
    <w:p>
      <w:pPr>
        <w:pStyle w:val="Heading1"/>
        <w:spacing w:after="200" w:before="400"/>
      </w:pPr>
      <w:r>
        <w:t>6 — Gateway plaintext visibility: documented customer-facing property of tls_mode / app TLS; see §8.6 plaintext visibility property.</w:t>
      </w:r>
    </w:p>
    <w:p>
      <w:pPr>
        <w:pStyle w:val="Heading1"/>
        <w:spacing w:after="200" w:before="400"/>
      </w:pPr>
      <w:r>
        <w:t>7 — Non-Kubernetes routing: ECS localhost-sidecar and VM loopback contracts specified in Developer-Reference (not K8s-only).</w:t>
      </w:r>
    </w:p>
    <w:p>
      <w:pPr>
        <w:pStyle w:val="Heading1"/>
        <w:spacing w:after="200" w:before="400"/>
      </w:pPr>
      <w:r>
        <w:t>8 — Gateway quotas: per-tenant tunnel, stream, and stream-open-rate limits enforced at the Gateway. See §5.2.</w:t>
      </w:r>
    </w:p>
    <w:p>
      <w:pPr>
        <w:pStyle w:val="Heading1"/>
        <w:spacing w:after="200" w:before="400"/>
      </w:pPr>
      <w:r>
        <w:t>9 — Controller / Registration Store blast radius: Store writes only from Controller mTLS identities; least-privilege Controller SAs; dual-control or break-glass for high-risk mutations; mass-change alerting (detail in L2-Design Part C / new §C.4).</w:t>
      </w:r>
    </w:p>
    <w:p>
      <w:pPr>
        <w:pStyle w:val="Heading1"/>
        <w:spacing w:after="200" w:before="400"/>
      </w:pPr>
      <w:r>
        <w:t>10 — Resource credentials interim: v1 Registrations carry reachability only (host/port/tls_mode); platform never stores customer resource passwords/client certs; apps keep existing secret distribution for Customer Resources. Platform-owned secrets (platform Postgres credentials, vault material used by Platform Connector / control plane) are fetched at runtime via the platform Access API (keys#database / secrets-manager shapes), never from committed env password vars. See Level-3-Store-OIDC-Spec.md for the frozen Access API request/response shapes.</w:t>
      </w:r>
    </w:p>
    <w:p>
      <w:pPr>
        <w:pStyle w:val="Heading1"/>
        <w:spacing w:after="200" w:before="400"/>
      </w:pPr>
      <w:r>
        <w:t>11 — Stale config vs emergency: security suspend/revoke enforced on Gateway live authz path independent of Agent config generation; stale-config-continues applies only to routine lag.</w:t>
      </w:r>
    </w:p>
    <w:p>
      <w:pPr>
        <w:pStyle w:val="Heading1"/>
        <w:spacing w:after="200" w:before="400"/>
      </w:pPr>
      <w:r>
        <w:t>12 — RESOURCE intended_consumers: informational only in v1 (conforms to §1.4 no workload authz); per-consumer enforcement deferred to R4b.</w:t>
      </w:r>
    </w:p>
    <w:p>
      <w:pPr>
        <w:pStyle w:val="Heading1"/>
        <w:spacing w:after="200" w:before="400"/>
      </w:pPr>
      <w:r>
        <w:t xml:space="preserve">A3/B4 Gateway destination addressing: the hop chains in §8.3 and §8.8 left the dial target unspecified. Resolved by the platform-minted DNS/SNI inbound mechanism described in those sections (default &lt;registration_id&gt;.&lt;tenant_id&gt;.connect.mesh → per-tenant Gateway inbound). This is not a reopening of item 3 (Agent selection); it answers how the Platform Service names the Gateway hop before selection runs.</w:t>
      </w:r>
    </w:p>
    <w:p>
      <w:pPr>
        <w:pStyle w:val="Heading1"/>
        <w:spacing w:after="200" w:before="400"/>
      </w:pPr>
      <w:r>
        <w:t>14.2 Remaining before build</w:t>
      </w:r>
    </w:p>
    <w:p>
      <w:pPr>
        <w:pStyle w:val="Heading1"/>
        <w:spacing w:after="200" w:before="400"/>
      </w:pPr>
      <w:r>
        <w:t>Implementation/PoC work remains (not open architecture questions): Registration storage technology; workload-evidence verifier clients; ECS idle-timeout/task-recycle PoC; Ghostunnel PoC that proves mTLS terminate → decrypted socket → yamux StreamOpen broker fit (not only multi-tenant cert validation). See L2-Design closing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4267f51110ccc8e21ec080bd316abc3d6494aa.png"/><Relationship Id="rId8" Type="http://schemas.openxmlformats.org/officeDocument/2006/relationships/image" Target="media/e1487b78d41059ffd03258527bf85f467b864d00.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2026-07-23T12:43:15.533Z</dcterms:created>
  <dcterms:modified xsi:type="dcterms:W3CDTF">2026-07-23T12:43:15.533Z</dcterms:modified>
</cp:coreProperties>
</file>

<file path=docProps/custom.xml><?xml version="1.0" encoding="utf-8"?>
<Properties xmlns="http://schemas.openxmlformats.org/officeDocument/2006/custom-properties" xmlns:vt="http://schemas.openxmlformats.org/officeDocument/2006/docPropsVTypes"/>
</file>