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Kaniska FineCredit</w:t>
      </w:r>
    </w:p>
    <w:p>
      <w:pPr>
        <w:jc w:val="center"/>
      </w:pPr>
      <w:r>
        <w:rPr>
          <w:i/>
          <w:sz w:val="28"/>
        </w:rPr>
        <w:t>Fairness-Aware Alternative-Data Credit Scoring</w:t>
      </w:r>
    </w:p>
    <w:p>
      <w:pPr>
        <w:jc w:val="center"/>
      </w:pPr>
      <w:r>
        <w:t>Project Report | September 2026</w:t>
      </w:r>
    </w:p>
    <w:p>
      <w:pPr>
        <w:pStyle w:val="Heading1"/>
      </w:pPr>
      <w:r>
        <w:t>Executive Summary</w:t>
      </w:r>
    </w:p>
    <w:p>
      <w:r>
        <w:t>Kaniska FineCredit is an educational end-to-end machine-learning project that estimates micro-loan repayment likelihood from alternative financial signals. It uses consented behavioural features, applies a Fairlearn demographic-parity constraint, exposes group-level diagnostics, and returns human-readable reason codes. The dataset is fully synthetic and contains no real applicant information.</w:t>
      </w:r>
    </w:p>
    <w:p>
      <w:r>
        <w:t>The supplied evaluation artifact reports ROC-AUC 0.6345, F1 0.6895, and an intersectional gender-region demographic-parity difference of 0.0540. These results demonstrate a reproducible workflow, not production readiness or legal compliance.</w:t>
      </w:r>
    </w:p>
    <w:p>
      <w:pPr>
        <w:pStyle w:val="Heading1"/>
      </w:pPr>
      <w:r>
        <w:t>1. Problem Statement and Objectives</w:t>
      </w:r>
    </w:p>
    <w:p>
      <w:r>
        <w:t>Many potential borrowers have limited traditional credit-history data. This project investigates whether consented alternative signals can support an initial repayment-risk estimate while making performance and fairness visible.</w:t>
      </w:r>
    </w:p>
    <w:p>
      <w:pPr>
        <w:pStyle w:val="ListBullet"/>
      </w:pPr>
      <w:r>
        <w:t>Generate a reproducible synthetic applicant dataset with realistic relationships, noise, and missing values.</w:t>
      </w:r>
    </w:p>
    <w:p>
      <w:pPr>
        <w:pStyle w:val="ListBullet"/>
      </w:pPr>
      <w:r>
        <w:t>Engineer interpretable behavioural features from mobile-money, utility, telco, location, and rent signals.</w:t>
      </w:r>
    </w:p>
    <w:p>
      <w:pPr>
        <w:pStyle w:val="ListBullet"/>
      </w:pPr>
      <w:r>
        <w:t>Benchmark classification models and train a fairness-constrained production model.</w:t>
      </w:r>
    </w:p>
    <w:p>
      <w:pPr>
        <w:pStyle w:val="ListBullet"/>
      </w:pPr>
      <w:r>
        <w:t>Evaluate predictive performance, demographic parity, and equalized odds.</w:t>
      </w:r>
    </w:p>
    <w:p>
      <w:pPr>
        <w:pStyle w:val="ListBullet"/>
      </w:pPr>
      <w:r>
        <w:t>Provide API, dashboard, notebook, and reason-code interfaces for inspection and demonstration.</w:t>
      </w:r>
    </w:p>
    <w:p>
      <w:pPr>
        <w:pStyle w:val="Heading1"/>
      </w:pPr>
      <w:r>
        <w:t>2. Dataset and Data Preparation</w:t>
      </w:r>
    </w:p>
    <w:p>
      <w:r>
        <w:t>The dataset is generated by src/data_generation.py with random seed 42. It contains 10,000 synthetic applicants, demographic fields (gender and region), alternative-data variables, and the binary target loan_repaid. Missing values are intentionally introduced into four numeric fields at approximately two percent to exercise imputation.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Fields / details</w:t>
            </w:r>
          </w:p>
        </w:tc>
      </w:tr>
      <w:tr>
        <w:tc>
          <w:tcPr>
            <w:tcW w:type="dxa" w:w="4968"/>
          </w:tcPr>
          <w:p>
            <w:r>
              <w:t>Demographics</w:t>
            </w:r>
          </w:p>
        </w:tc>
        <w:tc>
          <w:tcPr>
            <w:tcW w:type="dxa" w:w="4968"/>
          </w:tcPr>
          <w:p>
            <w:r>
              <w:t>age, gender, region</w:t>
            </w:r>
          </w:p>
        </w:tc>
      </w:tr>
      <w:tr>
        <w:tc>
          <w:tcPr>
            <w:tcW w:type="dxa" w:w="4968"/>
          </w:tcPr>
          <w:p>
            <w:r>
              <w:t>Mobile money</w:t>
            </w:r>
          </w:p>
        </w:tc>
        <w:tc>
          <w:tcPr>
            <w:tcW w:type="dxa" w:w="4968"/>
          </w:tcPr>
          <w:p>
            <w:r>
              <w:t>transaction count, average balance, inflow and outflow variability, unique contacts</w:t>
            </w:r>
          </w:p>
        </w:tc>
      </w:tr>
      <w:tr>
        <w:tc>
          <w:tcPr>
            <w:tcW w:type="dxa" w:w="4968"/>
          </w:tcPr>
          <w:p>
            <w:r>
              <w:t>Utilities</w:t>
            </w:r>
          </w:p>
        </w:tc>
        <w:tc>
          <w:tcPr>
            <w:tcW w:type="dxa" w:w="4968"/>
          </w:tcPr>
          <w:p>
            <w:r>
              <w:t>on-time payments, late payments, average days late</w:t>
            </w:r>
          </w:p>
        </w:tc>
      </w:tr>
      <w:tr>
        <w:tc>
          <w:tcPr>
            <w:tcW w:type="dxa" w:w="4968"/>
          </w:tcPr>
          <w:p>
            <w:r>
              <w:t>Telco</w:t>
            </w:r>
          </w:p>
        </w:tc>
        <w:tc>
          <w:tcPr>
            <w:tcW w:type="dxa" w:w="4968"/>
          </w:tcPr>
          <w:p>
            <w:r>
              <w:t>airtime top-ups, average top-up amount, top-up trend, location stability</w:t>
            </w:r>
          </w:p>
        </w:tc>
      </w:tr>
      <w:tr>
        <w:tc>
          <w:tcPr>
            <w:tcW w:type="dxa" w:w="4968"/>
          </w:tcPr>
          <w:p>
            <w:r>
              <w:t>Housing</w:t>
            </w:r>
          </w:p>
        </w:tc>
        <w:tc>
          <w:tcPr>
            <w:tcW w:type="dxa" w:w="4968"/>
          </w:tcPr>
          <w:p>
            <w:r>
              <w:t>rent-payment regularity</w:t>
            </w:r>
          </w:p>
        </w:tc>
      </w:tr>
      <w:tr>
        <w:tc>
          <w:tcPr>
            <w:tcW w:type="dxa" w:w="4968"/>
          </w:tcPr>
          <w:p>
            <w:r>
              <w:t>Target</w:t>
            </w:r>
          </w:p>
        </w:tc>
        <w:tc>
          <w:tcPr>
            <w:tcW w:type="dxa" w:w="4968"/>
          </w:tcPr>
          <w:p>
            <w:r>
              <w:t>loan_repaid (0/1)</w:t>
            </w:r>
          </w:p>
        </w:tc>
      </w:tr>
    </w:tbl>
    <w:p/>
    <w:p>
      <w:r>
        <w:t>Preprocessing uses median imputation and scaling for numeric features and most-frequent imputation plus one-hot encoding for categorical features. The training split uses SMOTE for benchmark models. Sensitive groups are represented separately and as intersectional gender-region combinations.</w:t>
      </w:r>
    </w:p>
    <w:p>
      <w:pPr>
        <w:pStyle w:val="Heading1"/>
      </w:pPr>
      <w:r>
        <w:t>3. Feature Engineering</w:t>
      </w:r>
    </w:p>
    <w:p>
      <w:r>
        <w:t>src/feature_engineering.py creates transaction_regularity, balance_stability, payment_punctuality, income_trend, utility_reliability, cashflow_consistency, and digital_activity. The same function is used during training and API inference to avoid train-serving skew.</w:t>
      </w:r>
    </w:p>
    <w:p>
      <w:pPr>
        <w:pStyle w:val="Heading1"/>
      </w:pPr>
      <w:r>
        <w:t>4. Modeling Methodology</w:t>
      </w:r>
    </w:p>
    <w:p>
      <w:r>
        <w:t>The training workflow compares Logistic Regression with optional XGBoost and LightGBM benchmarks. The selected fairness-aware model is Fairlearn ExponentiatedGradient using a Logistic Regression base estimator and a DemographicParity constraint with eps=0.02. The saved artifact contains the preprocessor, fairness model, probability model, feature names, and benchmark information.</w:t>
      </w:r>
    </w:p>
    <w:p>
      <w:r>
        <w:t>The API maps probability to a 300-850-style score and applies an explicit demonstration policy: approve when Fairlearn approves and probability is at least 0.60; review when probability is 0.40-0.5999; reject below 0.40.</w:t>
      </w:r>
    </w:p>
    <w:p>
      <w:pPr>
        <w:pStyle w:val="Heading1"/>
      </w:pPr>
      <w:r>
        <w:t>5. Evaluation Results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Accuracy</w:t>
            </w:r>
          </w:p>
        </w:tc>
        <w:tc>
          <w:tcPr>
            <w:tcW w:type="dxa" w:w="4968"/>
          </w:tcPr>
          <w:p>
            <w:r>
              <w:t>0.5939</w:t>
            </w:r>
          </w:p>
        </w:tc>
      </w:tr>
      <w:tr>
        <w:tc>
          <w:tcPr>
            <w:tcW w:type="dxa" w:w="4968"/>
          </w:tcPr>
          <w:p>
            <w:r>
              <w:t>Precision</w:t>
            </w:r>
          </w:p>
        </w:tc>
        <w:tc>
          <w:tcPr>
            <w:tcW w:type="dxa" w:w="4968"/>
          </w:tcPr>
          <w:p>
            <w:r>
              <w:t>0.6893</w:t>
            </w:r>
          </w:p>
        </w:tc>
      </w:tr>
      <w:tr>
        <w:tc>
          <w:tcPr>
            <w:tcW w:type="dxa" w:w="4968"/>
          </w:tcPr>
          <w:p>
            <w:r>
              <w:t>Recall</w:t>
            </w:r>
          </w:p>
        </w:tc>
        <w:tc>
          <w:tcPr>
            <w:tcW w:type="dxa" w:w="4968"/>
          </w:tcPr>
          <w:p>
            <w:r>
              <w:t>0.6897</w:t>
            </w:r>
          </w:p>
        </w:tc>
      </w:tr>
      <w:tr>
        <w:tc>
          <w:tcPr>
            <w:tcW w:type="dxa" w:w="4968"/>
          </w:tcPr>
          <w:p>
            <w:r>
              <w:t>F1 score</w:t>
            </w:r>
          </w:p>
        </w:tc>
        <w:tc>
          <w:tcPr>
            <w:tcW w:type="dxa" w:w="4968"/>
          </w:tcPr>
          <w:p>
            <w:r>
              <w:t>0.6895</w:t>
            </w:r>
          </w:p>
        </w:tc>
      </w:tr>
      <w:tr>
        <w:tc>
          <w:tcPr>
            <w:tcW w:type="dxa" w:w="4968"/>
          </w:tcPr>
          <w:p>
            <w:r>
              <w:t>ROC-AUC</w:t>
            </w:r>
          </w:p>
        </w:tc>
        <w:tc>
          <w:tcPr>
            <w:tcW w:type="dxa" w:w="4968"/>
          </w:tcPr>
          <w:p>
            <w:r>
              <w:t>0.6345</w:t>
            </w:r>
          </w:p>
        </w:tc>
      </w:tr>
      <w:tr>
        <w:tc>
          <w:tcPr>
            <w:tcW w:type="dxa" w:w="4968"/>
          </w:tcPr>
          <w:p>
            <w:r>
              <w:t>Demographic parity difference</w:t>
            </w:r>
          </w:p>
        </w:tc>
        <w:tc>
          <w:tcPr>
            <w:tcW w:type="dxa" w:w="4968"/>
          </w:tcPr>
          <w:p>
            <w:r>
              <w:t>0.0323</w:t>
            </w:r>
          </w:p>
        </w:tc>
      </w:tr>
      <w:tr>
        <w:tc>
          <w:tcPr>
            <w:tcW w:type="dxa" w:w="4968"/>
          </w:tcPr>
          <w:p>
            <w:r>
              <w:t>Equalized odds difference</w:t>
            </w:r>
          </w:p>
        </w:tc>
        <w:tc>
          <w:tcPr>
            <w:tcW w:type="dxa" w:w="4968"/>
          </w:tcPr>
          <w:p>
            <w:r>
              <w:t>0.0819</w:t>
            </w:r>
          </w:p>
        </w:tc>
      </w:tr>
    </w:tbl>
    <w:p/>
    <w:p>
      <w:r>
        <w:t>These values are read from reports/evaluation.json, produced by src/evaluate.py. ROC-AUC uses probability outputs, while classification metrics use Fairlearn model predictions. The evaluation script also saves a ROC curve image.</w:t>
      </w:r>
    </w:p>
    <w:p>
      <w:pPr>
        <w:pStyle w:val="Heading1"/>
      </w:pPr>
      <w:r>
        <w:t>6. Fairness Audit</w:t>
      </w:r>
    </w:p>
    <w:p>
      <w:r>
        <w:t>The fairness audit reports approval rates and disparity metrics for gender, region, and intersectional gender-region groups.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Audit measure</w:t>
            </w:r>
          </w:p>
        </w:tc>
        <w:tc>
          <w:tcPr>
            <w:tcW w:type="dxa" w:w="4968"/>
          </w:tcPr>
          <w:p>
            <w:r>
              <w:rPr>
                <w:b/>
              </w:rPr>
              <w:t>Value</w:t>
            </w:r>
          </w:p>
        </w:tc>
      </w:tr>
      <w:tr>
        <w:tc>
          <w:tcPr>
            <w:tcW w:type="dxa" w:w="4968"/>
          </w:tcPr>
          <w:p>
            <w:r>
              <w:t>Gender demographic-parity difference</w:t>
            </w:r>
          </w:p>
        </w:tc>
        <w:tc>
          <w:tcPr>
            <w:tcW w:type="dxa" w:w="4968"/>
          </w:tcPr>
          <w:p>
            <w:r>
              <w:t>0.0460</w:t>
            </w:r>
          </w:p>
        </w:tc>
      </w:tr>
      <w:tr>
        <w:tc>
          <w:tcPr>
            <w:tcW w:type="dxa" w:w="4968"/>
          </w:tcPr>
          <w:p>
            <w:r>
              <w:t>Gender equalized-odds difference</w:t>
            </w:r>
          </w:p>
        </w:tc>
        <w:tc>
          <w:tcPr>
            <w:tcW w:type="dxa" w:w="4968"/>
          </w:tcPr>
          <w:p>
            <w:r>
              <w:t>0.0516</w:t>
            </w:r>
          </w:p>
        </w:tc>
      </w:tr>
      <w:tr>
        <w:tc>
          <w:tcPr>
            <w:tcW w:type="dxa" w:w="4968"/>
          </w:tcPr>
          <w:p>
            <w:r>
              <w:t>Region demographic-parity difference</w:t>
            </w:r>
          </w:p>
        </w:tc>
        <w:tc>
          <w:tcPr>
            <w:tcW w:type="dxa" w:w="4968"/>
          </w:tcPr>
          <w:p>
            <w:r>
              <w:t>0.0037</w:t>
            </w:r>
          </w:p>
        </w:tc>
      </w:tr>
      <w:tr>
        <w:tc>
          <w:tcPr>
            <w:tcW w:type="dxa" w:w="4968"/>
          </w:tcPr>
          <w:p>
            <w:r>
              <w:t>Region equalized-odds difference</w:t>
            </w:r>
          </w:p>
        </w:tc>
        <w:tc>
          <w:tcPr>
            <w:tcW w:type="dxa" w:w="4968"/>
          </w:tcPr>
          <w:p>
            <w:r>
              <w:t>0.0131</w:t>
            </w:r>
          </w:p>
        </w:tc>
      </w:tr>
      <w:tr>
        <w:tc>
          <w:tcPr>
            <w:tcW w:type="dxa" w:w="4968"/>
          </w:tcPr>
          <w:p>
            <w:r>
              <w:t>Gender-region demographic-parity difference</w:t>
            </w:r>
          </w:p>
        </w:tc>
        <w:tc>
          <w:tcPr>
            <w:tcW w:type="dxa" w:w="4968"/>
          </w:tcPr>
          <w:p>
            <w:r>
              <w:t>0.0540</w:t>
            </w:r>
          </w:p>
        </w:tc>
      </w:tr>
      <w:tr>
        <w:tc>
          <w:tcPr>
            <w:tcW w:type="dxa" w:w="4968"/>
          </w:tcPr>
          <w:p>
            <w:r>
              <w:t>Gender-region equalized-odds difference</w:t>
            </w:r>
          </w:p>
        </w:tc>
        <w:tc>
          <w:tcPr>
            <w:tcW w:type="dxa" w:w="4968"/>
          </w:tcPr>
          <w:p>
            <w:r>
              <w:t>0.0973</w:t>
            </w:r>
          </w:p>
        </w:tc>
      </w:tr>
    </w:tbl>
    <w:p/>
    <w:p>
      <w:r>
        <w:t>Lower disparity is generally preferable, but no single metric establishes fairness in every legal or social context. Small intersectional groups can also produce unstable estimates, so deployment would require confidence intervals, ongoing monitoring, and domain review.</w:t>
      </w:r>
    </w:p>
    <w:p>
      <w:pPr>
        <w:pStyle w:val="Heading1"/>
      </w:pPr>
      <w:r>
        <w:t>7. Explainability and User Interfaces</w:t>
      </w:r>
    </w:p>
    <w:p>
      <w:pPr>
        <w:pStyle w:val="ListBullet"/>
      </w:pPr>
      <w:r>
        <w:t>The Streamlit dashboard provides portfolio overview, applicant scoring, fairness charts, and model explanation.</w:t>
      </w:r>
    </w:p>
    <w:p>
      <w:pPr>
        <w:pStyle w:val="ListBullet"/>
      </w:pPr>
      <w:r>
        <w:t>The FastAPI service exposes /health and /score with score, probability, decision, reason codes, and fairness metadata.</w:t>
      </w:r>
    </w:p>
    <w:p>
      <w:pPr>
        <w:pStyle w:val="ListBullet"/>
      </w:pPr>
      <w:r>
        <w:t>The SHAP module can generate a global feature-importance summary, while reason_codes returns concise feature explanations.</w:t>
      </w:r>
    </w:p>
    <w:p>
      <w:pPr>
        <w:pStyle w:val="ListBullet"/>
      </w:pPr>
      <w:r>
        <w:t>The Jupyter notebook documents data inspection, feature engineering, measured results, fairness results, and scoring.</w:t>
      </w:r>
    </w:p>
    <w:p>
      <w:pPr>
        <w:pStyle w:val="Heading1"/>
      </w:pPr>
      <w:r>
        <w:t>8. Reproduction and Setup</w:t>
      </w:r>
    </w:p>
    <w:p>
      <w:r>
        <w:t>Create a virtual environment, install requirements.txt, then run the data-generation, training, evaluation, fairness-audit, and explanation commands. Start uvicorn for the API or streamlit for the dashboard. README.md contains the exact PowerShell commands and URLs.</w:t>
      </w:r>
    </w:p>
    <w:p>
      <w:r>
        <w:t>Primary deliverables are Kaniska_FineCredit.ipynb, requirements.txt, Kaniska_FineCredit_ProjectReport.docx, and README.md.</w:t>
      </w:r>
    </w:p>
    <w:p>
      <w:pPr>
        <w:pStyle w:val="Heading1"/>
      </w:pPr>
      <w:r>
        <w:t>9. Limitations, Ethics, and Future Work</w:t>
      </w:r>
    </w:p>
    <w:p>
      <w:pPr>
        <w:pStyle w:val="ListBullet"/>
      </w:pPr>
      <w:r>
        <w:t>The data is synthetic, so measured performance cannot be transferred to a real population.</w:t>
      </w:r>
    </w:p>
    <w:p>
      <w:pPr>
        <w:pStyle w:val="ListBullet"/>
      </w:pPr>
      <w:r>
        <w:t>Alternative data may encode sensitive proxies or unequal access to digital services.</w:t>
      </w:r>
    </w:p>
    <w:p>
      <w:pPr>
        <w:pStyle w:val="ListBullet"/>
      </w:pPr>
      <w:r>
        <w:t>The fairness analysis is diagnostic and does not establish compliance with lending, privacy, or anti-discrimination law.</w:t>
      </w:r>
    </w:p>
    <w:p>
      <w:pPr>
        <w:pStyle w:val="ListBullet"/>
      </w:pPr>
      <w:r>
        <w:t>Production use requires consent, minimisation, access controls, drift monitoring, subgroup validation, adverse-action notices, appeals, human review, and legal/compliance assessment.</w:t>
      </w:r>
    </w:p>
    <w:p>
      <w:pPr>
        <w:pStyle w:val="ListBullet"/>
      </w:pPr>
      <w:r>
        <w:t>Future work could add calibrated uncertainty, temporal validation, confidence intervals for fairness metrics, model cards, stress tests, and formal governance.</w:t>
      </w:r>
    </w:p>
    <w:p>
      <w:pPr>
        <w:pStyle w:val="Heading1"/>
      </w:pPr>
      <w:r>
        <w:t>Conclusion</w:t>
      </w:r>
    </w:p>
    <w:p>
      <w:r>
        <w:t>Kaniska FineCredit demonstrates how predictive modeling, fairness constraints, explainability, and deployment interfaces can be combined in one reproducible project. Its principal value is as a transparent learning and prototyping artifact; any real credit decision must use validated data, accountable governance, and appropriate human oversight.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