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1. “Navigation Tool for Visually Challenged using Microcontroller”, Sabarish.S.</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 xml:space="preserve">2. “Smart walking stick - an electronic approach to assist visually disabled persons”, Mohammad Hazzaz Mahmud, Rana Saha, Sayemul Islam </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3. “Ultrasonic smart cane indicating a safe free path to blind people”, Arun G. Gaikwad 1, H. K. Waghmare2 1ME Embedded system Design, MIT Aurangabad 2 Assistant Professor Department of E&amp;TC, MIT Aurangabad</w:t>
      </w:r>
    </w:p>
    <w:p>
      <w:pPr>
        <w:pStyle w:val="8"/>
        <w:spacing w:after="48" w:afterLines="20"/>
        <w:jc w:val="both"/>
        <w:rPr>
          <w:rFonts w:ascii="Times New Roman" w:hAnsi="Times New Roman" w:cs="Times New Roman"/>
          <w:sz w:val="32"/>
          <w:szCs w:val="36"/>
        </w:rPr>
      </w:pPr>
      <w:r>
        <w:rPr>
          <w:rFonts w:hint="default" w:ascii="Times New Roman" w:hAnsi="Times New Roman"/>
          <w:sz w:val="24"/>
          <w:szCs w:val="24"/>
        </w:rPr>
        <w:t>4. “A Multidimensional Walking Aid for Visually Impaired Using Ultrasonic Sensors Network with Voice Guidance”, Olakanmi O. Oladayo</w:t>
      </w: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59264;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cs="Times New Roman"/>
          <w:b/>
          <w:bCs/>
          <w:sz w:val="28"/>
          <w:szCs w:val="28"/>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bookmarkStart w:id="1" w:name="_GoBack"/>
      <w:bookmarkEnd w:id="1"/>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 xml:space="preserve">11]https://www.researchgate.net/publication/356782700_IoT-Based_Smart_Blind_Stick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BN6PjbgBAACYAwAADgAAAAAAAAABACAAAAAeAQAAZHJzL2Uyb0RvYy54bWxQSwUGAAAAAAYABgBZ&#10;AQAASAUAAAAA&#10;">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p9ImtwEAAJgDAAAOAAAAAAAAAAEAIAAAAB4BAABkcnMvZTJvRG9jLnhtbFBLBQYAAAAABgAGAFkB&#10;AABHBQAAAAA=&#10;">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9CE504F"/>
    <w:rsid w:val="565F35CD"/>
    <w:rsid w:val="5D170AE5"/>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2058</Words>
  <Characters>12118</Characters>
  <Lines>55</Lines>
  <Paragraphs>15</Paragraphs>
  <TotalTime>18</TotalTime>
  <ScaleCrop>false</ScaleCrop>
  <LinksUpToDate>false</LinksUpToDate>
  <CharactersWithSpaces>14083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Digital Outlet</cp:lastModifiedBy>
  <dcterms:modified xsi:type="dcterms:W3CDTF">2022-11-26T17:37:54Z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