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845" w:rsidRDefault="0021217E">
      <w:pPr>
        <w:spacing w:line="400" w:lineRule="atLeast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  <w:u w:val="single"/>
        </w:rPr>
        <w:t xml:space="preserve"> </w:t>
      </w:r>
    </w:p>
    <w:tbl>
      <w:tblPr>
        <w:tblW w:w="79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2543"/>
        <w:gridCol w:w="5362"/>
      </w:tblGrid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第一章（专题一）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第一讲 国防概述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第二讲 国防法规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第三讲 国防建设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第四讲 国防动员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第五讲 武装力量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第二章（专题二）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第六讲 国家安全概述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第七讲 国家安全形势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第八讲 国际战略形势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第三章（专题三）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第九讲 中国古代军事思想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第十讲 毛泽东军事思想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第十一讲 当代中国军事思想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第十二讲 习</w:t>
            </w:r>
            <w:proofErr w:type="gramStart"/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近平强军</w:t>
            </w:r>
            <w:proofErr w:type="gramEnd"/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思想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第四章（专题四）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第十三讲 新军事革命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第十四讲 信息化战争</w:t>
            </w:r>
            <w:r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概述</w:t>
            </w:r>
          </w:p>
        </w:tc>
      </w:tr>
      <w:tr w:rsidR="00E71A34" w:rsidTr="00E71A34">
        <w:trPr>
          <w:cantSplit/>
          <w:trHeight w:val="284"/>
          <w:jc w:val="center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第五章（专题五）</w:t>
            </w:r>
          </w:p>
        </w:tc>
        <w:tc>
          <w:tcPr>
            <w:tcW w:w="5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A34" w:rsidRPr="00594BF7" w:rsidRDefault="00E71A34" w:rsidP="004A4EE8">
            <w:pPr>
              <w:spacing w:line="400" w:lineRule="atLeast"/>
              <w:rPr>
                <w:rFonts w:ascii="方正粗黑宋简体" w:eastAsia="方正粗黑宋简体" w:hAnsi="方正粗黑宋简体" w:cs="Times New Roman"/>
                <w:color w:val="000000" w:themeColor="text1"/>
                <w:sz w:val="28"/>
                <w:szCs w:val="28"/>
              </w:rPr>
            </w:pPr>
            <w:r w:rsidRPr="00594BF7">
              <w:rPr>
                <w:rFonts w:ascii="方正粗黑宋简体" w:eastAsia="方正粗黑宋简体" w:hAnsi="方正粗黑宋简体" w:cs="Times New Roman" w:hint="eastAsia"/>
                <w:color w:val="000000" w:themeColor="text1"/>
                <w:sz w:val="28"/>
                <w:szCs w:val="28"/>
              </w:rPr>
              <w:t>第十五讲 信息化作战平台</w:t>
            </w:r>
          </w:p>
        </w:tc>
      </w:tr>
    </w:tbl>
    <w:p w:rsidR="00F22845" w:rsidRDefault="00F22845" w:rsidP="00224543">
      <w:pPr>
        <w:spacing w:beforeLines="50" w:before="156"/>
        <w:outlineLvl w:val="0"/>
        <w:rPr>
          <w:rFonts w:ascii="仿宋_GB2312" w:eastAsia="仿宋_GB2312" w:hAnsi="Times New Roman" w:cs="Times New Roman"/>
          <w:szCs w:val="24"/>
        </w:rPr>
      </w:pPr>
    </w:p>
    <w:p w:rsidR="00537DBB" w:rsidRDefault="00537DBB" w:rsidP="00224543">
      <w:pPr>
        <w:spacing w:beforeLines="50" w:before="156"/>
        <w:outlineLvl w:val="0"/>
        <w:rPr>
          <w:rFonts w:ascii="方正粗黑宋简体" w:eastAsia="方正粗黑宋简体" w:hAnsi="方正粗黑宋简体" w:cs="Times New Roman"/>
          <w:b/>
          <w:color w:val="FF0000"/>
          <w:sz w:val="36"/>
          <w:szCs w:val="36"/>
        </w:rPr>
      </w:pPr>
      <w:r w:rsidRPr="00537DBB">
        <w:rPr>
          <w:rFonts w:ascii="方正粗黑宋简体" w:eastAsia="方正粗黑宋简体" w:hAnsi="方正粗黑宋简体" w:cs="Times New Roman" w:hint="eastAsia"/>
          <w:b/>
          <w:color w:val="FF0000"/>
          <w:sz w:val="36"/>
          <w:szCs w:val="36"/>
        </w:rPr>
        <w:t>考试</w:t>
      </w:r>
      <w:r w:rsidR="00A35141">
        <w:rPr>
          <w:rFonts w:ascii="方正粗黑宋简体" w:eastAsia="方正粗黑宋简体" w:hAnsi="方正粗黑宋简体" w:cs="Times New Roman" w:hint="eastAsia"/>
          <w:b/>
          <w:color w:val="FF0000"/>
          <w:sz w:val="36"/>
          <w:szCs w:val="36"/>
        </w:rPr>
        <w:t>时间安排</w:t>
      </w:r>
      <w:bookmarkStart w:id="0" w:name="_GoBack"/>
      <w:bookmarkEnd w:id="0"/>
    </w:p>
    <w:p w:rsidR="00537DBB" w:rsidRPr="00412447" w:rsidRDefault="00A35141" w:rsidP="00224543">
      <w:pPr>
        <w:spacing w:beforeLines="50" w:before="156"/>
        <w:outlineLvl w:val="0"/>
        <w:rPr>
          <w:rFonts w:ascii="方正粗黑宋简体" w:eastAsia="方正粗黑宋简体" w:hAnsi="方正粗黑宋简体" w:cs="Times New Roman"/>
          <w:color w:val="FF0000"/>
          <w:sz w:val="32"/>
          <w:szCs w:val="32"/>
        </w:rPr>
      </w:pPr>
      <w:r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>数据网安：17周 周一</w:t>
      </w:r>
      <w:r w:rsidR="007016FA"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 xml:space="preserve">（6月8日） </w:t>
      </w:r>
      <w:r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>6-7节</w:t>
      </w:r>
    </w:p>
    <w:p w:rsidR="00A35141" w:rsidRPr="00412447" w:rsidRDefault="00A35141" w:rsidP="00A35141">
      <w:pPr>
        <w:spacing w:beforeLines="50" w:before="156"/>
        <w:outlineLvl w:val="0"/>
        <w:rPr>
          <w:rFonts w:ascii="方正粗黑宋简体" w:eastAsia="方正粗黑宋简体" w:hAnsi="方正粗黑宋简体" w:cs="Times New Roman"/>
          <w:color w:val="FF0000"/>
          <w:sz w:val="32"/>
          <w:szCs w:val="32"/>
        </w:rPr>
      </w:pPr>
      <w:r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>软件物联：17周 周四</w:t>
      </w:r>
      <w:r w:rsidR="007016FA"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 xml:space="preserve">（6月11日） </w:t>
      </w:r>
      <w:r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>11-12节</w:t>
      </w:r>
    </w:p>
    <w:p w:rsidR="00A35141" w:rsidRPr="00412447" w:rsidRDefault="00A35141" w:rsidP="00A35141">
      <w:pPr>
        <w:spacing w:beforeLines="50" w:before="156"/>
        <w:outlineLvl w:val="0"/>
        <w:rPr>
          <w:rFonts w:ascii="方正粗黑宋简体" w:eastAsia="方正粗黑宋简体" w:hAnsi="方正粗黑宋简体" w:cs="Times New Roman"/>
          <w:color w:val="FF0000"/>
          <w:sz w:val="32"/>
          <w:szCs w:val="32"/>
        </w:rPr>
      </w:pPr>
      <w:r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>机械Y汽服：17周 周五</w:t>
      </w:r>
      <w:r w:rsidR="007016FA"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>（6月12日）</w:t>
      </w:r>
      <w:r w:rsidRPr="00412447">
        <w:rPr>
          <w:rFonts w:ascii="方正粗黑宋简体" w:eastAsia="方正粗黑宋简体" w:hAnsi="方正粗黑宋简体" w:cs="Times New Roman" w:hint="eastAsia"/>
          <w:color w:val="FF0000"/>
          <w:sz w:val="32"/>
          <w:szCs w:val="32"/>
        </w:rPr>
        <w:t xml:space="preserve"> 8-9节</w:t>
      </w:r>
    </w:p>
    <w:p w:rsidR="00A35141" w:rsidRDefault="00A35141" w:rsidP="00A35141">
      <w:pPr>
        <w:spacing w:beforeLines="50" w:before="156"/>
        <w:outlineLvl w:val="0"/>
        <w:rPr>
          <w:rFonts w:ascii="方正粗黑宋简体" w:eastAsia="方正粗黑宋简体" w:hAnsi="方正粗黑宋简体" w:cs="Times New Roman"/>
          <w:b/>
          <w:sz w:val="36"/>
          <w:szCs w:val="36"/>
        </w:rPr>
      </w:pPr>
    </w:p>
    <w:p w:rsidR="00A35141" w:rsidRPr="00A35141" w:rsidRDefault="00A35141" w:rsidP="00224543">
      <w:pPr>
        <w:spacing w:beforeLines="50" w:before="156"/>
        <w:outlineLvl w:val="0"/>
        <w:rPr>
          <w:rFonts w:ascii="方正粗黑宋简体" w:eastAsia="方正粗黑宋简体" w:hAnsi="方正粗黑宋简体" w:cs="Times New Roman"/>
          <w:b/>
          <w:sz w:val="36"/>
          <w:szCs w:val="36"/>
        </w:rPr>
      </w:pPr>
    </w:p>
    <w:p w:rsidR="00537DBB" w:rsidRPr="00537DBB" w:rsidRDefault="00537DBB" w:rsidP="00224543">
      <w:pPr>
        <w:spacing w:beforeLines="50" w:before="156"/>
        <w:outlineLvl w:val="0"/>
        <w:rPr>
          <w:rFonts w:ascii="方正粗黑宋简体" w:eastAsia="方正粗黑宋简体" w:hAnsi="方正粗黑宋简体" w:cs="Times New Roman"/>
          <w:b/>
          <w:color w:val="FF0000"/>
          <w:sz w:val="36"/>
          <w:szCs w:val="36"/>
        </w:rPr>
      </w:pPr>
    </w:p>
    <w:sectPr w:rsidR="00537DBB" w:rsidRPr="00537DBB">
      <w:headerReference w:type="default" r:id="rId9"/>
      <w:pgSz w:w="11906" w:h="16838"/>
      <w:pgMar w:top="1400" w:right="1600" w:bottom="1400" w:left="16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B88" w:rsidRDefault="00EF6B88">
      <w:r>
        <w:separator/>
      </w:r>
    </w:p>
  </w:endnote>
  <w:endnote w:type="continuationSeparator" w:id="0">
    <w:p w:rsidR="00EF6B88" w:rsidRDefault="00EF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B88" w:rsidRDefault="00EF6B88">
      <w:r>
        <w:separator/>
      </w:r>
    </w:p>
  </w:footnote>
  <w:footnote w:type="continuationSeparator" w:id="0">
    <w:p w:rsidR="00EF6B88" w:rsidRDefault="00EF6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845" w:rsidRDefault="00F22845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28"/>
    <w:rsid w:val="0003627D"/>
    <w:rsid w:val="00102B28"/>
    <w:rsid w:val="00103875"/>
    <w:rsid w:val="00146364"/>
    <w:rsid w:val="001759DB"/>
    <w:rsid w:val="0021217E"/>
    <w:rsid w:val="00224543"/>
    <w:rsid w:val="00281531"/>
    <w:rsid w:val="003F0638"/>
    <w:rsid w:val="00412447"/>
    <w:rsid w:val="0052037D"/>
    <w:rsid w:val="00537DBB"/>
    <w:rsid w:val="00594BF7"/>
    <w:rsid w:val="005D7567"/>
    <w:rsid w:val="00655D6C"/>
    <w:rsid w:val="007016FA"/>
    <w:rsid w:val="00711792"/>
    <w:rsid w:val="008070A4"/>
    <w:rsid w:val="00863583"/>
    <w:rsid w:val="00877E99"/>
    <w:rsid w:val="008A39FD"/>
    <w:rsid w:val="008B48F2"/>
    <w:rsid w:val="008F3988"/>
    <w:rsid w:val="00933CB9"/>
    <w:rsid w:val="0099286F"/>
    <w:rsid w:val="00A02DA3"/>
    <w:rsid w:val="00A16D74"/>
    <w:rsid w:val="00A35141"/>
    <w:rsid w:val="00AD330B"/>
    <w:rsid w:val="00B15575"/>
    <w:rsid w:val="00C250BE"/>
    <w:rsid w:val="00C84EDD"/>
    <w:rsid w:val="00CB042C"/>
    <w:rsid w:val="00DC6E7D"/>
    <w:rsid w:val="00E02219"/>
    <w:rsid w:val="00E2447A"/>
    <w:rsid w:val="00E664C0"/>
    <w:rsid w:val="00E71A34"/>
    <w:rsid w:val="00ED5995"/>
    <w:rsid w:val="00EF6B88"/>
    <w:rsid w:val="00F22845"/>
    <w:rsid w:val="00F71945"/>
    <w:rsid w:val="00FC3463"/>
    <w:rsid w:val="00FE5979"/>
    <w:rsid w:val="11446947"/>
    <w:rsid w:val="281A775C"/>
    <w:rsid w:val="318A560D"/>
    <w:rsid w:val="3D7F3AC5"/>
    <w:rsid w:val="49970A59"/>
    <w:rsid w:val="50D34D51"/>
    <w:rsid w:val="73932F0A"/>
    <w:rsid w:val="7F90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58503-8951-496C-8A9A-9E39FC1DD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48</Words>
  <Characters>276</Characters>
  <Application>Microsoft Office Word</Application>
  <DocSecurity>0</DocSecurity>
  <Lines>2</Lines>
  <Paragraphs>1</Paragraphs>
  <ScaleCrop>false</ScaleCrop>
  <Company>000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20</cp:revision>
  <dcterms:created xsi:type="dcterms:W3CDTF">2014-02-24T07:26:00Z</dcterms:created>
  <dcterms:modified xsi:type="dcterms:W3CDTF">2020-05-25T14:55:00Z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