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XForge SDK Compiler Flow Documentation</w:t>
      </w:r>
    </w:p>
    <w:p>
      <w:pPr>
        <w:spacing w:after="240"/>
      </w:pPr>
      <w:r>
        <w:rPr>
          <w:rFonts w:ascii="Calibri" w:hAnsi="Calibri"/>
          <w:color w:val="596579"/>
          <w:sz w:val="21"/>
        </w:rPr>
        <w:t>Client-facing description of the model compiler, scheduler, and generic backend execution path. Prepared July 30, 2026.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Summary: The SDK compiles a YOLO TFLite model into generic MLIR tile operations, packages constants and manifests, and lets the hybrid runtime scheduler route work through CPU, emulator, or backend execution paths. Backend-facing details are presented through stable public labels only.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Compiler Flow</w:t>
      </w:r>
    </w:p>
    <w:p>
      <w:pPr>
        <w:spacing w:after="120" w:line="300" w:lineRule="auto"/>
      </w:pPr>
      <w:r>
        <w:rPr>
          <w:rFonts w:ascii="Calibri" w:hAnsi="Calibri"/>
          <w:color w:val="172033"/>
          <w:sz w:val="22"/>
        </w:rPr>
        <w:t>The compiler flow starts from a quantized YOLO TFLite model and converts supported operators into tiled MLIR operations. The emitted constants and manifests describe tensor shapes, tile boundaries, scheduling metadata, and backend-ready compute packets. The hybrid runtime scheduler then chooses the correct execution path for each operator and returns INT32 results to the scheduler for post-processing or the next scheduled tile.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" name="Picture 1" descr="Compiler flow from YOLO TFLite model through MLIR tile operations, scheduler, CPU path, neuromorphic emulator, backend, DDR buffers, reader/writer, engines, and INT32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piler_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color w:val="596579"/>
          <w:sz w:val="18"/>
        </w:rPr>
        <w:t>Figure 1. Public compiler and runtime dataflow.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Stage Responsibilities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100"/>
        <w:gridCol w:w="1900"/>
        <w:gridCol w:w="5360"/>
      </w:tblGrid>
      <w:tr>
        <w:tc>
          <w:tcPr>
            <w:tcW w:type="dxa" w:w="21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Stage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Role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Output / behavior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YOLO TFLite model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Input artifact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Provides the quantized model graph, weights, and tensor metadata.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TFLite frontend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Import and normalize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Reads the model, validates supported operators, and converts tensors into compiler-ready form.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Generic MLIR compiled tile ops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Lowered IR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Represents compute as tiled operations with explicit loop dimensions and data movement boundaries.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Constants and manifests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Packaged metadata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Stores weights, scales, shapes, tile plans, and runtime descriptors.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Hybrid runtime scheduler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Execution control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Partitions work across CPU, emulator, and backend paths based on operator type and availability.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CPU path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Digital fallback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Handles depthwise and digital operators that are not mapped to the compute backend.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Neuromorphic emulator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Software validation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Runs backend-compatible compute behavior without requiring a connected compute target.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Backend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Compute target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Accepts scheduled compute packets and exposes generic memory and engine interfaces.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DDR buffers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Tensor staging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Holds input tiles, intermediate tensors, constants, and result buffers.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Reader/writer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Data movement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Streams tensors between buffers and compute engines.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Engine 0 / Engine 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Parallel compute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Executes scheduled tile operations and emits INT32 partial or final results.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INT32 results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Result contract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Collects outputs from all paths and returns them to the scheduler for merge and continuation.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Runtime Dataflow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The TFLite frontend imports the model and normalizes graph, tensor, and quantization metadata.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The compiler lowers supported compute regions into generic MLIR tile operations.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Constants and manifests are generated so the runtime knows where each tile, tensor, scale, and weight block belongs.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The hybrid runtime scheduler routes depthwise and digital operators to the CPU path, validation work to the neuromorphic emulator, and mapped compute tiles to the backend.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The backend stages tensors through DDR buffers, streams them through the reader/writer interface, and dispatches work to Engine 0 and Engine 1.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2033"/>
          <w:sz w:val="22"/>
        </w:rPr>
        <w:t>Each execution path returns INT32 results to the scheduler, which merges outputs and continues the model graph.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Backend Naming Contract</w:t>
      </w:r>
    </w:p>
    <w:p>
      <w:pPr>
        <w:spacing w:after="120" w:line="300" w:lineRule="auto"/>
      </w:pPr>
      <w:r>
        <w:rPr>
          <w:rFonts w:ascii="Calibri" w:hAnsi="Calibri"/>
          <w:color w:val="172033"/>
          <w:sz w:val="22"/>
        </w:rPr>
        <w:t>The public documentation uses stable abstraction names so clients can understand the execution behavior without depending on internal platform or board-specific details. These labels are the names that should appear in user-facing setup guides, diagrams, demos, and SDK logs.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Public label</w:t>
            </w:r>
          </w:p>
        </w:tc>
        <w:tc>
          <w:tcPr>
            <w:tcW w:type="dxa" w:w="68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Meaning in the compiler flow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Backend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The configured compute target selected by the scheduler.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DDR buffers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The public memory-staging abstraction for input, weight, intermediate, and output tensors.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Reader/writer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The generic data-movement interface between buffers and engines.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Engine 0 / Engine 1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Parallel compute lanes exposed by the backend abstraction.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2033"/>
                <w:sz w:val="20"/>
              </w:rPr>
              <w:t>Neuromorphic emulator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72033"/>
                <w:sz w:val="20"/>
              </w:rPr>
              <w:t>The software execution path used for backend-compatible validation.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Validation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Compile a known YOLO TFLite model and confirm the generated MLIR tile operation count is stable.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Check that constants and manifests are emitted with the expected tensor shapes, scales, and tile dimensions.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Run emulator mode and confirm INT32 outputs are generated without a connected backend target.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Run backend mode in the configured deployment and confirm buffer staging, reader/writer dispatch, and engine execution complete successfully.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Compare final detection outputs against a reference runtime within the accepted quantization tolerance.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2033"/>
          <w:sz w:val="22"/>
        </w:rPr>
        <w:t>Review client-facing logs and documentation to confirm only public backend labels are shown.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Client Deployment Notes</w:t>
      </w:r>
    </w:p>
    <w:p>
      <w:pPr>
        <w:spacing w:after="120" w:line="300" w:lineRule="auto"/>
      </w:pPr>
      <w:r>
        <w:rPr>
          <w:rFonts w:ascii="Calibri" w:hAnsi="Calibri"/>
          <w:color w:val="172033"/>
          <w:sz w:val="22"/>
        </w:rPr>
        <w:t>The SDK can be shared as a Python package for model compilation, manifest generation, emulator validation, and Streamlit-based demonstrations. A connected backend target is required only when the deployment is configured to run accelerated backend execution. Compile-only and emulator modes can run locally on the client machine.</w:t>
      </w:r>
    </w:p>
    <w:p>
      <w:pPr>
        <w:spacing w:after="120" w:line="300" w:lineRule="auto"/>
      </w:pPr>
      <w:r>
        <w:rPr>
          <w:rFonts w:ascii="Calibri" w:hAnsi="Calibri"/>
          <w:color w:val="172033"/>
          <w:sz w:val="22"/>
        </w:rPr>
        <w:t>For client installations, expose configuration options such as model path, output directory, emulator mode, backend mode, and result validation. Keep platform-specific settings inside deployment configuration files rather than public diagrams or user-facing package names.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96579"/>
        <w:sz w:val="18"/>
      </w:rPr>
      <w:t>Client-facing technical note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579"/>
        <w:sz w:val="18"/>
      </w:rPr>
      <w:t>XForge SDK - Compiler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XForge SDK Compiler Flow Documentation</dc:title>
  <dc:subject>Compiler flow and generic backend dataflow</dc:subject>
  <dc:creator>XForge SDK</dc:creator>
  <cp:keywords/>
  <dc:description>Generated client-facing compiler flow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