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Engineer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Simulation, 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  <w:lang w:val="en-US"/>
        </w:rPr>
        <w:t>I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build interactive training and visualization systems with strong attention to architecture, performance and production constraints. Recent work includes a medical angiography simulator with real-time X-ray-style rendering, catheter interaction, procedural workflow logic and a hardware-oriented C-arm control layer. Previously shipped and optimized a high-traffic Unity WebGL</w:t>
      </w:r>
      <w:r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product reaching 9M+ users at 40k DAU peak, plus nine standalone WebGL titles built on a shared codebase.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564D5234" w14:textId="60933A8B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Medical Training Simulator (NDA)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 xml:space="preserve"> 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(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>contract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)</w:t>
      </w:r>
    </w:p>
    <w:p w14:paraId="6F576896" w14:textId="77777777" w:rsidR="00317A16" w:rsidRPr="000D3E23" w:rsidRDefault="00000000">
      <w:pPr>
        <w:tabs>
          <w:tab w:val="right" w:pos="10106"/>
        </w:tabs>
        <w:spacing w:after="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Simulation Engineer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2025 to Present</w:t>
      </w:r>
    </w:p>
    <w:p w14:paraId="07542F38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Building core Unity systems for an angiography training simulator covering X-ray-style visualization, guidewire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="00FC1587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and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catheter interaction, contrast injection, C-arm operation and balloon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stent procedure logic.</w:t>
      </w:r>
    </w:p>
    <w:p w14:paraId="43A41A0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Worked with clinical reviewers to convert procedure requirements into simulator states, validation rules and instrument profiles.</w:t>
      </w:r>
    </w:p>
    <w:p w14:paraId="0987A8EF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real-time URP X-ray-style rendering pipeline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using density accumulation, multi-pass composition and instrument overlays.</w:t>
      </w:r>
    </w:p>
    <w:p w14:paraId="34688E4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Implemented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guidewire and catheter interaction</w:t>
      </w:r>
      <w:r w:rsidRPr="0027778C">
        <w:rPr>
          <w:rFonts w:ascii="Arial" w:hAnsi="Arial" w:cs="Arial"/>
          <w:color w:val="1A1A1A"/>
          <w:sz w:val="20"/>
          <w:szCs w:val="20"/>
        </w:rPr>
        <w:t>, proximal-end actuation and bifurcation handling, supporting 8 instrument profiles without per-instrument code branches.</w:t>
      </w:r>
    </w:p>
    <w:p w14:paraId="2A25F44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Developed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procedural balloon/stent workflow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with radius control, vessel deformation, state validation and deployment gating based on positioning and inflation state.</w:t>
      </w:r>
    </w:p>
    <w:p w14:paraId="0D194F7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Designed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hardware-abstraction layer for C-arm controls</w:t>
      </w:r>
      <w:r w:rsidRPr="0027778C">
        <w:rPr>
          <w:rFonts w:ascii="Arial" w:hAnsi="Arial" w:cs="Arial"/>
          <w:color w:val="1A1A1A"/>
          <w:sz w:val="20"/>
          <w:szCs w:val="20"/>
        </w:rPr>
        <w:t>, separating simulator logic from input devices and preparing the system for future physical rig integration.</w:t>
      </w:r>
    </w:p>
    <w:p w14:paraId="1F0B466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ScriptableObject-driven instrument framework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for collision settings, X-ray layer mapping and reusable rig slots, allowing new instrument profiles to be added through configuration rather than code.</w:t>
      </w:r>
    </w:p>
    <w:p w14:paraId="0E97B429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ShaderLab/HLSL, Burst, custom render features, ScriptableObjects, procedural meshes.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Engineer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to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high-traffic Unity WebGL product reaching 9M+ users at 40k DAU peak, plus nine standalone WebGL titles built on a shared codebase.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controller: spring-damper suspension with bump stops and sphere-cast wheel probes, drift, boost, downforce, air control and auto-recovery;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stack: AppLovin MAX with 13 mediation adapters, Unity IAP, Google Play Billing and Play Core in-app updates, plus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custom URP render features and passes, image-effect composition, X-ray-style visualization, WebGL shader budgeting, ShaderVariantCollection management,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 &amp; Simulation: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(spring-damper, sphere-cast, drift/boost/air-control), ConfigurableJoints, guidewire/catheter simulation, multi-rigidbody systems, procedural meshes, blendshape-driven deformation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to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to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