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Arial" w:cs="Arial" w:eastAsia="Arial" w:hAnsi="Arial"/>
          <w:b/>
          <w:bCs/>
          <w:color w:val="1F3864"/>
          <w:sz w:val="36"/>
          <w:szCs w:val="36"/>
        </w:rPr>
        <w:t xml:space="preserve">R02 Renewal Overdue Procedure</w:t>
      </w:r>
    </w:p>
    <w:p>
      <w:pPr>
        <w:spacing w:after="120"/>
      </w:pPr>
      <w:r>
        <w:rPr>
          <w:rFonts w:ascii="Arial" w:cs="Arial" w:eastAsia="Arial" w:hAnsi="Arial"/>
          <w:i/>
          <w:iCs/>
          <w:sz w:val="20"/>
          <w:szCs w:val="20"/>
        </w:rPr>
        <w:t xml:space="preserve">Procedure for handling an entity that is flagged by rule R02: registration status is ISSUED but the next renewal date has passed.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cantSplit/>
        </w:trPr>
        <w:tc>
          <w:tcPr>
            <w:tcW w:type="dxa" w:w="2400"/>
            <w:tcBorders>
              <w:top w:val="single" w:color="999999" w:sz="4"/>
              <w:left w:val="single" w:color="999999" w:sz="4"/>
              <w:bottom w:val="single" w:color="999999" w:sz="4"/>
              <w:right w:val="single" w:color="999999" w:sz="4"/>
            </w:tcBorders>
            <w:shd w:fill="EEF2F8" w:color="auto" w:val="clear"/>
            <w:tcMar>
              <w:top w:type="dxa" w:w="60"/>
              <w:left w:type="dxa" w:w="100"/>
              <w:bottom w:type="dxa" w:w="60"/>
              <w:right w:type="dxa" w:w="100"/>
            </w:tcMar>
          </w:tcPr>
          <w:p>
            <w:r>
              <w:rPr>
                <w:rFonts w:ascii="Arial" w:cs="Arial" w:eastAsia="Arial" w:hAnsi="Arial"/>
                <w:b/>
                <w:bCs/>
                <w:sz w:val="18"/>
                <w:szCs w:val="18"/>
              </w:rPr>
              <w:t xml:space="preserve">Document ID</w:t>
            </w:r>
          </w:p>
        </w:tc>
        <w:tc>
          <w:tcPr>
            <w:tcW w:type="dxa" w:w="7238"/>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18"/>
                <w:szCs w:val="18"/>
              </w:rPr>
              <w:t xml:space="preserve">SOP-R02-01</w:t>
            </w:r>
          </w:p>
        </w:tc>
      </w:tr>
      <w:tr>
        <w:trPr>
          <w:cantSplit/>
        </w:trPr>
        <w:tc>
          <w:tcPr>
            <w:tcW w:type="dxa" w:w="2400"/>
            <w:tcBorders>
              <w:top w:val="single" w:color="999999" w:sz="4"/>
              <w:left w:val="single" w:color="999999" w:sz="4"/>
              <w:bottom w:val="single" w:color="999999" w:sz="4"/>
              <w:right w:val="single" w:color="999999" w:sz="4"/>
            </w:tcBorders>
            <w:shd w:fill="EEF2F8" w:color="auto" w:val="clear"/>
            <w:tcMar>
              <w:top w:type="dxa" w:w="60"/>
              <w:left w:type="dxa" w:w="100"/>
              <w:bottom w:type="dxa" w:w="60"/>
              <w:right w:type="dxa" w:w="100"/>
            </w:tcMar>
          </w:tcPr>
          <w:p>
            <w:r>
              <w:rPr>
                <w:rFonts w:ascii="Arial" w:cs="Arial" w:eastAsia="Arial" w:hAnsi="Arial"/>
                <w:b/>
                <w:bCs/>
                <w:sz w:val="18"/>
                <w:szCs w:val="18"/>
              </w:rPr>
              <w:t xml:space="preserve">Title</w:t>
            </w:r>
          </w:p>
        </w:tc>
        <w:tc>
          <w:tcPr>
            <w:tcW w:type="dxa" w:w="7238"/>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18"/>
                <w:szCs w:val="18"/>
              </w:rPr>
              <w:t xml:space="preserve">R02 Renewal Overdue Procedure</w:t>
            </w:r>
          </w:p>
        </w:tc>
      </w:tr>
      <w:tr>
        <w:trPr>
          <w:cantSplit/>
        </w:trPr>
        <w:tc>
          <w:tcPr>
            <w:tcW w:type="dxa" w:w="2400"/>
            <w:tcBorders>
              <w:top w:val="single" w:color="999999" w:sz="4"/>
              <w:left w:val="single" w:color="999999" w:sz="4"/>
              <w:bottom w:val="single" w:color="999999" w:sz="4"/>
              <w:right w:val="single" w:color="999999" w:sz="4"/>
            </w:tcBorders>
            <w:shd w:fill="EEF2F8" w:color="auto" w:val="clear"/>
            <w:tcMar>
              <w:top w:type="dxa" w:w="60"/>
              <w:left w:type="dxa" w:w="100"/>
              <w:bottom w:type="dxa" w:w="60"/>
              <w:right w:type="dxa" w:w="100"/>
            </w:tcMar>
          </w:tcPr>
          <w:p>
            <w:r>
              <w:rPr>
                <w:rFonts w:ascii="Arial" w:cs="Arial" w:eastAsia="Arial" w:hAnsi="Arial"/>
                <w:b/>
                <w:bCs/>
                <w:sz w:val="18"/>
                <w:szCs w:val="18"/>
              </w:rPr>
              <w:t xml:space="preserve">Version</w:t>
            </w:r>
          </w:p>
        </w:tc>
        <w:tc>
          <w:tcPr>
            <w:tcW w:type="dxa" w:w="7238"/>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18"/>
                <w:szCs w:val="18"/>
              </w:rPr>
              <w:t xml:space="preserve">1.0</w:t>
            </w:r>
          </w:p>
        </w:tc>
      </w:tr>
      <w:tr>
        <w:trPr>
          <w:cantSplit/>
        </w:trPr>
        <w:tc>
          <w:tcPr>
            <w:tcW w:type="dxa" w:w="2400"/>
            <w:tcBorders>
              <w:top w:val="single" w:color="999999" w:sz="4"/>
              <w:left w:val="single" w:color="999999" w:sz="4"/>
              <w:bottom w:val="single" w:color="999999" w:sz="4"/>
              <w:right w:val="single" w:color="999999" w:sz="4"/>
            </w:tcBorders>
            <w:shd w:fill="EEF2F8" w:color="auto" w:val="clear"/>
            <w:tcMar>
              <w:top w:type="dxa" w:w="60"/>
              <w:left w:type="dxa" w:w="100"/>
              <w:bottom w:type="dxa" w:w="60"/>
              <w:right w:type="dxa" w:w="100"/>
            </w:tcMar>
          </w:tcPr>
          <w:p>
            <w:r>
              <w:rPr>
                <w:rFonts w:ascii="Arial" w:cs="Arial" w:eastAsia="Arial" w:hAnsi="Arial"/>
                <w:b/>
                <w:bCs/>
                <w:sz w:val="18"/>
                <w:szCs w:val="18"/>
              </w:rPr>
              <w:t xml:space="preserve">Date</w:t>
            </w:r>
          </w:p>
        </w:tc>
        <w:tc>
          <w:tcPr>
            <w:tcW w:type="dxa" w:w="7238"/>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18"/>
                <w:szCs w:val="18"/>
              </w:rPr>
              <w:t xml:space="preserve">2026-10-06</w:t>
            </w:r>
          </w:p>
        </w:tc>
      </w:tr>
      <w:tr>
        <w:trPr>
          <w:cantSplit/>
        </w:trPr>
        <w:tc>
          <w:tcPr>
            <w:tcW w:type="dxa" w:w="2400"/>
            <w:tcBorders>
              <w:top w:val="single" w:color="999999" w:sz="4"/>
              <w:left w:val="single" w:color="999999" w:sz="4"/>
              <w:bottom w:val="single" w:color="999999" w:sz="4"/>
              <w:right w:val="single" w:color="999999" w:sz="4"/>
            </w:tcBorders>
            <w:shd w:fill="EEF2F8" w:color="auto" w:val="clear"/>
            <w:tcMar>
              <w:top w:type="dxa" w:w="60"/>
              <w:left w:type="dxa" w:w="100"/>
              <w:bottom w:type="dxa" w:w="60"/>
              <w:right w:type="dxa" w:w="100"/>
            </w:tcMar>
          </w:tcPr>
          <w:p>
            <w:r>
              <w:rPr>
                <w:rFonts w:ascii="Arial" w:cs="Arial" w:eastAsia="Arial" w:hAnsi="Arial"/>
                <w:b/>
                <w:bCs/>
                <w:sz w:val="18"/>
                <w:szCs w:val="18"/>
              </w:rPr>
              <w:t xml:space="preserve">Author and owner</w:t>
            </w:r>
          </w:p>
        </w:tc>
        <w:tc>
          <w:tcPr>
            <w:tcW w:type="dxa" w:w="7238"/>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18"/>
                <w:szCs w:val="18"/>
              </w:rPr>
              <w:t xml:space="preserve">Kanishka Singh</w:t>
            </w:r>
          </w:p>
        </w:tc>
      </w:tr>
      <w:tr>
        <w:trPr>
          <w:cantSplit/>
        </w:trPr>
        <w:tc>
          <w:tcPr>
            <w:tcW w:type="dxa" w:w="2400"/>
            <w:tcBorders>
              <w:top w:val="single" w:color="999999" w:sz="4"/>
              <w:left w:val="single" w:color="999999" w:sz="4"/>
              <w:bottom w:val="single" w:color="999999" w:sz="4"/>
              <w:right w:val="single" w:color="999999" w:sz="4"/>
            </w:tcBorders>
            <w:shd w:fill="EEF2F8" w:color="auto" w:val="clear"/>
            <w:tcMar>
              <w:top w:type="dxa" w:w="60"/>
              <w:left w:type="dxa" w:w="100"/>
              <w:bottom w:type="dxa" w:w="60"/>
              <w:right w:type="dxa" w:w="100"/>
            </w:tcMar>
          </w:tcPr>
          <w:p>
            <w:r>
              <w:rPr>
                <w:rFonts w:ascii="Arial" w:cs="Arial" w:eastAsia="Arial" w:hAnsi="Arial"/>
                <w:b/>
                <w:bCs/>
                <w:sz w:val="18"/>
                <w:szCs w:val="18"/>
              </w:rPr>
              <w:t xml:space="preserve">Approver</w:t>
            </w:r>
          </w:p>
        </w:tc>
        <w:tc>
          <w:tcPr>
            <w:tcW w:type="dxa" w:w="7238"/>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18"/>
                <w:szCs w:val="18"/>
              </w:rPr>
              <w:t xml:space="preserve">Operations Manager (simulated role)</w:t>
            </w:r>
          </w:p>
        </w:tc>
      </w:tr>
      <w:tr>
        <w:trPr>
          <w:cantSplit/>
        </w:trPr>
        <w:tc>
          <w:tcPr>
            <w:tcW w:type="dxa" w:w="2400"/>
            <w:tcBorders>
              <w:top w:val="single" w:color="999999" w:sz="4"/>
              <w:left w:val="single" w:color="999999" w:sz="4"/>
              <w:bottom w:val="single" w:color="999999" w:sz="4"/>
              <w:right w:val="single" w:color="999999" w:sz="4"/>
            </w:tcBorders>
            <w:shd w:fill="EEF2F8" w:color="auto" w:val="clear"/>
            <w:tcMar>
              <w:top w:type="dxa" w:w="60"/>
              <w:left w:type="dxa" w:w="100"/>
              <w:bottom w:type="dxa" w:w="60"/>
              <w:right w:type="dxa" w:w="100"/>
            </w:tcMar>
          </w:tcPr>
          <w:p>
            <w:r>
              <w:rPr>
                <w:rFonts w:ascii="Arial" w:cs="Arial" w:eastAsia="Arial" w:hAnsi="Arial"/>
                <w:b/>
                <w:bCs/>
                <w:sz w:val="18"/>
                <w:szCs w:val="18"/>
              </w:rPr>
              <w:t xml:space="preserve">Status</w:t>
            </w:r>
          </w:p>
        </w:tc>
        <w:tc>
          <w:tcPr>
            <w:tcW w:type="dxa" w:w="7238"/>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18"/>
                <w:szCs w:val="18"/>
              </w:rPr>
              <w:t xml:space="preserve">Superseded by v1.1</w:t>
            </w:r>
          </w:p>
        </w:tc>
      </w:tr>
    </w:tbl>
    <w:p>
      <w:pPr>
        <w:spacing w:after="80"/>
      </w:pPr>
    </w:p>
    <w:p>
      <w:pPr>
        <w:pStyle w:val="Heading1"/>
        <w:spacing w:after="120" w:before="240"/>
      </w:pPr>
      <w:r>
        <w:rPr>
          <w:rFonts w:ascii="Arial" w:cs="Arial" w:eastAsia="Arial" w:hAnsi="Arial"/>
          <w:b/>
          <w:bCs/>
          <w:color w:val="1F3864"/>
          <w:sz w:val="26"/>
          <w:szCs w:val="26"/>
        </w:rPr>
        <w:t xml:space="preserve">1. Purpose and scope</w:t>
      </w:r>
    </w:p>
    <w:p>
      <w:pPr>
        <w:spacing w:after="120"/>
      </w:pPr>
      <w:r>
        <w:rPr>
          <w:rFonts w:ascii="Arial" w:cs="Arial" w:eastAsia="Arial" w:hAnsi="Arial"/>
          <w:sz w:val="20"/>
          <w:szCs w:val="20"/>
        </w:rPr>
        <w:t xml:space="preserve">This procedure sets out how a maker and a checker deal with a request whose entity record triggers rule R02. It covers the review, the client query, the decision, the record and the escalation. It applies to all four simulated request types (new account, signatory change, document refresh, data amendment).</w:t>
      </w:r>
    </w:p>
    <w:p>
      <w:pPr>
        <w:spacing w:after="120"/>
      </w:pPr>
      <w:r>
        <w:rPr>
          <w:rFonts w:ascii="Arial" w:cs="Arial" w:eastAsia="Arial" w:hAnsi="Arial"/>
          <w:sz w:val="20"/>
          <w:szCs w:val="20"/>
        </w:rPr>
        <w:t xml:space="preserve">Everything in this document is a simulation. Severity, action and SLA values are my assumptions. They are not Citi policy.</w:t>
      </w:r>
    </w:p>
    <w:p>
      <w:pPr>
        <w:pStyle w:val="Heading1"/>
        <w:spacing w:after="120" w:before="240"/>
      </w:pPr>
      <w:r>
        <w:rPr>
          <w:rFonts w:ascii="Arial" w:cs="Arial" w:eastAsia="Arial" w:hAnsi="Arial"/>
          <w:b/>
          <w:bCs/>
          <w:color w:val="1F3864"/>
          <w:sz w:val="26"/>
          <w:szCs w:val="26"/>
        </w:rPr>
        <w:t xml:space="preserve">2. Definition</w:t>
      </w:r>
    </w:p>
    <w:p>
      <w:pPr>
        <w:spacing w:after="120"/>
      </w:pPr>
      <w:r>
        <w:rPr>
          <w:rFonts w:ascii="Arial" w:cs="Arial" w:eastAsia="Arial" w:hAnsi="Arial"/>
          <w:sz w:val="20"/>
          <w:szCs w:val="20"/>
        </w:rPr>
        <w:t xml:space="preserve">R02 fires when the entity's registration status is ISSUED and its next renewal date is earlier than the as-of time (2026-10-04 16:00:00, the GLEIF publish time). R01 covers records that are not ISSUED. The two rules overlap in the raw data, but R02 is limited to ISSUED records so they stay distinct.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tblHeader/>
        </w:trPr>
        <w:tc>
          <w:tcPr>
            <w:tcW w:type="dxa" w:w="2400"/>
            <w:tcBorders>
              <w:top w:val="single" w:color="999999" w:sz="4"/>
              <w:left w:val="single" w:color="999999" w:sz="4"/>
              <w:bottom w:val="single" w:color="999999" w:sz="4"/>
              <w:right w:val="single" w:color="999999" w:sz="4"/>
            </w:tcBorders>
            <w:shd w:fill="1F3864" w:color="auto" w:val="clear"/>
            <w:tcMar>
              <w:top w:type="dxa" w:w="60"/>
              <w:left w:type="dxa" w:w="100"/>
              <w:bottom w:type="dxa" w:w="60"/>
              <w:right w:type="dxa" w:w="100"/>
            </w:tcMar>
          </w:tcPr>
          <w:p>
            <w:r>
              <w:rPr>
                <w:rFonts w:ascii="Arial" w:cs="Arial" w:eastAsia="Arial" w:hAnsi="Arial"/>
                <w:b/>
                <w:bCs/>
                <w:color w:val="FFFFFF"/>
                <w:sz w:val="18"/>
                <w:szCs w:val="18"/>
              </w:rPr>
              <w:t xml:space="preserve">Item</w:t>
            </w:r>
          </w:p>
        </w:tc>
        <w:tc>
          <w:tcPr>
            <w:tcW w:type="dxa" w:w="7238"/>
            <w:tcBorders>
              <w:top w:val="single" w:color="999999" w:sz="4"/>
              <w:left w:val="single" w:color="999999" w:sz="4"/>
              <w:bottom w:val="single" w:color="999999" w:sz="4"/>
              <w:right w:val="single" w:color="999999" w:sz="4"/>
            </w:tcBorders>
            <w:shd w:fill="1F3864" w:color="auto" w:val="clear"/>
            <w:tcMar>
              <w:top w:type="dxa" w:w="60"/>
              <w:left w:type="dxa" w:w="100"/>
              <w:bottom w:type="dxa" w:w="60"/>
              <w:right w:type="dxa" w:w="100"/>
            </w:tcMar>
          </w:tcPr>
          <w:p>
            <w:r>
              <w:rPr>
                <w:rFonts w:ascii="Arial" w:cs="Arial" w:eastAsia="Arial" w:hAnsi="Arial"/>
                <w:b/>
                <w:bCs/>
                <w:color w:val="FFFFFF"/>
                <w:sz w:val="18"/>
                <w:szCs w:val="18"/>
              </w:rPr>
              <w:t xml:space="preserve">Value (my assumption)</w:t>
            </w:r>
          </w:p>
        </w:tc>
      </w:tr>
      <w:tr>
        <w:trPr>
          <w:cantSplit/>
        </w:trPr>
        <w:tc>
          <w:tcPr>
            <w:tcW w:type="dxa" w:w="2400"/>
            <w:tcBorders>
              <w:top w:val="single" w:color="999999" w:sz="4"/>
              <w:left w:val="single" w:color="999999" w:sz="4"/>
              <w:bottom w:val="single" w:color="999999" w:sz="4"/>
              <w:right w:val="single" w:color="999999" w:sz="4"/>
            </w:tcBorders>
            <w:shd w:fill="EEF2F8" w:color="auto" w:val="clear"/>
            <w:tcMar>
              <w:top w:type="dxa" w:w="60"/>
              <w:left w:type="dxa" w:w="100"/>
              <w:bottom w:type="dxa" w:w="60"/>
              <w:right w:type="dxa" w:w="100"/>
            </w:tcMar>
          </w:tcPr>
          <w:p>
            <w:r>
              <w:rPr>
                <w:rFonts w:ascii="Arial" w:cs="Arial" w:eastAsia="Arial" w:hAnsi="Arial"/>
                <w:b/>
                <w:bCs/>
                <w:sz w:val="18"/>
                <w:szCs w:val="18"/>
              </w:rPr>
              <w:t xml:space="preserve">Severity</w:t>
            </w:r>
          </w:p>
        </w:tc>
        <w:tc>
          <w:tcPr>
            <w:tcW w:type="dxa" w:w="7238"/>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18"/>
                <w:szCs w:val="18"/>
              </w:rPr>
              <w:t xml:space="preserve">3 (highest)</w:t>
            </w:r>
          </w:p>
        </w:tc>
      </w:tr>
      <w:tr>
        <w:trPr>
          <w:cantSplit/>
        </w:trPr>
        <w:tc>
          <w:tcPr>
            <w:tcW w:type="dxa" w:w="2400"/>
            <w:tcBorders>
              <w:top w:val="single" w:color="999999" w:sz="4"/>
              <w:left w:val="single" w:color="999999" w:sz="4"/>
              <w:bottom w:val="single" w:color="999999" w:sz="4"/>
              <w:right w:val="single" w:color="999999" w:sz="4"/>
            </w:tcBorders>
            <w:shd w:fill="EEF2F8" w:color="auto" w:val="clear"/>
            <w:tcMar>
              <w:top w:type="dxa" w:w="60"/>
              <w:left w:type="dxa" w:w="100"/>
              <w:bottom w:type="dxa" w:w="60"/>
              <w:right w:type="dxa" w:w="100"/>
            </w:tcMar>
          </w:tcPr>
          <w:p>
            <w:r>
              <w:rPr>
                <w:rFonts w:ascii="Arial" w:cs="Arial" w:eastAsia="Arial" w:hAnsi="Arial"/>
                <w:b/>
                <w:bCs/>
                <w:sz w:val="18"/>
                <w:szCs w:val="18"/>
              </w:rPr>
              <w:t xml:space="preserve">Action</w:t>
            </w:r>
          </w:p>
        </w:tc>
        <w:tc>
          <w:tcPr>
            <w:tcW w:type="dxa" w:w="7238"/>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18"/>
                <w:szCs w:val="18"/>
              </w:rPr>
              <w:t xml:space="preserve">Escalate</w:t>
            </w:r>
          </w:p>
        </w:tc>
      </w:tr>
      <w:tr>
        <w:trPr>
          <w:cantSplit/>
        </w:trPr>
        <w:tc>
          <w:tcPr>
            <w:tcW w:type="dxa" w:w="2400"/>
            <w:tcBorders>
              <w:top w:val="single" w:color="999999" w:sz="4"/>
              <w:left w:val="single" w:color="999999" w:sz="4"/>
              <w:bottom w:val="single" w:color="999999" w:sz="4"/>
              <w:right w:val="single" w:color="999999" w:sz="4"/>
            </w:tcBorders>
            <w:shd w:fill="EEF2F8" w:color="auto" w:val="clear"/>
            <w:tcMar>
              <w:top w:type="dxa" w:w="60"/>
              <w:left w:type="dxa" w:w="100"/>
              <w:bottom w:type="dxa" w:w="60"/>
              <w:right w:type="dxa" w:w="100"/>
            </w:tcMar>
          </w:tcPr>
          <w:p>
            <w:r>
              <w:rPr>
                <w:rFonts w:ascii="Arial" w:cs="Arial" w:eastAsia="Arial" w:hAnsi="Arial"/>
                <w:b/>
                <w:bCs/>
                <w:sz w:val="18"/>
                <w:szCs w:val="18"/>
              </w:rPr>
              <w:t xml:space="preserve">SLA</w:t>
            </w:r>
          </w:p>
        </w:tc>
        <w:tc>
          <w:tcPr>
            <w:tcW w:type="dxa" w:w="7238"/>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18"/>
                <w:szCs w:val="18"/>
              </w:rPr>
              <w:t xml:space="preserve">48 hours</w:t>
            </w:r>
          </w:p>
        </w:tc>
      </w:tr>
      <w:tr>
        <w:trPr>
          <w:cantSplit/>
        </w:trPr>
        <w:tc>
          <w:tcPr>
            <w:tcW w:type="dxa" w:w="2400"/>
            <w:tcBorders>
              <w:top w:val="single" w:color="999999" w:sz="4"/>
              <w:left w:val="single" w:color="999999" w:sz="4"/>
              <w:bottom w:val="single" w:color="999999" w:sz="4"/>
              <w:right w:val="single" w:color="999999" w:sz="4"/>
            </w:tcBorders>
            <w:shd w:fill="EEF2F8" w:color="auto" w:val="clear"/>
            <w:tcMar>
              <w:top w:type="dxa" w:w="60"/>
              <w:left w:type="dxa" w:w="100"/>
              <w:bottom w:type="dxa" w:w="60"/>
              <w:right w:type="dxa" w:w="100"/>
            </w:tcMar>
          </w:tcPr>
          <w:p>
            <w:r>
              <w:rPr>
                <w:rFonts w:ascii="Arial" w:cs="Arial" w:eastAsia="Arial" w:hAnsi="Arial"/>
                <w:b/>
                <w:bCs/>
                <w:sz w:val="18"/>
                <w:szCs w:val="18"/>
              </w:rPr>
              <w:t xml:space="preserve">Rule source</w:t>
            </w:r>
          </w:p>
        </w:tc>
        <w:tc>
          <w:tcPr>
            <w:tcW w:type="dxa" w:w="7238"/>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18"/>
                <w:szCs w:val="18"/>
              </w:rPr>
              <w:t xml:space="preserve">rules/onboarding_rules.md</w:t>
            </w:r>
          </w:p>
        </w:tc>
      </w:tr>
    </w:tbl>
    <w:p>
      <w:pPr>
        <w:pStyle w:val="Heading1"/>
        <w:spacing w:after="120" w:before="240"/>
      </w:pPr>
      <w:r>
        <w:rPr>
          <w:rFonts w:ascii="Arial" w:cs="Arial" w:eastAsia="Arial" w:hAnsi="Arial"/>
          <w:b/>
          <w:bCs/>
          <w:color w:val="1F3864"/>
          <w:sz w:val="26"/>
          <w:szCs w:val="26"/>
        </w:rPr>
        <w:t xml:space="preserve">3. Roles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tblHeader/>
        </w:trPr>
        <w:tc>
          <w:tcPr>
            <w:tcW w:type="dxa" w:w="2400"/>
            <w:tcBorders>
              <w:top w:val="single" w:color="999999" w:sz="4"/>
              <w:left w:val="single" w:color="999999" w:sz="4"/>
              <w:bottom w:val="single" w:color="999999" w:sz="4"/>
              <w:right w:val="single" w:color="999999" w:sz="4"/>
            </w:tcBorders>
            <w:shd w:fill="1F3864" w:color="auto" w:val="clear"/>
            <w:tcMar>
              <w:top w:type="dxa" w:w="60"/>
              <w:left w:type="dxa" w:w="100"/>
              <w:bottom w:type="dxa" w:w="60"/>
              <w:right w:type="dxa" w:w="100"/>
            </w:tcMar>
          </w:tcPr>
          <w:p>
            <w:r>
              <w:rPr>
                <w:rFonts w:ascii="Arial" w:cs="Arial" w:eastAsia="Arial" w:hAnsi="Arial"/>
                <w:b/>
                <w:bCs/>
                <w:color w:val="FFFFFF"/>
                <w:sz w:val="18"/>
                <w:szCs w:val="18"/>
              </w:rPr>
              <w:t xml:space="preserve">Role</w:t>
            </w:r>
          </w:p>
        </w:tc>
        <w:tc>
          <w:tcPr>
            <w:tcW w:type="dxa" w:w="7238"/>
            <w:tcBorders>
              <w:top w:val="single" w:color="999999" w:sz="4"/>
              <w:left w:val="single" w:color="999999" w:sz="4"/>
              <w:bottom w:val="single" w:color="999999" w:sz="4"/>
              <w:right w:val="single" w:color="999999" w:sz="4"/>
            </w:tcBorders>
            <w:shd w:fill="1F3864" w:color="auto" w:val="clear"/>
            <w:tcMar>
              <w:top w:type="dxa" w:w="60"/>
              <w:left w:type="dxa" w:w="100"/>
              <w:bottom w:type="dxa" w:w="60"/>
              <w:right w:type="dxa" w:w="100"/>
            </w:tcMar>
          </w:tcPr>
          <w:p>
            <w:r>
              <w:rPr>
                <w:rFonts w:ascii="Arial" w:cs="Arial" w:eastAsia="Arial" w:hAnsi="Arial"/>
                <w:b/>
                <w:bCs/>
                <w:color w:val="FFFFFF"/>
                <w:sz w:val="18"/>
                <w:szCs w:val="18"/>
              </w:rPr>
              <w:t xml:space="preserve">Responsibility in this procedure</w:t>
            </w:r>
          </w:p>
        </w:tc>
      </w:tr>
      <w:tr>
        <w:trPr>
          <w:cantSplit/>
        </w:trPr>
        <w:tc>
          <w:tcPr>
            <w:tcW w:type="dxa" w:w="2400"/>
            <w:tcBorders>
              <w:top w:val="single" w:color="999999" w:sz="4"/>
              <w:left w:val="single" w:color="999999" w:sz="4"/>
              <w:bottom w:val="single" w:color="999999" w:sz="4"/>
              <w:right w:val="single" w:color="999999" w:sz="4"/>
            </w:tcBorders>
            <w:shd w:fill="EEF2F8" w:color="auto" w:val="clear"/>
            <w:tcMar>
              <w:top w:type="dxa" w:w="60"/>
              <w:left w:type="dxa" w:w="100"/>
              <w:bottom w:type="dxa" w:w="60"/>
              <w:right w:type="dxa" w:w="100"/>
            </w:tcMar>
          </w:tcPr>
          <w:p>
            <w:r>
              <w:rPr>
                <w:rFonts w:ascii="Arial" w:cs="Arial" w:eastAsia="Arial" w:hAnsi="Arial"/>
                <w:b/>
                <w:bCs/>
                <w:sz w:val="18"/>
                <w:szCs w:val="18"/>
              </w:rPr>
              <w:t xml:space="preserve">Maker</w:t>
            </w:r>
          </w:p>
        </w:tc>
        <w:tc>
          <w:tcPr>
            <w:tcW w:type="dxa" w:w="7238"/>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18"/>
                <w:szCs w:val="18"/>
              </w:rPr>
              <w:t xml:space="preserve">Reviews the flagged request, contacts the client, records the outcome</w:t>
            </w:r>
          </w:p>
        </w:tc>
      </w:tr>
      <w:tr>
        <w:trPr>
          <w:cantSplit/>
        </w:trPr>
        <w:tc>
          <w:tcPr>
            <w:tcW w:type="dxa" w:w="2400"/>
            <w:tcBorders>
              <w:top w:val="single" w:color="999999" w:sz="4"/>
              <w:left w:val="single" w:color="999999" w:sz="4"/>
              <w:bottom w:val="single" w:color="999999" w:sz="4"/>
              <w:right w:val="single" w:color="999999" w:sz="4"/>
            </w:tcBorders>
            <w:shd w:fill="EEF2F8" w:color="auto" w:val="clear"/>
            <w:tcMar>
              <w:top w:type="dxa" w:w="60"/>
              <w:left w:type="dxa" w:w="100"/>
              <w:bottom w:type="dxa" w:w="60"/>
              <w:right w:type="dxa" w:w="100"/>
            </w:tcMar>
          </w:tcPr>
          <w:p>
            <w:r>
              <w:rPr>
                <w:rFonts w:ascii="Arial" w:cs="Arial" w:eastAsia="Arial" w:hAnsi="Arial"/>
                <w:b/>
                <w:bCs/>
                <w:sz w:val="18"/>
                <w:szCs w:val="18"/>
              </w:rPr>
              <w:t xml:space="preserve">Checker</w:t>
            </w:r>
          </w:p>
        </w:tc>
        <w:tc>
          <w:tcPr>
            <w:tcW w:type="dxa" w:w="7238"/>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18"/>
                <w:szCs w:val="18"/>
              </w:rPr>
              <w:t xml:space="preserve">A different person from the maker. Verifies the maker's work and authorises the outcome</w:t>
            </w:r>
          </w:p>
        </w:tc>
      </w:tr>
      <w:tr>
        <w:trPr>
          <w:cantSplit/>
        </w:trPr>
        <w:tc>
          <w:tcPr>
            <w:tcW w:type="dxa" w:w="2400"/>
            <w:tcBorders>
              <w:top w:val="single" w:color="999999" w:sz="4"/>
              <w:left w:val="single" w:color="999999" w:sz="4"/>
              <w:bottom w:val="single" w:color="999999" w:sz="4"/>
              <w:right w:val="single" w:color="999999" w:sz="4"/>
            </w:tcBorders>
            <w:shd w:fill="EEF2F8" w:color="auto" w:val="clear"/>
            <w:tcMar>
              <w:top w:type="dxa" w:w="60"/>
              <w:left w:type="dxa" w:w="100"/>
              <w:bottom w:type="dxa" w:w="60"/>
              <w:right w:type="dxa" w:w="100"/>
            </w:tcMar>
          </w:tcPr>
          <w:p>
            <w:r>
              <w:rPr>
                <w:rFonts w:ascii="Arial" w:cs="Arial" w:eastAsia="Arial" w:hAnsi="Arial"/>
                <w:b/>
                <w:bCs/>
                <w:sz w:val="18"/>
                <w:szCs w:val="18"/>
              </w:rPr>
              <w:t xml:space="preserve">Team Lead</w:t>
            </w:r>
          </w:p>
        </w:tc>
        <w:tc>
          <w:tcPr>
            <w:tcW w:type="dxa" w:w="7238"/>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18"/>
                <w:szCs w:val="18"/>
              </w:rPr>
              <w:t xml:space="preserve">First escalation point. Decides on unclear cases</w:t>
            </w:r>
          </w:p>
        </w:tc>
      </w:tr>
      <w:tr>
        <w:trPr>
          <w:cantSplit/>
        </w:trPr>
        <w:tc>
          <w:tcPr>
            <w:tcW w:type="dxa" w:w="2400"/>
            <w:tcBorders>
              <w:top w:val="single" w:color="999999" w:sz="4"/>
              <w:left w:val="single" w:color="999999" w:sz="4"/>
              <w:bottom w:val="single" w:color="999999" w:sz="4"/>
              <w:right w:val="single" w:color="999999" w:sz="4"/>
            </w:tcBorders>
            <w:shd w:fill="EEF2F8" w:color="auto" w:val="clear"/>
            <w:tcMar>
              <w:top w:type="dxa" w:w="60"/>
              <w:left w:type="dxa" w:w="100"/>
              <w:bottom w:type="dxa" w:w="60"/>
              <w:right w:type="dxa" w:w="100"/>
            </w:tcMar>
          </w:tcPr>
          <w:p>
            <w:r>
              <w:rPr>
                <w:rFonts w:ascii="Arial" w:cs="Arial" w:eastAsia="Arial" w:hAnsi="Arial"/>
                <w:b/>
                <w:bCs/>
                <w:sz w:val="18"/>
                <w:szCs w:val="18"/>
              </w:rPr>
              <w:t xml:space="preserve">Operations Manager</w:t>
            </w:r>
          </w:p>
        </w:tc>
        <w:tc>
          <w:tcPr>
            <w:tcW w:type="dxa" w:w="7238"/>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18"/>
                <w:szCs w:val="18"/>
              </w:rPr>
              <w:t xml:space="preserve">Second escalation point if the SLA is missed</w:t>
            </w:r>
          </w:p>
        </w:tc>
      </w:tr>
    </w:tbl>
    <w:p>
      <w:pPr>
        <w:pStyle w:val="Heading1"/>
        <w:spacing w:after="120" w:before="240"/>
      </w:pPr>
      <w:r>
        <w:rPr>
          <w:rFonts w:ascii="Arial" w:cs="Arial" w:eastAsia="Arial" w:hAnsi="Arial"/>
          <w:b/>
          <w:bCs/>
          <w:color w:val="1F3864"/>
          <w:sz w:val="26"/>
          <w:szCs w:val="26"/>
        </w:rPr>
        <w:t xml:space="preserve">4. Procedure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1700"/>
        <w:gridCol w:w="4338"/>
        <w:gridCol w:w="2900"/>
      </w:tblGrid>
      <w:tr>
        <w:trPr>
          <w:tblHeader/>
        </w:trPr>
        <w:tc>
          <w:tcPr>
            <w:tcW w:type="dxa" w:w="700"/>
            <w:tcBorders>
              <w:top w:val="single" w:color="999999" w:sz="4"/>
              <w:left w:val="single" w:color="999999" w:sz="4"/>
              <w:bottom w:val="single" w:color="999999" w:sz="4"/>
              <w:right w:val="single" w:color="999999" w:sz="4"/>
            </w:tcBorders>
            <w:shd w:fill="1F3864" w:color="auto" w:val="clear"/>
            <w:tcMar>
              <w:top w:type="dxa" w:w="60"/>
              <w:left w:type="dxa" w:w="100"/>
              <w:bottom w:type="dxa" w:w="60"/>
              <w:right w:type="dxa" w:w="100"/>
            </w:tcMar>
          </w:tcPr>
          <w:p>
            <w:r>
              <w:rPr>
                <w:rFonts w:ascii="Arial" w:cs="Arial" w:eastAsia="Arial" w:hAnsi="Arial"/>
                <w:b/>
                <w:bCs/>
                <w:color w:val="FFFFFF"/>
                <w:sz w:val="17"/>
                <w:szCs w:val="17"/>
              </w:rPr>
              <w:t xml:space="preserve">Step</w:t>
            </w:r>
          </w:p>
        </w:tc>
        <w:tc>
          <w:tcPr>
            <w:tcW w:type="dxa" w:w="1700"/>
            <w:tcBorders>
              <w:top w:val="single" w:color="999999" w:sz="4"/>
              <w:left w:val="single" w:color="999999" w:sz="4"/>
              <w:bottom w:val="single" w:color="999999" w:sz="4"/>
              <w:right w:val="single" w:color="999999" w:sz="4"/>
            </w:tcBorders>
            <w:shd w:fill="1F3864" w:color="auto" w:val="clear"/>
            <w:tcMar>
              <w:top w:type="dxa" w:w="60"/>
              <w:left w:type="dxa" w:w="100"/>
              <w:bottom w:type="dxa" w:w="60"/>
              <w:right w:type="dxa" w:w="100"/>
            </w:tcMar>
          </w:tcPr>
          <w:p>
            <w:r>
              <w:rPr>
                <w:rFonts w:ascii="Arial" w:cs="Arial" w:eastAsia="Arial" w:hAnsi="Arial"/>
                <w:b/>
                <w:bCs/>
                <w:color w:val="FFFFFF"/>
                <w:sz w:val="17"/>
                <w:szCs w:val="17"/>
              </w:rPr>
              <w:t xml:space="preserve">Who</w:t>
            </w:r>
          </w:p>
        </w:tc>
        <w:tc>
          <w:tcPr>
            <w:tcW w:type="dxa" w:w="4338"/>
            <w:tcBorders>
              <w:top w:val="single" w:color="999999" w:sz="4"/>
              <w:left w:val="single" w:color="999999" w:sz="4"/>
              <w:bottom w:val="single" w:color="999999" w:sz="4"/>
              <w:right w:val="single" w:color="999999" w:sz="4"/>
            </w:tcBorders>
            <w:shd w:fill="1F3864" w:color="auto" w:val="clear"/>
            <w:tcMar>
              <w:top w:type="dxa" w:w="60"/>
              <w:left w:type="dxa" w:w="100"/>
              <w:bottom w:type="dxa" w:w="60"/>
              <w:right w:type="dxa" w:w="100"/>
            </w:tcMar>
          </w:tcPr>
          <w:p>
            <w:r>
              <w:rPr>
                <w:rFonts w:ascii="Arial" w:cs="Arial" w:eastAsia="Arial" w:hAnsi="Arial"/>
                <w:b/>
                <w:bCs/>
                <w:color w:val="FFFFFF"/>
                <w:sz w:val="17"/>
                <w:szCs w:val="17"/>
              </w:rPr>
              <w:t xml:space="preserve">Action</w:t>
            </w:r>
          </w:p>
        </w:tc>
        <w:tc>
          <w:tcPr>
            <w:tcW w:type="dxa" w:w="2900"/>
            <w:tcBorders>
              <w:top w:val="single" w:color="999999" w:sz="4"/>
              <w:left w:val="single" w:color="999999" w:sz="4"/>
              <w:bottom w:val="single" w:color="999999" w:sz="4"/>
              <w:right w:val="single" w:color="999999" w:sz="4"/>
            </w:tcBorders>
            <w:shd w:fill="1F3864" w:color="auto" w:val="clear"/>
            <w:tcMar>
              <w:top w:type="dxa" w:w="60"/>
              <w:left w:type="dxa" w:w="100"/>
              <w:bottom w:type="dxa" w:w="60"/>
              <w:right w:type="dxa" w:w="100"/>
            </w:tcMar>
          </w:tcPr>
          <w:p>
            <w:r>
              <w:rPr>
                <w:rFonts w:ascii="Arial" w:cs="Arial" w:eastAsia="Arial" w:hAnsi="Arial"/>
                <w:b/>
                <w:bCs/>
                <w:color w:val="FFFFFF"/>
                <w:sz w:val="17"/>
                <w:szCs w:val="17"/>
              </w:rPr>
              <w:t xml:space="preserve">Record</w:t>
            </w:r>
          </w:p>
        </w:tc>
      </w:tr>
      <w:tr>
        <w:trPr>
          <w:cantSplit/>
        </w:trPr>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sz w:val="17"/>
                <w:szCs w:val="17"/>
              </w:rPr>
              <w:t xml:space="preserve">1</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sz w:val="17"/>
                <w:szCs w:val="17"/>
              </w:rPr>
              <w:t xml:space="preserve">Maker</w:t>
            </w:r>
          </w:p>
        </w:tc>
        <w:tc>
          <w:tcPr>
            <w:tcW w:type="dxa" w:w="4338"/>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sz w:val="17"/>
                <w:szCs w:val="17"/>
              </w:rPr>
              <w:t xml:space="preserve">Open the request in Daily_Queue. Confirm that R02 is the reason for the flag and note the renewal date and the as-of time.</w:t>
            </w:r>
          </w:p>
        </w:tc>
        <w:tc>
          <w:tcPr>
            <w:tcW w:type="dxa" w:w="2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sz w:val="17"/>
                <w:szCs w:val="17"/>
              </w:rPr>
              <w:t xml:space="preserve">Daily_Queue</w:t>
            </w:r>
          </w:p>
        </w:tc>
      </w:tr>
      <w:tr>
        <w:trPr>
          <w:cantSplit/>
        </w:trPr>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sz w:val="17"/>
                <w:szCs w:val="17"/>
              </w:rPr>
              <w:t xml:space="preserve">2</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sz w:val="17"/>
                <w:szCs w:val="17"/>
              </w:rPr>
              <w:t xml:space="preserve">Maker</w:t>
            </w:r>
          </w:p>
        </w:tc>
        <w:tc>
          <w:tcPr>
            <w:tcW w:type="dxa" w:w="4338"/>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sz w:val="17"/>
                <w:szCs w:val="17"/>
              </w:rPr>
              <w:t xml:space="preserve">Check the entity's status again. If the renewal date has since moved forward, note this and go to step 6.</w:t>
            </w:r>
          </w:p>
        </w:tc>
        <w:tc>
          <w:tcPr>
            <w:tcW w:type="dxa" w:w="2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sz w:val="17"/>
                <w:szCs w:val="17"/>
              </w:rPr>
              <w:t xml:space="preserve">Checker_Log comment</w:t>
            </w:r>
          </w:p>
        </w:tc>
      </w:tr>
      <w:tr>
        <w:trPr>
          <w:cantSplit/>
        </w:trPr>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sz w:val="17"/>
                <w:szCs w:val="17"/>
              </w:rPr>
              <w:t xml:space="preserve">3</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sz w:val="17"/>
                <w:szCs w:val="17"/>
              </w:rPr>
              <w:t xml:space="preserve">Maker</w:t>
            </w:r>
          </w:p>
        </w:tc>
        <w:tc>
          <w:tcPr>
            <w:tcW w:type="dxa" w:w="4338"/>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sz w:val="17"/>
                <w:szCs w:val="17"/>
              </w:rPr>
              <w:t xml:space="preserve">Send the client a written query asking for confirmation of the renewal (see the sample replies). Do not guess or assume a renewal.</w:t>
            </w:r>
          </w:p>
        </w:tc>
        <w:tc>
          <w:tcPr>
            <w:tcW w:type="dxa" w:w="2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sz w:val="17"/>
                <w:szCs w:val="17"/>
              </w:rPr>
              <w:t xml:space="preserve">Query reply log</w:t>
            </w:r>
          </w:p>
        </w:tc>
      </w:tr>
      <w:tr>
        <w:trPr>
          <w:cantSplit/>
        </w:trPr>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sz w:val="17"/>
                <w:szCs w:val="17"/>
              </w:rPr>
              <w:t xml:space="preserve">4</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sz w:val="17"/>
                <w:szCs w:val="17"/>
              </w:rPr>
              <w:t xml:space="preserve">Maker</w:t>
            </w:r>
          </w:p>
        </w:tc>
        <w:tc>
          <w:tcPr>
            <w:tcW w:type="dxa" w:w="4338"/>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sz w:val="17"/>
                <w:szCs w:val="17"/>
              </w:rPr>
              <w:t xml:space="preserve">Record the client's answer and any documents received in the Lodgment_Log.</w:t>
            </w:r>
          </w:p>
        </w:tc>
        <w:tc>
          <w:tcPr>
            <w:tcW w:type="dxa" w:w="2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sz w:val="17"/>
                <w:szCs w:val="17"/>
              </w:rPr>
              <w:t xml:space="preserve">Lodgment_Log</w:t>
            </w:r>
          </w:p>
        </w:tc>
      </w:tr>
      <w:tr>
        <w:trPr>
          <w:cantSplit/>
        </w:trPr>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sz w:val="17"/>
                <w:szCs w:val="17"/>
              </w:rPr>
              <w:t xml:space="preserve">5</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sz w:val="17"/>
                <w:szCs w:val="17"/>
              </w:rPr>
              <w:t xml:space="preserve">Maker</w:t>
            </w:r>
          </w:p>
        </w:tc>
        <w:tc>
          <w:tcPr>
            <w:tcW w:type="dxa" w:w="4338"/>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sz w:val="17"/>
                <w:szCs w:val="17"/>
              </w:rPr>
              <w:t xml:space="preserve">If no answer arrives or the record cannot be confirmed, escalate to the Team Lead (section 6).</w:t>
            </w:r>
          </w:p>
        </w:tc>
        <w:tc>
          <w:tcPr>
            <w:tcW w:type="dxa" w:w="2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sz w:val="17"/>
                <w:szCs w:val="17"/>
              </w:rPr>
              <w:t xml:space="preserve">Checker_Log comment</w:t>
            </w:r>
          </w:p>
        </w:tc>
      </w:tr>
      <w:tr>
        <w:trPr>
          <w:cantSplit/>
        </w:trPr>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sz w:val="17"/>
                <w:szCs w:val="17"/>
              </w:rPr>
              <w:t xml:space="preserve">6</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sz w:val="17"/>
                <w:szCs w:val="17"/>
              </w:rPr>
              <w:t xml:space="preserve">Checker</w:t>
            </w:r>
          </w:p>
        </w:tc>
        <w:tc>
          <w:tcPr>
            <w:tcW w:type="dxa" w:w="4338"/>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sz w:val="17"/>
                <w:szCs w:val="17"/>
              </w:rPr>
              <w:t xml:space="preserve">Verify the maker's work. The checker must not be the maker. Accept or reject with an error type.</w:t>
            </w:r>
          </w:p>
        </w:tc>
        <w:tc>
          <w:tcPr>
            <w:tcW w:type="dxa" w:w="2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sz w:val="17"/>
                <w:szCs w:val="17"/>
              </w:rPr>
              <w:t xml:space="preserve">Checker_Log</w:t>
            </w:r>
          </w:p>
        </w:tc>
      </w:tr>
      <w:tr>
        <w:trPr>
          <w:cantSplit/>
        </w:trPr>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sz w:val="17"/>
                <w:szCs w:val="17"/>
              </w:rPr>
              <w:t xml:space="preserve">7</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sz w:val="17"/>
                <w:szCs w:val="17"/>
              </w:rPr>
              <w:t xml:space="preserve">Maker</w:t>
            </w:r>
          </w:p>
        </w:tc>
        <w:tc>
          <w:tcPr>
            <w:tcW w:type="dxa" w:w="4338"/>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sz w:val="17"/>
                <w:szCs w:val="17"/>
              </w:rPr>
              <w:t xml:space="preserve">Close the request, or hold it with a reason. Prepare completed items for archiving.</w:t>
            </w:r>
          </w:p>
        </w:tc>
        <w:tc>
          <w:tcPr>
            <w:tcW w:type="dxa" w:w="2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sz w:val="17"/>
                <w:szCs w:val="17"/>
              </w:rPr>
              <w:t xml:space="preserve">Daily_Queue, Archive_Manifest</w:t>
            </w:r>
          </w:p>
        </w:tc>
      </w:tr>
    </w:tbl>
    <w:p>
      <w:pPr>
        <w:pStyle w:val="Heading1"/>
        <w:spacing w:after="120" w:before="240"/>
      </w:pPr>
      <w:r>
        <w:rPr>
          <w:rFonts w:ascii="Arial" w:cs="Arial" w:eastAsia="Arial" w:hAnsi="Arial"/>
          <w:b/>
          <w:bCs/>
          <w:color w:val="1F3864"/>
          <w:sz w:val="26"/>
          <w:szCs w:val="26"/>
        </w:rPr>
        <w:t xml:space="preserve">5. Timeline</w:t>
      </w:r>
    </w:p>
    <w:p>
      <w:pPr>
        <w:spacing w:after="120"/>
      </w:pPr>
      <w:r>
        <w:rPr>
          <w:rFonts w:ascii="Arial" w:cs="Arial" w:eastAsia="Arial" w:hAnsi="Arial"/>
          <w:sz w:val="20"/>
          <w:szCs w:val="20"/>
        </w:rPr>
        <w:t xml:space="preserve">The SLA is 48 hours. In this simulation the clock starts when the rule hit is raised. Work should be finished, or escalated, before the SLA runs out.</w:t>
      </w:r>
    </w:p>
    <w:p>
      <w:pPr>
        <w:pStyle w:val="Heading1"/>
        <w:spacing w:after="120" w:before="240"/>
      </w:pPr>
      <w:r>
        <w:rPr>
          <w:rFonts w:ascii="Arial" w:cs="Arial" w:eastAsia="Arial" w:hAnsi="Arial"/>
          <w:b/>
          <w:bCs/>
          <w:color w:val="1F3864"/>
          <w:sz w:val="26"/>
          <w:szCs w:val="26"/>
        </w:rPr>
        <w:t xml:space="preserve">6. Escalation</w:t>
      </w:r>
    </w:p>
    <w:p>
      <w:pPr>
        <w:pStyle w:val="ListParagraph"/>
        <w:numPr>
          <w:ilvl w:val="0"/>
          <w:numId w:val="2"/>
        </w:numPr>
        <w:spacing w:after="60"/>
      </w:pPr>
      <w:r>
        <w:rPr>
          <w:rFonts w:ascii="Arial" w:cs="Arial" w:eastAsia="Arial" w:hAnsi="Arial"/>
          <w:sz w:val="20"/>
          <w:szCs w:val="20"/>
        </w:rPr>
        <w:t xml:space="preserve">Escalate to the Team Lead if the client does not reply, the renewal cannot be confirmed, or the case does not fit this procedure.</w:t>
      </w:r>
    </w:p>
    <w:p>
      <w:pPr>
        <w:pStyle w:val="ListParagraph"/>
        <w:numPr>
          <w:ilvl w:val="0"/>
          <w:numId w:val="2"/>
        </w:numPr>
        <w:spacing w:after="60"/>
      </w:pPr>
      <w:r>
        <w:rPr>
          <w:rFonts w:ascii="Arial" w:cs="Arial" w:eastAsia="Arial" w:hAnsi="Arial"/>
          <w:sz w:val="20"/>
          <w:szCs w:val="20"/>
        </w:rPr>
        <w:t xml:space="preserve">Escalate to the Operations Manager if the request is still open when the 48-hour SLA is reached.</w:t>
      </w:r>
    </w:p>
    <w:p>
      <w:pPr>
        <w:pStyle w:val="ListParagraph"/>
        <w:numPr>
          <w:ilvl w:val="0"/>
          <w:numId w:val="2"/>
        </w:numPr>
        <w:spacing w:after="60"/>
      </w:pPr>
      <w:r>
        <w:rPr>
          <w:rFonts w:ascii="Arial" w:cs="Arial" w:eastAsia="Arial" w:hAnsi="Arial"/>
          <w:sz w:val="20"/>
          <w:szCs w:val="20"/>
        </w:rPr>
        <w:t xml:space="preserve">Every escalation message gives the request ID, the rule (R02), the renewal date, the time raised, the steps already taken and what is needed.</w:t>
      </w:r>
    </w:p>
    <w:p>
      <w:pPr>
        <w:pStyle w:val="ListParagraph"/>
        <w:numPr>
          <w:ilvl w:val="0"/>
          <w:numId w:val="2"/>
        </w:numPr>
        <w:spacing w:after="60"/>
      </w:pPr>
      <w:r>
        <w:rPr>
          <w:rFonts w:ascii="Arial" w:cs="Arial" w:eastAsia="Arial" w:hAnsi="Arial"/>
          <w:sz w:val="20"/>
          <w:szCs w:val="20"/>
        </w:rPr>
        <w:t xml:space="preserve">The full list of rules and routes is in SOP-ESC-01, the escalation matrix.</w:t>
      </w:r>
    </w:p>
    <w:p>
      <w:pPr>
        <w:pStyle w:val="Heading1"/>
        <w:spacing w:after="120" w:before="240"/>
      </w:pPr>
      <w:r>
        <w:rPr>
          <w:rFonts w:ascii="Arial" w:cs="Arial" w:eastAsia="Arial" w:hAnsi="Arial"/>
          <w:b/>
          <w:bCs/>
          <w:color w:val="1F3864"/>
          <w:sz w:val="26"/>
          <w:szCs w:val="26"/>
        </w:rPr>
        <w:t xml:space="preserve">7. Controls</w:t>
      </w:r>
    </w:p>
    <w:p>
      <w:pPr>
        <w:pStyle w:val="ListParagraph"/>
        <w:numPr>
          <w:ilvl w:val="0"/>
          <w:numId w:val="2"/>
        </w:numPr>
        <w:spacing w:after="60"/>
      </w:pPr>
      <w:r>
        <w:rPr>
          <w:rFonts w:ascii="Arial" w:cs="Arial" w:eastAsia="Arial" w:hAnsi="Arial"/>
          <w:sz w:val="20"/>
          <w:szCs w:val="20"/>
        </w:rPr>
        <w:t xml:space="preserve">Maker-checker: the checker is never the maker (enforced by data validation in the Checker_Log sheet).</w:t>
      </w:r>
    </w:p>
    <w:p>
      <w:pPr>
        <w:pStyle w:val="ListParagraph"/>
        <w:numPr>
          <w:ilvl w:val="0"/>
          <w:numId w:val="2"/>
        </w:numPr>
        <w:spacing w:after="60"/>
      </w:pPr>
      <w:r>
        <w:rPr>
          <w:rFonts w:ascii="Arial" w:cs="Arial" w:eastAsia="Arial" w:hAnsi="Arial"/>
          <w:sz w:val="20"/>
          <w:szCs w:val="20"/>
        </w:rPr>
        <w:t xml:space="preserve">All outcomes are recorded in the Excel operations pack, which also holds the KPI checks.</w:t>
      </w:r>
    </w:p>
    <w:p>
      <w:pPr>
        <w:pStyle w:val="ListParagraph"/>
        <w:numPr>
          <w:ilvl w:val="0"/>
          <w:numId w:val="2"/>
        </w:numPr>
        <w:spacing w:after="60"/>
      </w:pPr>
      <w:r>
        <w:rPr>
          <w:rFonts w:ascii="Arial" w:cs="Arial" w:eastAsia="Arial" w:hAnsi="Arial"/>
          <w:sz w:val="20"/>
          <w:szCs w:val="20"/>
        </w:rPr>
        <w:t xml:space="preserve">No real names, phone numbers or emails appear in any record.</w:t>
      </w:r>
    </w:p>
    <w:p>
      <w:pPr>
        <w:pStyle w:val="Heading1"/>
        <w:spacing w:after="120" w:before="240"/>
      </w:pPr>
      <w:r>
        <w:rPr>
          <w:rFonts w:ascii="Arial" w:cs="Arial" w:eastAsia="Arial" w:hAnsi="Arial"/>
          <w:b/>
          <w:bCs/>
          <w:color w:val="1F3864"/>
          <w:sz w:val="26"/>
          <w:szCs w:val="26"/>
        </w:rPr>
        <w:t xml:space="preserve">8. Limits</w:t>
      </w:r>
    </w:p>
    <w:p>
      <w:pPr>
        <w:pStyle w:val="ListParagraph"/>
        <w:numPr>
          <w:ilvl w:val="0"/>
          <w:numId w:val="2"/>
        </w:numPr>
        <w:spacing w:after="60"/>
      </w:pPr>
      <w:r>
        <w:rPr>
          <w:rFonts w:ascii="Arial" w:cs="Arial" w:eastAsia="Arial" w:hAnsi="Arial"/>
          <w:sz w:val="20"/>
          <w:szCs w:val="20"/>
        </w:rPr>
        <w:t xml:space="preserve">The SLA is a catalogue value in the rules table. The simulation code does not read it, so changing it does not change simulated results.</w:t>
      </w:r>
    </w:p>
    <w:p>
      <w:pPr>
        <w:pStyle w:val="ListParagraph"/>
        <w:numPr>
          <w:ilvl w:val="0"/>
          <w:numId w:val="2"/>
        </w:numPr>
        <w:spacing w:after="60"/>
      </w:pPr>
      <w:r>
        <w:rPr>
          <w:rFonts w:ascii="Arial" w:cs="Arial" w:eastAsia="Arial" w:hAnsi="Arial"/>
          <w:sz w:val="20"/>
          <w:szCs w:val="20"/>
        </w:rPr>
        <w:t xml:space="preserve">This is a simulated procedure on real GLEIF entity data. It is not Citi data and not a bank procedure.</w:t>
      </w:r>
    </w:p>
    <w:p>
      <w:pPr>
        <w:pStyle w:val="Heading1"/>
        <w:spacing w:after="120" w:before="240"/>
      </w:pPr>
      <w:r>
        <w:rPr>
          <w:rFonts w:ascii="Arial" w:cs="Arial" w:eastAsia="Arial" w:hAnsi="Arial"/>
          <w:b/>
          <w:bCs/>
          <w:color w:val="1F3864"/>
          <w:sz w:val="26"/>
          <w:szCs w:val="26"/>
        </w:rPr>
        <w:t xml:space="preserve">9. Change log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0"/>
        <w:gridCol w:w="1900"/>
        <w:gridCol w:w="3000"/>
        <w:gridCol w:w="3438"/>
      </w:tblGrid>
      <w:tr>
        <w:trPr>
          <w:tblHeader/>
        </w:trPr>
        <w:tc>
          <w:tcPr>
            <w:tcW w:type="dxa" w:w="1300"/>
            <w:tcBorders>
              <w:top w:val="single" w:color="999999" w:sz="4"/>
              <w:left w:val="single" w:color="999999" w:sz="4"/>
              <w:bottom w:val="single" w:color="999999" w:sz="4"/>
              <w:right w:val="single" w:color="999999" w:sz="4"/>
            </w:tcBorders>
            <w:shd w:fill="1F3864" w:color="auto" w:val="clear"/>
            <w:tcMar>
              <w:top w:type="dxa" w:w="60"/>
              <w:left w:type="dxa" w:w="100"/>
              <w:bottom w:type="dxa" w:w="60"/>
              <w:right w:type="dxa" w:w="100"/>
            </w:tcMar>
          </w:tcPr>
          <w:p>
            <w:r>
              <w:rPr>
                <w:rFonts w:ascii="Arial" w:cs="Arial" w:eastAsia="Arial" w:hAnsi="Arial"/>
                <w:b/>
                <w:bCs/>
                <w:color w:val="FFFFFF"/>
                <w:sz w:val="17"/>
                <w:szCs w:val="17"/>
              </w:rPr>
              <w:t xml:space="preserve">Version</w:t>
            </w:r>
          </w:p>
        </w:tc>
        <w:tc>
          <w:tcPr>
            <w:tcW w:type="dxa" w:w="1900"/>
            <w:tcBorders>
              <w:top w:val="single" w:color="999999" w:sz="4"/>
              <w:left w:val="single" w:color="999999" w:sz="4"/>
              <w:bottom w:val="single" w:color="999999" w:sz="4"/>
              <w:right w:val="single" w:color="999999" w:sz="4"/>
            </w:tcBorders>
            <w:shd w:fill="1F3864" w:color="auto" w:val="clear"/>
            <w:tcMar>
              <w:top w:type="dxa" w:w="60"/>
              <w:left w:type="dxa" w:w="100"/>
              <w:bottom w:type="dxa" w:w="60"/>
              <w:right w:type="dxa" w:w="100"/>
            </w:tcMar>
          </w:tcPr>
          <w:p>
            <w:r>
              <w:rPr>
                <w:rFonts w:ascii="Arial" w:cs="Arial" w:eastAsia="Arial" w:hAnsi="Arial"/>
                <w:b/>
                <w:bCs/>
                <w:color w:val="FFFFFF"/>
                <w:sz w:val="17"/>
                <w:szCs w:val="17"/>
              </w:rPr>
              <w:t xml:space="preserve">Date</w:t>
            </w:r>
          </w:p>
        </w:tc>
        <w:tc>
          <w:tcPr>
            <w:tcW w:type="dxa" w:w="3000"/>
            <w:tcBorders>
              <w:top w:val="single" w:color="999999" w:sz="4"/>
              <w:left w:val="single" w:color="999999" w:sz="4"/>
              <w:bottom w:val="single" w:color="999999" w:sz="4"/>
              <w:right w:val="single" w:color="999999" w:sz="4"/>
            </w:tcBorders>
            <w:shd w:fill="1F3864" w:color="auto" w:val="clear"/>
            <w:tcMar>
              <w:top w:type="dxa" w:w="60"/>
              <w:left w:type="dxa" w:w="100"/>
              <w:bottom w:type="dxa" w:w="60"/>
              <w:right w:type="dxa" w:w="100"/>
            </w:tcMar>
          </w:tcPr>
          <w:p>
            <w:r>
              <w:rPr>
                <w:rFonts w:ascii="Arial" w:cs="Arial" w:eastAsia="Arial" w:hAnsi="Arial"/>
                <w:b/>
                <w:bCs/>
                <w:color w:val="FFFFFF"/>
                <w:sz w:val="17"/>
                <w:szCs w:val="17"/>
              </w:rPr>
              <w:t xml:space="preserve">Author</w:t>
            </w:r>
          </w:p>
        </w:tc>
        <w:tc>
          <w:tcPr>
            <w:tcW w:type="dxa" w:w="3438"/>
            <w:tcBorders>
              <w:top w:val="single" w:color="999999" w:sz="4"/>
              <w:left w:val="single" w:color="999999" w:sz="4"/>
              <w:bottom w:val="single" w:color="999999" w:sz="4"/>
              <w:right w:val="single" w:color="999999" w:sz="4"/>
            </w:tcBorders>
            <w:shd w:fill="1F3864" w:color="auto" w:val="clear"/>
            <w:tcMar>
              <w:top w:type="dxa" w:w="60"/>
              <w:left w:type="dxa" w:w="100"/>
              <w:bottom w:type="dxa" w:w="60"/>
              <w:right w:type="dxa" w:w="100"/>
            </w:tcMar>
          </w:tcPr>
          <w:p>
            <w:r>
              <w:rPr>
                <w:rFonts w:ascii="Arial" w:cs="Arial" w:eastAsia="Arial" w:hAnsi="Arial"/>
                <w:b/>
                <w:bCs/>
                <w:color w:val="FFFFFF"/>
                <w:sz w:val="17"/>
                <w:szCs w:val="17"/>
              </w:rPr>
              <w:t xml:space="preserve">Change</w:t>
            </w:r>
          </w:p>
        </w:tc>
      </w:tr>
      <w:tr>
        <w:trPr>
          <w:cantSplit/>
        </w:trPr>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sz w:val="17"/>
                <w:szCs w:val="17"/>
              </w:rPr>
              <w:t xml:space="preserve">1.0</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sz w:val="17"/>
                <w:szCs w:val="17"/>
              </w:rPr>
              <w:t xml:space="preserve">2026-10-06</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sz w:val="17"/>
                <w:szCs w:val="17"/>
              </w:rPr>
              <w:t xml:space="preserve">Kanishka Singh</w:t>
            </w:r>
          </w:p>
        </w:tc>
        <w:tc>
          <w:tcPr>
            <w:tcW w:type="dxa" w:w="3438"/>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sz w:val="17"/>
                <w:szCs w:val="17"/>
              </w:rPr>
              <w:t xml:space="preserve">Initial issue. R02 SLA 48 hours.</w:t>
            </w:r>
          </w:p>
        </w:tc>
      </w:tr>
    </w:tbl>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6"/>
        <w:szCs w:val="16"/>
      </w:rPr>
      <w:t xml:space="preserve">Simulated workflow on real GLEIF entity data. Not Citi data.   Page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666666"/>
        <w:sz w:val="16"/>
        <w:szCs w:val="16"/>
      </w:rPr>
      <w:t xml:space="preserve">SOP-R02-01  |  R02 Renewal Overdue Procedure  |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SOP-R02-01 R02 Renewal Overdue Procedure v1.0</dc:title>
  <dc:creator>Kanishka Singh</dc:creator>
  <cp:lastModifiedBy>Un-named</cp:lastModifiedBy>
  <cp:revision>1</cp:revision>
  <dcterms:created xsi:type="dcterms:W3CDTF">2026-10-06T09:06:13.063Z</dcterms:created>
  <dcterms:modified xsi:type="dcterms:W3CDTF">2026-10-06T09:06:13.069Z</dcterms:modified>
</cp:coreProperties>
</file>

<file path=docProps/custom.xml><?xml version="1.0" encoding="utf-8"?>
<Properties xmlns="http://schemas.openxmlformats.org/officeDocument/2006/custom-properties" xmlns:vt="http://schemas.openxmlformats.org/officeDocument/2006/docPropsVTypes"/>
</file>