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1F3864"/>
          <w:sz w:val="30"/>
          <w:szCs w:val="30"/>
        </w:rPr>
        <w:t xml:space="preserve">Onboarding Knowledge Sheet: my study notes</w:t>
      </w:r>
    </w:p>
    <w:p>
      <w:pPr>
        <w:spacing w:after="30"/>
      </w:pPr>
      <w:r>
        <w:rPr>
          <w:rFonts w:ascii="Arial" w:cs="Arial" w:eastAsia="Arial" w:hAnsi="Arial"/>
          <w:i/>
          <w:iCs/>
          <w:sz w:val="16"/>
          <w:szCs w:val="16"/>
        </w:rPr>
        <w:t xml:space="preserve">Institutional (legal entity) client onboarding in India. Public sources only. These are study notes, not bank policy: a bank's own procedures will differ.</w:t>
      </w:r>
    </w:p>
    <w:p>
      <w:pPr>
        <w:spacing w:after="40" w:before="100"/>
      </w:pPr>
      <w:r>
        <w:rPr>
          <w:rFonts w:ascii="Arial" w:cs="Arial" w:eastAsia="Arial" w:hAnsi="Arial"/>
          <w:b/>
          <w:bCs/>
          <w:color w:val="1F3864"/>
          <w:sz w:val="20"/>
          <w:szCs w:val="20"/>
        </w:rPr>
        <w:t xml:space="preserve">1. What a bank asks for, by entity type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3100"/>
      </w:tblGrid>
      <w:tr>
        <w:trPr>
          <w:tblHeader/>
        </w:trPr>
        <w:tc>
          <w:tcPr>
            <w:tcW w:type="dxa" w:w="1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6"/>
                <w:szCs w:val="16"/>
              </w:rPr>
              <w:t xml:space="preserve">Entity type</w:t>
            </w:r>
          </w:p>
        </w:tc>
        <w:tc>
          <w:tcPr>
            <w:tcW w:type="dxa" w:w="5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6"/>
                <w:szCs w:val="16"/>
              </w:rPr>
              <w:t xml:space="preserve">Documents (certified copies or equivalent e-documents)</w:t>
            </w:r>
          </w:p>
        </w:tc>
        <w:tc>
          <w:tcPr>
            <w:tcW w:type="dxa" w:w="31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6"/>
                <w:szCs w:val="16"/>
              </w:rPr>
              <w:t xml:space="preserve">Who is identified</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6"/>
                <w:szCs w:val="16"/>
              </w:rPr>
              <w:t xml:space="preserve">Company</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6"/>
                <w:szCs w:val="16"/>
              </w:rPr>
              <w:t xml:space="preserve">Certificate of incorporation; Memorandum and Articles of Association; PAN of the company; board resolution and power of attorney for those who transact; registered office and principal place of business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6"/>
                <w:szCs w:val="16"/>
              </w:rPr>
              <w:t xml:space="preserve">Beneficial owners; managers, officers or employees holding the power of attorney; senior management names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6"/>
                <w:szCs w:val="16"/>
              </w:rPr>
              <w:t xml:space="preserve">Partnership firm</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6"/>
                <w:szCs w:val="16"/>
              </w:rPr>
              <w:t xml:space="preserve">Registration certificate; partnership deed; PAN of the firm; registered office and principal place of business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6"/>
                <w:szCs w:val="16"/>
              </w:rPr>
              <w:t xml:space="preserve">Beneficial owners; all partners; attorney holders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6"/>
                <w:szCs w:val="16"/>
              </w:rPr>
              <w:t xml:space="preserve">Trust</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6"/>
                <w:szCs w:val="16"/>
              </w:rPr>
              <w:t xml:space="preserve">Registration certificate; trust deed; PAN or Form 60; registered office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6"/>
                <w:szCs w:val="16"/>
              </w:rPr>
              <w:t xml:space="preserve">Settlor, trustees, beneficiaries, protector, authors of the trust; trustees who are authorised to transact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6"/>
                <w:szCs w:val="16"/>
              </w:rPr>
              <w:t xml:space="preserve">Unincorporated association or body of individuals (includes societies)</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6"/>
                <w:szCs w:val="16"/>
              </w:rPr>
              <w:t xml:space="preserve">Resolution of the managing body; PAN or Form 60; power of attorney; information that establishes legal existence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6"/>
                <w:szCs w:val="16"/>
              </w:rPr>
              <w:t xml:space="preserve">Beneficial owners; attorney holders</w:t>
            </w:r>
          </w:p>
        </w:tc>
      </w:tr>
    </w:tbl>
    <w:p>
      <w:pPr>
        <w:spacing w:after="30"/>
      </w:pPr>
      <w:r>
        <w:rPr>
          <w:rFonts w:ascii="Arial" w:cs="Arial" w:eastAsia="Arial" w:hAnsi="Arial"/>
          <w:i/>
          <w:iCs/>
          <w:sz w:val="16"/>
          <w:szCs w:val="16"/>
        </w:rPr>
        <w:t xml:space="preserve">'Certified copy' means an authorised bank officer compares the copy with the original and records that. Individuals (owners, signatories) are identified with an officially valid document such as a passport, plus PAN or Form 60.</w:t>
      </w:r>
    </w:p>
    <w:p>
      <w:pPr>
        <w:spacing w:after="40" w:before="100"/>
      </w:pPr>
      <w:r>
        <w:rPr>
          <w:rFonts w:ascii="Arial" w:cs="Arial" w:eastAsia="Arial" w:hAnsi="Arial"/>
          <w:b/>
          <w:bCs/>
          <w:color w:val="1F3864"/>
          <w:sz w:val="20"/>
          <w:szCs w:val="20"/>
        </w:rPr>
        <w:t xml:space="preserve">2. Who counts as a beneficial owner</w:t>
      </w:r>
    </w:p>
    <w:p>
      <w:pPr>
        <w:pStyle w:val="ListParagraph"/>
        <w:numPr>
          <w:ilvl w:val="0"/>
          <w:numId w:val="2"/>
        </w:numPr>
        <w:spacing w:after="20"/>
      </w:pPr>
      <w:r>
        <w:rPr>
          <w:rFonts w:ascii="Arial" w:cs="Arial" w:eastAsia="Arial" w:hAnsi="Arial"/>
          <w:sz w:val="16"/>
          <w:szCs w:val="16"/>
        </w:rPr>
        <w:t xml:space="preserve">Company: a natural person with more than 10% of shares, capital or profits, or who controls the company in other ways (for example by appointing most directors).</w:t>
      </w:r>
    </w:p>
    <w:p>
      <w:pPr>
        <w:pStyle w:val="ListParagraph"/>
        <w:numPr>
          <w:ilvl w:val="0"/>
          <w:numId w:val="2"/>
        </w:numPr>
        <w:spacing w:after="20"/>
      </w:pPr>
      <w:r>
        <w:rPr>
          <w:rFonts w:ascii="Arial" w:cs="Arial" w:eastAsia="Arial" w:hAnsi="Arial"/>
          <w:sz w:val="16"/>
          <w:szCs w:val="16"/>
        </w:rPr>
        <w:t xml:space="preserve">Partnership firm: more than 10% of capital or profits. Unincorporated association or body of individuals: more than 15%.</w:t>
      </w:r>
    </w:p>
    <w:p>
      <w:pPr>
        <w:pStyle w:val="ListParagraph"/>
        <w:numPr>
          <w:ilvl w:val="0"/>
          <w:numId w:val="2"/>
        </w:numPr>
        <w:spacing w:after="20"/>
      </w:pPr>
      <w:r>
        <w:rPr>
          <w:rFonts w:ascii="Arial" w:cs="Arial" w:eastAsia="Arial" w:hAnsi="Arial"/>
          <w:sz w:val="16"/>
          <w:szCs w:val="16"/>
        </w:rPr>
        <w:t xml:space="preserve">Trust: the author, the trustees, beneficiaries with 10% or more, and anyone with ultimate effective control. If no owner is found, the senior managing official is used.</w:t>
      </w:r>
    </w:p>
    <w:p>
      <w:pPr>
        <w:pStyle w:val="ListParagraph"/>
        <w:numPr>
          <w:ilvl w:val="0"/>
          <w:numId w:val="2"/>
        </w:numPr>
        <w:spacing w:after="20"/>
      </w:pPr>
      <w:r>
        <w:rPr>
          <w:rFonts w:ascii="Arial" w:cs="Arial" w:eastAsia="Arial" w:hAnsi="Arial"/>
          <w:sz w:val="16"/>
          <w:szCs w:val="16"/>
        </w:rPr>
        <w:t xml:space="preserve">Entities listed on a stock exchange (in India or in notified jurisdictions), and their subsidiaries, do not need shareholders identified.</w:t>
      </w:r>
    </w:p>
    <w:p>
      <w:pPr>
        <w:pStyle w:val="ListParagraph"/>
        <w:numPr>
          <w:ilvl w:val="0"/>
          <w:numId w:val="2"/>
        </w:numPr>
        <w:spacing w:after="20"/>
      </w:pPr>
      <w:r>
        <w:rPr>
          <w:rFonts w:ascii="Arial" w:cs="Arial" w:eastAsia="Arial" w:hAnsi="Arial"/>
          <w:sz w:val="16"/>
          <w:szCs w:val="16"/>
        </w:rPr>
        <w:t xml:space="preserve">Link to my project: GLEIF parent data shows accounting consolidation, not beneficial ownership, so a missing parent is not proof that none exists.</w:t>
      </w:r>
    </w:p>
    <w:p>
      <w:pPr>
        <w:spacing w:after="40" w:before="100"/>
      </w:pPr>
      <w:r>
        <w:rPr>
          <w:rFonts w:ascii="Arial" w:cs="Arial" w:eastAsia="Arial" w:hAnsi="Arial"/>
          <w:b/>
          <w:bCs/>
          <w:color w:val="1F3864"/>
          <w:sz w:val="20"/>
          <w:szCs w:val="20"/>
        </w:rPr>
        <w:t xml:space="preserve">3. CDD, EDD and risk</w:t>
      </w:r>
    </w:p>
    <w:p>
      <w:pPr>
        <w:pStyle w:val="ListParagraph"/>
        <w:numPr>
          <w:ilvl w:val="0"/>
          <w:numId w:val="2"/>
        </w:numPr>
        <w:spacing w:after="20"/>
      </w:pPr>
      <w:r>
        <w:rPr>
          <w:rFonts w:ascii="Arial" w:cs="Arial" w:eastAsia="Arial" w:hAnsi="Arial"/>
          <w:sz w:val="16"/>
          <w:szCs w:val="16"/>
        </w:rPr>
        <w:t xml:space="preserve">CDD (customer due diligence): identify the customer and the beneficial owner, verify them from reliable independent sources, and understand the business, its ownership and control, and the purpose of the relationship.</w:t>
      </w:r>
    </w:p>
    <w:p>
      <w:pPr>
        <w:pStyle w:val="ListParagraph"/>
        <w:numPr>
          <w:ilvl w:val="0"/>
          <w:numId w:val="2"/>
        </w:numPr>
        <w:spacing w:after="20"/>
      </w:pPr>
      <w:r>
        <w:rPr>
          <w:rFonts w:ascii="Arial" w:cs="Arial" w:eastAsia="Arial" w:hAnsi="Arial"/>
          <w:sz w:val="16"/>
          <w:szCs w:val="16"/>
        </w:rPr>
        <w:t xml:space="preserve">EDD (enhanced due diligence) is added for higher risk. Examples in the RBI text: politically exposed persons (senior management approval, source of funds and wealth checked, enhanced monitoring), non-face-to-face onboarding (treated as high risk), and countries named in FATF statements.</w:t>
      </w:r>
    </w:p>
    <w:p>
      <w:pPr>
        <w:pStyle w:val="ListParagraph"/>
        <w:numPr>
          <w:ilvl w:val="0"/>
          <w:numId w:val="2"/>
        </w:numPr>
        <w:spacing w:after="20"/>
      </w:pPr>
      <w:r>
        <w:rPr>
          <w:rFonts w:ascii="Arial" w:cs="Arial" w:eastAsia="Arial" w:hAnsi="Arial"/>
          <w:sz w:val="16"/>
          <w:szCs w:val="16"/>
        </w:rPr>
        <w:t xml:space="preserve">Customers are rated low, medium or high risk. KYC is refreshed at least every 2 years for high risk, 8 for medium and 10 for low.</w:t>
      </w:r>
    </w:p>
    <w:p>
      <w:pPr>
        <w:pStyle w:val="ListParagraph"/>
        <w:numPr>
          <w:ilvl w:val="0"/>
          <w:numId w:val="2"/>
        </w:numPr>
        <w:spacing w:after="20"/>
      </w:pPr>
      <w:r>
        <w:rPr>
          <w:rFonts w:ascii="Arial" w:cs="Arial" w:eastAsia="Arial" w:hAnsi="Arial"/>
          <w:sz w:val="16"/>
          <w:szCs w:val="16"/>
        </w:rPr>
        <w:t xml:space="preserve">If CDD cannot be completed, the bank does not open the account, and the reason for any rejection is recorded.</w:t>
      </w:r>
    </w:p>
    <w:p>
      <w:pPr>
        <w:spacing w:after="40" w:before="100"/>
      </w:pPr>
      <w:r>
        <w:rPr>
          <w:rFonts w:ascii="Arial" w:cs="Arial" w:eastAsia="Arial" w:hAnsi="Arial"/>
          <w:b/>
          <w:bCs/>
          <w:color w:val="1F3864"/>
          <w:sz w:val="20"/>
          <w:szCs w:val="20"/>
        </w:rPr>
        <w:t xml:space="preserve">4. Authorised signatories</w:t>
      </w:r>
    </w:p>
    <w:p>
      <w:pPr>
        <w:spacing w:after="30"/>
      </w:pPr>
      <w:r>
        <w:rPr>
          <w:rFonts w:ascii="Arial" w:cs="Arial" w:eastAsia="Arial" w:hAnsi="Arial"/>
          <w:sz w:val="16"/>
          <w:szCs w:val="16"/>
        </w:rPr>
        <w:t xml:space="preserve">For a company, the bank holds the board resolution and power of attorney naming who may transact, and identity documents for each person holding that authority. A signatory change is therefore a document-evidence check, which is what my SOP-SIG-01 procedure covers.</w:t>
      </w:r>
    </w:p>
    <w:p>
      <w:pPr>
        <w:spacing w:after="40" w:before="100"/>
      </w:pPr>
      <w:r>
        <w:rPr>
          <w:rFonts w:ascii="Arial" w:cs="Arial" w:eastAsia="Arial" w:hAnsi="Arial"/>
          <w:b/>
          <w:bCs/>
          <w:color w:val="1F3864"/>
          <w:sz w:val="20"/>
          <w:szCs w:val="20"/>
        </w:rPr>
        <w:t xml:space="preserve">5. Where sanctions screening fits</w:t>
      </w:r>
    </w:p>
    <w:p>
      <w:pPr>
        <w:pStyle w:val="ListParagraph"/>
        <w:numPr>
          <w:ilvl w:val="0"/>
          <w:numId w:val="2"/>
        </w:numPr>
        <w:spacing w:after="20"/>
      </w:pPr>
      <w:r>
        <w:rPr>
          <w:rFonts w:ascii="Arial" w:cs="Arial" w:eastAsia="Arial" w:hAnsi="Arial"/>
          <w:sz w:val="16"/>
          <w:szCs w:val="16"/>
        </w:rPr>
        <w:t xml:space="preserve">At onboarding the bank must have a system that stops a customer matching a name on the sanctions lists, and the UN lists are checked every day. The India lists named in the RBI text include the UN Security Council ISIL (Da'esh) and Al-Qaida list and the Taliban list.</w:t>
      </w:r>
    </w:p>
    <w:p>
      <w:pPr>
        <w:pStyle w:val="ListParagraph"/>
        <w:numPr>
          <w:ilvl w:val="0"/>
          <w:numId w:val="2"/>
        </w:numPr>
        <w:spacing w:after="20"/>
      </w:pPr>
      <w:r>
        <w:rPr>
          <w:rFonts w:ascii="Arial" w:cs="Arial" w:eastAsia="Arial" w:hAnsi="Arial"/>
          <w:sz w:val="16"/>
          <w:szCs w:val="16"/>
        </w:rPr>
        <w:t xml:space="preserve">A name match is a lead to investigate, not a finding. The customer is not told about it: if tipping off is a risk, the bank stops CDD and files a suspicious transaction report instead. This is why my rule R06 says 'potential match for review only'.</w:t>
      </w:r>
    </w:p>
    <w:p>
      <w:pPr>
        <w:spacing w:after="40" w:before="100"/>
      </w:pPr>
      <w:r>
        <w:rPr>
          <w:rFonts w:ascii="Arial" w:cs="Arial" w:eastAsia="Arial" w:hAnsi="Arial"/>
          <w:b/>
          <w:bCs/>
          <w:color w:val="1F3864"/>
          <w:sz w:val="20"/>
          <w:szCs w:val="20"/>
        </w:rPr>
        <w:t xml:space="preserve">6. Records and archiving</w:t>
      </w:r>
    </w:p>
    <w:p>
      <w:pPr>
        <w:pStyle w:val="ListParagraph"/>
        <w:numPr>
          <w:ilvl w:val="0"/>
          <w:numId w:val="2"/>
        </w:numPr>
        <w:spacing w:after="20"/>
      </w:pPr>
      <w:r>
        <w:rPr>
          <w:rFonts w:ascii="Arial" w:cs="Arial" w:eastAsia="Arial" w:hAnsi="Arial"/>
          <w:sz w:val="16"/>
          <w:szCs w:val="16"/>
        </w:rPr>
        <w:t xml:space="preserve">Identification records are kept for at least five years after the relationship ends, and KYC records for companies go to the central KYC registry (CKYCR) within 10 days of opening. This is the basis for my Archive_Manifest retention note.</w:t>
      </w:r>
    </w:p>
    <w:p>
      <w:pPr>
        <w:spacing w:after="40" w:before="100"/>
      </w:pPr>
      <w:r>
        <w:rPr>
          <w:rFonts w:ascii="Arial" w:cs="Arial" w:eastAsia="Arial" w:hAnsi="Arial"/>
          <w:b/>
          <w:bCs/>
          <w:color w:val="1F3864"/>
          <w:sz w:val="20"/>
          <w:szCs w:val="20"/>
        </w:rPr>
        <w:t xml:space="preserve">Sources (checked 2026-10-06)</w:t>
      </w:r>
    </w:p>
    <w:p>
      <w:pPr>
        <w:spacing w:after="30"/>
      </w:pPr>
      <w:r>
        <w:rPr>
          <w:rFonts w:ascii="Arial" w:cs="Arial" w:eastAsia="Arial" w:hAnsi="Arial"/>
          <w:sz w:val="14"/>
          <w:szCs w:val="14"/>
        </w:rPr>
        <w:t xml:space="preserve">1. Reserve Bank of India, Commercial Banks – Know Your Customer Directions, 2025 (RBI/DOR/2025-26/169, 28 Nov 2025, updated 29 Dec 2025), rbi.org.in, Master Directions. I read the clause text in the Small Finance Banks version (RBI/DOR/2025-26/200), which has the same chapters, so check it against the commercial banks version before quoting any paragraph number.</w:t>
      </w:r>
    </w:p>
    <w:p>
      <w:pPr>
        <w:spacing w:after="30"/>
      </w:pPr>
      <w:r>
        <w:rPr>
          <w:rFonts w:ascii="Arial" w:cs="Arial" w:eastAsia="Arial" w:hAnsi="Arial"/>
          <w:sz w:val="14"/>
          <w:szCs w:val="14"/>
        </w:rPr>
        <w:t xml:space="preserve">2. FATF Recommendations 10 (customer due diligence), 12 (politically exposed persons), 19 (higher-risk countries), 24 and 25 (beneficial ownership), and FATF Guidance on Politically Exposed Persons, 2013, fatf-gafi.org. Read these on the FATF site before quoting.</w:t>
      </w:r>
    </w:p>
    <w:sectPr>
      <w:footerReference w:type="default" r:id="rId7"/>
      <w:pgSz w:w="11906" w:h="16838" w:orient="portrait"/>
      <w:pgMar w:top="560" w:right="850" w:bottom="56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Kanishka Singh. Study notes from public sources. Simulated workflow on real GLEIF entity data. Not Citi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Knowledge Sheet</dc:title>
  <dc:creator>Kanishka Singh</dc:creator>
  <cp:lastModifiedBy>Un-named</cp:lastModifiedBy>
  <cp:revision>1</cp:revision>
  <dcterms:created xsi:type="dcterms:W3CDTF">2026-10-06T09:19:45.028Z</dcterms:created>
  <dcterms:modified xsi:type="dcterms:W3CDTF">2026-10-06T09:19:45.033Z</dcterms:modified>
</cp:coreProperties>
</file>

<file path=docProps/custom.xml><?xml version="1.0" encoding="utf-8"?>
<Properties xmlns="http://schemas.openxmlformats.org/officeDocument/2006/custom-properties" xmlns:vt="http://schemas.openxmlformats.org/officeDocument/2006/docPropsVTypes"/>
</file>