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88897" w14:textId="77777777" w:rsidR="007C7EB5" w:rsidRDefault="00110E45">
      <w:pPr>
        <w:shd w:val="clear" w:color="auto" w:fill="FFFFFF"/>
        <w:spacing w:after="0" w:line="240" w:lineRule="auto"/>
        <w:outlineLvl w:val="5"/>
        <w:rPr>
          <w:rFonts w:ascii="Segoe UI" w:eastAsia="Times New Roman" w:hAnsi="Segoe UI" w:cs="Segoe UI"/>
          <w:b/>
          <w:bCs/>
          <w:kern w:val="0"/>
          <w:sz w:val="19"/>
          <w:szCs w:val="19"/>
        </w:rPr>
      </w:pPr>
      <w:r>
        <w:rPr>
          <w:rFonts w:ascii="Segoe UI" w:eastAsia="Times New Roman" w:hAnsi="Segoe UI" w:cs="Segoe UI"/>
          <w:b/>
          <w:bCs/>
          <w:kern w:val="0"/>
          <w:sz w:val="19"/>
          <w:szCs w:val="19"/>
        </w:rPr>
        <w:t>Transparency Trust Metrics</w:t>
      </w:r>
    </w:p>
    <w:p w14:paraId="0CFCC1B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Editors: Mark Lizar</w:t>
      </w:r>
    </w:p>
    <w:p w14:paraId="57A0D13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Contributors: </w:t>
      </w:r>
    </w:p>
    <w:p w14:paraId="4F87F4BD" w14:textId="77777777" w:rsidR="00502E0C" w:rsidRDefault="00502E0C">
      <w:pPr>
        <w:shd w:val="clear" w:color="auto" w:fill="FFFFFF"/>
        <w:spacing w:before="100" w:after="100" w:line="240" w:lineRule="auto"/>
        <w:rPr>
          <w:rFonts w:ascii="Segoe UI" w:eastAsia="Times New Roman" w:hAnsi="Segoe UI" w:cs="Segoe UI"/>
          <w:b/>
          <w:bCs/>
          <w:color w:val="172B4D"/>
          <w:spacing w:val="-1"/>
          <w:kern w:val="0"/>
          <w:sz w:val="24"/>
          <w:szCs w:val="24"/>
        </w:rPr>
      </w:pPr>
    </w:p>
    <w:p w14:paraId="2DC4DFDC" w14:textId="77777777" w:rsidR="007C7EB5" w:rsidRDefault="00110E45">
      <w:pPr>
        <w:shd w:val="clear" w:color="auto" w:fill="FFFFFF"/>
        <w:spacing w:before="100" w:after="100" w:line="240" w:lineRule="auto"/>
      </w:pPr>
      <w:r>
        <w:rPr>
          <w:rFonts w:ascii="Segoe UI" w:eastAsia="Times New Roman" w:hAnsi="Segoe UI" w:cs="Segoe UI"/>
          <w:b/>
          <w:bCs/>
          <w:color w:val="172B4D"/>
          <w:spacing w:val="-1"/>
          <w:kern w:val="0"/>
          <w:sz w:val="24"/>
          <w:szCs w:val="24"/>
        </w:rPr>
        <w:t>IPR Option:</w:t>
      </w:r>
    </w:p>
    <w:p w14:paraId="74CCD5A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ANCR Record Specification is </w:t>
      </w:r>
      <w:r w:rsidR="00502E0C">
        <w:rPr>
          <w:rFonts w:ascii="Segoe UI" w:eastAsia="Times New Roman" w:hAnsi="Segoe UI" w:cs="Segoe UI"/>
          <w:color w:val="172B4D"/>
          <w:spacing w:val="-1"/>
          <w:kern w:val="0"/>
          <w:sz w:val="24"/>
          <w:szCs w:val="24"/>
        </w:rPr>
        <w:t xml:space="preserve">required to be </w:t>
      </w:r>
      <w:proofErr w:type="gramStart"/>
      <w:r w:rsidR="00502E0C">
        <w:rPr>
          <w:rFonts w:ascii="Segoe UI" w:eastAsia="Times New Roman" w:hAnsi="Segoe UI" w:cs="Segoe UI"/>
          <w:color w:val="172B4D"/>
          <w:spacing w:val="-1"/>
          <w:kern w:val="0"/>
          <w:sz w:val="24"/>
          <w:szCs w:val="24"/>
        </w:rPr>
        <w:t xml:space="preserve">open </w:t>
      </w:r>
      <w:r>
        <w:rPr>
          <w:rFonts w:ascii="Segoe UI" w:eastAsia="Times New Roman" w:hAnsi="Segoe UI" w:cs="Segoe UI"/>
          <w:color w:val="172B4D"/>
          <w:spacing w:val="-1"/>
          <w:kern w:val="0"/>
          <w:sz w:val="24"/>
          <w:szCs w:val="24"/>
        </w:rPr>
        <w:t xml:space="preserve"> is</w:t>
      </w:r>
      <w:proofErr w:type="gramEnd"/>
      <w:r>
        <w:rPr>
          <w:rFonts w:ascii="Segoe UI" w:eastAsia="Times New Roman" w:hAnsi="Segoe UI" w:cs="Segoe UI"/>
          <w:color w:val="172B4D"/>
          <w:spacing w:val="-1"/>
          <w:kern w:val="0"/>
          <w:sz w:val="24"/>
          <w:szCs w:val="24"/>
        </w:rPr>
        <w:t xml:space="preserve"> specified under a Reasonable and Non</w:t>
      </w:r>
      <w:r>
        <w:rPr>
          <w:rFonts w:ascii="Segoe UI" w:eastAsia="Times New Roman" w:hAnsi="Segoe UI" w:cs="Segoe UI"/>
          <w:color w:val="172B4D"/>
          <w:spacing w:val="-1"/>
          <w:kern w:val="0"/>
          <w:sz w:val="24"/>
          <w:szCs w:val="24"/>
        </w:rPr>
        <w:noBreakHyphen/>
        <w:t>Discriminatory (RAND) agreement at the Kantara Initiative for submission to ISO/IEC SC 27 WG 5</w:t>
      </w:r>
    </w:p>
    <w:p w14:paraId="712D8CF5"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Presented for assessing conformance of the Transparency Code of Conduct(ref), </w:t>
      </w:r>
      <w:proofErr w:type="gramStart"/>
      <w:r>
        <w:rPr>
          <w:rFonts w:ascii="Segoe UI" w:eastAsia="Times New Roman" w:hAnsi="Segoe UI" w:cs="Segoe UI"/>
          <w:color w:val="172B4D"/>
          <w:spacing w:val="-1"/>
          <w:kern w:val="0"/>
          <w:sz w:val="24"/>
          <w:szCs w:val="24"/>
        </w:rPr>
        <w:t xml:space="preserve">for </w:t>
      </w:r>
      <w:r w:rsidR="00110E45">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implementing</w:t>
      </w:r>
      <w:proofErr w:type="gramEnd"/>
      <w:r>
        <w:rPr>
          <w:rFonts w:ascii="Segoe UI" w:eastAsia="Times New Roman" w:hAnsi="Segoe UI" w:cs="Segoe UI"/>
          <w:color w:val="172B4D"/>
          <w:spacing w:val="-1"/>
          <w:kern w:val="0"/>
          <w:sz w:val="24"/>
          <w:szCs w:val="24"/>
        </w:rPr>
        <w:t xml:space="preserve"> the Council of Europe 108+ Chapter III, Rights of the Data Subject, Section 1 Transparency and modalities Article 14, 1 – 8.    Internationally representative of notice and consent legal and social requirements, represented today with the privacy policy link, CCTV Sign, mandatory </w:t>
      </w:r>
      <w:proofErr w:type="gramStart"/>
      <w:r>
        <w:rPr>
          <w:rFonts w:ascii="Segoe UI" w:eastAsia="Times New Roman" w:hAnsi="Segoe UI" w:cs="Segoe UI"/>
          <w:color w:val="172B4D"/>
          <w:spacing w:val="-1"/>
          <w:kern w:val="0"/>
          <w:sz w:val="24"/>
          <w:szCs w:val="24"/>
        </w:rPr>
        <w:t>security</w:t>
      </w:r>
      <w:proofErr w:type="gramEnd"/>
      <w:r>
        <w:rPr>
          <w:rFonts w:ascii="Segoe UI" w:eastAsia="Times New Roman" w:hAnsi="Segoe UI" w:cs="Segoe UI"/>
          <w:color w:val="172B4D"/>
          <w:spacing w:val="-1"/>
          <w:kern w:val="0"/>
          <w:sz w:val="24"/>
          <w:szCs w:val="24"/>
        </w:rPr>
        <w:t xml:space="preserve"> or privacy notices, found when accessing public and, digital service spaces, in all domains and jurisdictions, referenced as practices, which implement, or support the implementation of this code of conduct.</w:t>
      </w:r>
    </w:p>
    <w:p w14:paraId="7B8587D0"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As a result, a special consideration, that this TPI specification MUST not have any dependency, that is not open, accessible, and available for public interest, digital </w:t>
      </w:r>
      <w:proofErr w:type="gramStart"/>
      <w:r>
        <w:rPr>
          <w:rFonts w:ascii="Segoe UI" w:eastAsia="Times New Roman" w:hAnsi="Segoe UI" w:cs="Segoe UI"/>
          <w:color w:val="172B4D"/>
          <w:spacing w:val="-1"/>
          <w:kern w:val="0"/>
          <w:sz w:val="24"/>
          <w:szCs w:val="24"/>
        </w:rPr>
        <w:t>transparency</w:t>
      </w:r>
      <w:proofErr w:type="gramEnd"/>
      <w:r>
        <w:rPr>
          <w:rFonts w:ascii="Segoe UI" w:eastAsia="Times New Roman" w:hAnsi="Segoe UI" w:cs="Segoe UI"/>
          <w:color w:val="172B4D"/>
          <w:spacing w:val="-1"/>
          <w:kern w:val="0"/>
          <w:sz w:val="24"/>
          <w:szCs w:val="24"/>
        </w:rPr>
        <w:t xml:space="preserve"> and consent technologies. </w:t>
      </w:r>
    </w:p>
    <w:p w14:paraId="4CB83DA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w:t>
      </w:r>
    </w:p>
    <w:p w14:paraId="5322430D"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specification relies on (open access to) ISO/IEC 29100 Security and privacy techniques, to generate a notice receipt, which is stored in a consent record, ANCR record format for conformity assessment.   Utilizing the Kantara Initiative Consent Receipt v1.1 </w:t>
      </w:r>
    </w:p>
    <w:p w14:paraId="64732E93"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31CEA9FA"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Patent &amp; Copyright: Reciprocal Royalty Free with Opt-out to Reasonable and Non</w:t>
      </w:r>
      <w:r w:rsidR="00502E0C">
        <w:rPr>
          <w:rFonts w:ascii="Segoe UI" w:eastAsia="Times New Roman" w:hAnsi="Segoe UI" w:cs="Segoe UI"/>
          <w:color w:val="172B4D"/>
          <w:spacing w:val="-1"/>
          <w:kern w:val="0"/>
          <w:sz w:val="24"/>
          <w:szCs w:val="24"/>
        </w:rPr>
        <w:t>-</w:t>
      </w:r>
      <w:r>
        <w:rPr>
          <w:rFonts w:ascii="Segoe UI" w:eastAsia="Times New Roman" w:hAnsi="Segoe UI" w:cs="Segoe UI"/>
          <w:color w:val="172B4D"/>
          <w:spacing w:val="-1"/>
          <w:kern w:val="0"/>
          <w:sz w:val="24"/>
          <w:szCs w:val="24"/>
        </w:rPr>
        <w:t>discriminatory (RAND)</w:t>
      </w:r>
    </w:p>
    <w:p w14:paraId="605B96DD" w14:textId="77777777" w:rsidR="007C7EB5" w:rsidRDefault="00110E45">
      <w:pPr>
        <w:shd w:val="clear" w:color="auto" w:fill="FFFFFF"/>
        <w:spacing w:before="100" w:after="100" w:line="240" w:lineRule="auto"/>
      </w:pPr>
      <w:r>
        <w:rPr>
          <w:rFonts w:ascii="Segoe UI" w:eastAsia="Times New Roman" w:hAnsi="Segoe UI" w:cs="Segoe UI"/>
          <w:b/>
          <w:bCs/>
          <w:color w:val="172B4D"/>
          <w:spacing w:val="-1"/>
          <w:kern w:val="0"/>
          <w:sz w:val="24"/>
          <w:szCs w:val="24"/>
        </w:rPr>
        <w:t>Suggested Citation: (upon WG approval)</w:t>
      </w:r>
    </w:p>
    <w:p w14:paraId="34B77B3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ANCR Specification v0.9</w:t>
      </w:r>
    </w:p>
    <w:p w14:paraId="7DFEF280"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NOTICE</w:t>
      </w:r>
    </w:p>
    <w:p w14:paraId="38AA0C91"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document has been prepared by participants of Kantara Initiative Inc. Permission is hereby granted to use the document solely for the purpose of implementing the Specification</w:t>
      </w:r>
      <w:r w:rsidR="00502E0C">
        <w:rPr>
          <w:rFonts w:ascii="Segoe UI" w:eastAsia="Times New Roman" w:hAnsi="Segoe UI" w:cs="Segoe UI"/>
          <w:color w:val="172B4D"/>
          <w:spacing w:val="-1"/>
          <w:kern w:val="0"/>
          <w:sz w:val="24"/>
          <w:szCs w:val="24"/>
        </w:rPr>
        <w:t>, for public benefit</w:t>
      </w:r>
      <w:r>
        <w:rPr>
          <w:rFonts w:ascii="Segoe UI" w:eastAsia="Times New Roman" w:hAnsi="Segoe UI" w:cs="Segoe UI"/>
          <w:color w:val="172B4D"/>
          <w:spacing w:val="-1"/>
          <w:kern w:val="0"/>
          <w:sz w:val="24"/>
          <w:szCs w:val="24"/>
        </w:rPr>
        <w:t xml:space="preserve">. No rights are granted to prepare derivative works of this Specification. Entities seeking permission to reproduce this document, in whole or in </w:t>
      </w:r>
      <w:r>
        <w:rPr>
          <w:rFonts w:ascii="Segoe UI" w:eastAsia="Times New Roman" w:hAnsi="Segoe UI" w:cs="Segoe UI"/>
          <w:color w:val="172B4D"/>
          <w:spacing w:val="-1"/>
          <w:kern w:val="0"/>
          <w:sz w:val="24"/>
          <w:szCs w:val="24"/>
        </w:rPr>
        <w:lastRenderedPageBreak/>
        <w:t>part, for other uses must contact the Kantara Initiative to determine whether an appropriate license for such use is available.</w:t>
      </w:r>
    </w:p>
    <w:p w14:paraId="6EB0D81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to review Kantara Initiative’s website (</w:t>
      </w:r>
      <w:hyperlink r:id="rId7" w:history="1">
        <w:r w:rsidR="000C4D5C" w:rsidRPr="000C4D5C">
          <w:rPr>
            <w:rFonts w:ascii="Segoe UI" w:eastAsia="Times New Roman" w:hAnsi="Segoe UI" w:cs="Segoe UI"/>
            <w:noProof/>
            <w:color w:val="0000FF"/>
            <w:spacing w:val="-1"/>
            <w:kern w:val="0"/>
            <w:sz w:val="24"/>
            <w:szCs w:val="24"/>
          </w:rPr>
          <w:drawing>
            <wp:inline distT="0" distB="0" distL="0" distR="0" wp14:anchorId="0A1E1987" wp14:editId="3FC5FAAD">
              <wp:extent cx="1433195" cy="1433195"/>
              <wp:effectExtent l="0" t="0" r="0" b="0"/>
              <wp:docPr id="3" name="Picture 3" descr="A picture containing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graphics&#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inline>
          </w:drawing>
        </w:r>
        <w:r>
          <w:rPr>
            <w:rFonts w:ascii="Segoe UI" w:eastAsia="Times New Roman" w:hAnsi="Segoe UI" w:cs="Segoe UI"/>
            <w:color w:val="0000FF"/>
            <w:spacing w:val="-1"/>
            <w:kern w:val="0"/>
            <w:sz w:val="24"/>
            <w:szCs w:val="24"/>
          </w:rPr>
          <w:t>Kantara Initiative: Trust through ID Assurance</w:t>
        </w:r>
      </w:hyperlink>
      <w:r>
        <w:rPr>
          <w:rFonts w:ascii="Segoe UI" w:eastAsia="Times New Roman" w:hAnsi="Segoe UI" w:cs="Segoe UI"/>
          <w:color w:val="172B4D"/>
          <w:spacing w:val="-1"/>
          <w:kern w:val="0"/>
          <w:sz w:val="24"/>
          <w:szCs w:val="24"/>
        </w:rPr>
        <w:t xml:space="preserve"> ) for information concerning any Necessary Claims Disclosure Notices that have been received by the Kantara Initiative Board of Directors.</w:t>
      </w:r>
    </w:p>
    <w:p w14:paraId="115EB3CA" w14:textId="77777777" w:rsidR="00502E0C" w:rsidRDefault="00502E0C">
      <w:pPr>
        <w:suppressAutoHyphens w:val="0"/>
        <w:autoSpaceDN/>
        <w:spacing w:after="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br w:type="page"/>
      </w:r>
    </w:p>
    <w:p w14:paraId="79240028" w14:textId="77777777" w:rsidR="00502E0C" w:rsidRDefault="00502E0C">
      <w:pPr>
        <w:shd w:val="clear" w:color="auto" w:fill="FFFFFF"/>
        <w:spacing w:before="100" w:after="100" w:line="240" w:lineRule="auto"/>
      </w:pPr>
    </w:p>
    <w:p w14:paraId="7526EC13"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Dear reader,</w:t>
      </w:r>
    </w:p>
    <w:p w14:paraId="713B8451"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Thank you for downloading this publication prepared by the international community of experts that comprise the Kantara Initiative. Kantara is a global non-profit ‘commons’ dedicated to improving trustworthy use of digital identity and personal data through innovation, standardization and good practice.</w:t>
      </w:r>
    </w:p>
    <w:p w14:paraId="13501B8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Kantara is known around the world for incubating innovative concepts, operating Trust Frameworks to assure digital identity and privacy service </w:t>
      </w:r>
      <w:proofErr w:type="gramStart"/>
      <w:r>
        <w:rPr>
          <w:rFonts w:ascii="Segoe UI" w:eastAsia="Times New Roman" w:hAnsi="Segoe UI" w:cs="Segoe UI"/>
          <w:color w:val="172B4D"/>
          <w:spacing w:val="-1"/>
          <w:kern w:val="0"/>
          <w:sz w:val="24"/>
          <w:szCs w:val="24"/>
        </w:rPr>
        <w:t>providers, and</w:t>
      </w:r>
      <w:proofErr w:type="gramEnd"/>
      <w:r>
        <w:rPr>
          <w:rFonts w:ascii="Segoe UI" w:eastAsia="Times New Roman" w:hAnsi="Segoe UI" w:cs="Segoe UI"/>
          <w:color w:val="172B4D"/>
          <w:spacing w:val="-1"/>
          <w:kern w:val="0"/>
          <w:sz w:val="24"/>
          <w:szCs w:val="24"/>
        </w:rPr>
        <w:t xml:space="preserve"> developing community-led best practices and specifications. Its efforts are acknowledged by OECD ITAC, UNCITRAL, ISO SC27, other consortia and governments around the world. 'Nurture, Develop, </w:t>
      </w:r>
      <w:proofErr w:type="gramStart"/>
      <w:r>
        <w:rPr>
          <w:rFonts w:ascii="Segoe UI" w:eastAsia="Times New Roman" w:hAnsi="Segoe UI" w:cs="Segoe UI"/>
          <w:color w:val="172B4D"/>
          <w:spacing w:val="-1"/>
          <w:kern w:val="0"/>
          <w:sz w:val="24"/>
          <w:szCs w:val="24"/>
        </w:rPr>
        <w:t>Operate</w:t>
      </w:r>
      <w:proofErr w:type="gramEnd"/>
      <w:r>
        <w:rPr>
          <w:rFonts w:ascii="Segoe UI" w:eastAsia="Times New Roman" w:hAnsi="Segoe UI" w:cs="Segoe UI"/>
          <w:color w:val="172B4D"/>
          <w:spacing w:val="-1"/>
          <w:kern w:val="0"/>
          <w:sz w:val="24"/>
          <w:szCs w:val="24"/>
        </w:rPr>
        <w:t>' captures the rhythm of Kantara in consolidating an inclusive, equitable digital economy offering value and benefit to all.</w:t>
      </w:r>
    </w:p>
    <w:p w14:paraId="033CC684"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 xml:space="preserve">Every publication, in every domain, is capable of improvement. Kantara welcomes and values your contribution through </w:t>
      </w:r>
      <w:hyperlink r:id="rId9" w:tooltip="https://kantarainitiative.org/membership/" w:history="1">
        <w:r>
          <w:rPr>
            <w:rFonts w:ascii="Segoe UI" w:eastAsia="Times New Roman" w:hAnsi="Segoe UI" w:cs="Segoe UI"/>
            <w:color w:val="0000FF"/>
            <w:spacing w:val="-1"/>
            <w:kern w:val="0"/>
            <w:sz w:val="24"/>
            <w:szCs w:val="24"/>
            <w:u w:val="single"/>
          </w:rPr>
          <w:t>membership, sponsorship</w:t>
        </w:r>
      </w:hyperlink>
      <w:r>
        <w:rPr>
          <w:rFonts w:ascii="Segoe UI" w:eastAsia="Times New Roman" w:hAnsi="Segoe UI" w:cs="Segoe UI"/>
          <w:color w:val="172B4D"/>
          <w:spacing w:val="-1"/>
          <w:kern w:val="0"/>
          <w:sz w:val="24"/>
          <w:szCs w:val="24"/>
        </w:rPr>
        <w:t xml:space="preserve"> and active participation in the </w:t>
      </w:r>
      <w:hyperlink r:id="rId10" w:tooltip="https://kantarainitiative.org/groups/isi-work-group/" w:history="1">
        <w:r>
          <w:rPr>
            <w:rFonts w:ascii="Segoe UI" w:eastAsia="Times New Roman" w:hAnsi="Segoe UI" w:cs="Segoe UI"/>
            <w:color w:val="0000FF"/>
            <w:spacing w:val="-1"/>
            <w:kern w:val="0"/>
            <w:sz w:val="24"/>
            <w:szCs w:val="24"/>
            <w:u w:val="single"/>
          </w:rPr>
          <w:t>working group</w:t>
        </w:r>
      </w:hyperlink>
      <w:r>
        <w:rPr>
          <w:rFonts w:ascii="Segoe UI" w:eastAsia="Times New Roman" w:hAnsi="Segoe UI" w:cs="Segoe UI"/>
          <w:color w:val="172B4D"/>
          <w:spacing w:val="-1"/>
          <w:kern w:val="0"/>
          <w:sz w:val="24"/>
          <w:szCs w:val="24"/>
        </w:rPr>
        <w:t xml:space="preserve"> that produced this and participation in all our endeavors so that Kantara can reflect its value back to you and your organization.</w:t>
      </w:r>
    </w:p>
    <w:p w14:paraId="4D985978" w14:textId="77777777" w:rsidR="007C7EB5" w:rsidRDefault="000C4D5C">
      <w:pPr>
        <w:shd w:val="clear" w:color="auto" w:fill="FFFFFF"/>
        <w:spacing w:line="330" w:lineRule="atLeast"/>
      </w:pPr>
      <w:r>
        <w:rPr>
          <w:noProof/>
        </w:rPr>
        <mc:AlternateContent>
          <mc:Choice Requires="wps">
            <w:drawing>
              <wp:inline distT="0" distB="0" distL="0" distR="0" wp14:anchorId="292EA640" wp14:editId="7DACB233">
                <wp:extent cx="302260" cy="302260"/>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165B60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" filled="f" stroked="f">
                <v:textbox inset="0,0,0,0"/>
                <w10:anchorlock/>
              </v:rect>
            </w:pict>
          </mc:Fallback>
        </mc:AlternateContent>
      </w:r>
    </w:p>
    <w:p w14:paraId="68AD2E2E"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Copyright: The content of this document is copyright of Kantara Initiative, Inc.</w:t>
      </w:r>
      <w:r>
        <w:rPr>
          <w:rFonts w:ascii="Segoe UI" w:eastAsia="Times New Roman" w:hAnsi="Segoe UI" w:cs="Segoe UI"/>
          <w:color w:val="172B4D"/>
          <w:spacing w:val="-1"/>
          <w:kern w:val="0"/>
          <w:sz w:val="24"/>
          <w:szCs w:val="24"/>
        </w:rPr>
        <w:br/>
        <w:t>© 202</w:t>
      </w:r>
      <w:r w:rsidR="00502E0C">
        <w:rPr>
          <w:rFonts w:ascii="Segoe UI" w:eastAsia="Times New Roman" w:hAnsi="Segoe UI" w:cs="Segoe UI"/>
          <w:color w:val="172B4D"/>
          <w:spacing w:val="-1"/>
          <w:kern w:val="0"/>
          <w:sz w:val="24"/>
          <w:szCs w:val="24"/>
        </w:rPr>
        <w:t>3</w:t>
      </w:r>
      <w:r>
        <w:rPr>
          <w:rFonts w:ascii="Segoe UI" w:eastAsia="Times New Roman" w:hAnsi="Segoe UI" w:cs="Segoe UI"/>
          <w:color w:val="172B4D"/>
          <w:spacing w:val="-1"/>
          <w:kern w:val="0"/>
          <w:sz w:val="24"/>
          <w:szCs w:val="24"/>
        </w:rPr>
        <w:t xml:space="preserve"> Kantara Initiative, Inc.</w:t>
      </w:r>
    </w:p>
    <w:p w14:paraId="56D18688"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 xml:space="preserve">Introduction </w:t>
      </w:r>
    </w:p>
    <w:p w14:paraId="3F22F7DB"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Transparency</w:t>
      </w:r>
      <w:r w:rsidR="00110E45">
        <w:rPr>
          <w:rFonts w:ascii="Segoe UI" w:eastAsia="Times New Roman" w:hAnsi="Segoe UI" w:cs="Segoe UI"/>
          <w:color w:val="172B4D"/>
          <w:spacing w:val="-1"/>
          <w:kern w:val="0"/>
          <w:sz w:val="24"/>
          <w:szCs w:val="24"/>
        </w:rPr>
        <w:t xml:space="preserve"> Performance Indicator’s (TPI’s)</w:t>
      </w:r>
      <w:r>
        <w:rPr>
          <w:rFonts w:ascii="Segoe UI" w:eastAsia="Times New Roman" w:hAnsi="Segoe UI" w:cs="Segoe UI"/>
          <w:color w:val="172B4D"/>
          <w:spacing w:val="-1"/>
          <w:kern w:val="0"/>
          <w:sz w:val="24"/>
          <w:szCs w:val="24"/>
        </w:rPr>
        <w:t xml:space="preserve"> </w:t>
      </w:r>
      <w:r w:rsidR="00110E45">
        <w:rPr>
          <w:rFonts w:ascii="Segoe UI" w:eastAsia="Times New Roman" w:hAnsi="Segoe UI" w:cs="Segoe UI"/>
          <w:color w:val="172B4D"/>
          <w:spacing w:val="-1"/>
          <w:kern w:val="0"/>
          <w:sz w:val="24"/>
          <w:szCs w:val="24"/>
        </w:rPr>
        <w:t xml:space="preserve">are </w:t>
      </w:r>
      <w:r>
        <w:rPr>
          <w:rFonts w:ascii="Segoe UI" w:eastAsia="Times New Roman" w:hAnsi="Segoe UI" w:cs="Segoe UI"/>
          <w:color w:val="172B4D"/>
          <w:spacing w:val="-1"/>
          <w:kern w:val="0"/>
          <w:sz w:val="24"/>
          <w:szCs w:val="24"/>
        </w:rPr>
        <w:t>introduced here as the object of conformity, captured</w:t>
      </w:r>
      <w:r w:rsidR="00110E45">
        <w:rPr>
          <w:rFonts w:ascii="Segoe UI" w:eastAsia="Times New Roman" w:hAnsi="Segoe UI" w:cs="Segoe UI"/>
          <w:color w:val="172B4D"/>
          <w:spacing w:val="-1"/>
          <w:kern w:val="0"/>
          <w:sz w:val="24"/>
          <w:szCs w:val="24"/>
        </w:rPr>
        <w:t xml:space="preserve"> to </w:t>
      </w:r>
      <w:r>
        <w:rPr>
          <w:rFonts w:ascii="Segoe UI" w:eastAsia="Times New Roman" w:hAnsi="Segoe UI" w:cs="Segoe UI"/>
          <w:color w:val="172B4D"/>
          <w:spacing w:val="-1"/>
          <w:kern w:val="0"/>
          <w:sz w:val="24"/>
          <w:szCs w:val="24"/>
        </w:rPr>
        <w:t>capture</w:t>
      </w:r>
      <w:r w:rsidR="00110E45">
        <w:rPr>
          <w:rFonts w:ascii="Segoe UI" w:eastAsia="Times New Roman" w:hAnsi="Segoe UI" w:cs="Segoe UI"/>
          <w:color w:val="172B4D"/>
          <w:spacing w:val="-1"/>
          <w:kern w:val="0"/>
          <w:sz w:val="24"/>
          <w:szCs w:val="24"/>
        </w:rPr>
        <w:t xml:space="preserve"> the </w:t>
      </w:r>
      <w:r>
        <w:rPr>
          <w:rFonts w:ascii="Segoe UI" w:eastAsia="Times New Roman" w:hAnsi="Segoe UI" w:cs="Segoe UI"/>
          <w:color w:val="172B4D"/>
          <w:spacing w:val="-1"/>
          <w:kern w:val="0"/>
          <w:sz w:val="24"/>
          <w:szCs w:val="24"/>
        </w:rPr>
        <w:t xml:space="preserve">presentation </w:t>
      </w:r>
      <w:proofErr w:type="gramStart"/>
      <w:r>
        <w:rPr>
          <w:rFonts w:ascii="Segoe UI" w:eastAsia="Times New Roman" w:hAnsi="Segoe UI" w:cs="Segoe UI"/>
          <w:color w:val="172B4D"/>
          <w:spacing w:val="-1"/>
          <w:kern w:val="0"/>
          <w:sz w:val="24"/>
          <w:szCs w:val="24"/>
        </w:rPr>
        <w:t>of  PII</w:t>
      </w:r>
      <w:proofErr w:type="gramEnd"/>
      <w:r>
        <w:rPr>
          <w:rFonts w:ascii="Segoe UI" w:eastAsia="Times New Roman" w:hAnsi="Segoe UI" w:cs="Segoe UI"/>
          <w:color w:val="172B4D"/>
          <w:spacing w:val="-1"/>
          <w:kern w:val="0"/>
          <w:sz w:val="24"/>
          <w:szCs w:val="24"/>
        </w:rPr>
        <w:t xml:space="preserve"> Controller credential information, to determine the operational capacity of the information in conformance Conv 108+ and personal expectations. </w:t>
      </w:r>
    </w:p>
    <w:p w14:paraId="3B8B6E57"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6F14DB04"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are used to create and ANCR (Anchored Notice and Consent Receipt) which is a record that is presentable as a ‘proof of notice’ claim, the object for both conformity, and compliance assessments, which are presented in this scheme.  </w:t>
      </w:r>
    </w:p>
    <w:p w14:paraId="0E231960"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scheme, to test the performance of digital transparency with a privacy request, tests how dynamic the performance of transparency and consent is for data subject rights, independently of the service provider, relative to context. </w:t>
      </w:r>
    </w:p>
    <w:p w14:paraId="7391212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21B1FEF5" w14:textId="77777777" w:rsidR="00502E0C"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The </w:t>
      </w:r>
      <w:r w:rsidR="00502E0C">
        <w:rPr>
          <w:rFonts w:ascii="Segoe UI" w:eastAsia="Times New Roman" w:hAnsi="Segoe UI" w:cs="Segoe UI"/>
          <w:color w:val="172B4D"/>
          <w:spacing w:val="-1"/>
          <w:kern w:val="0"/>
          <w:sz w:val="24"/>
          <w:szCs w:val="24"/>
        </w:rPr>
        <w:t xml:space="preserve">4 </w:t>
      </w:r>
      <w:r>
        <w:rPr>
          <w:rFonts w:ascii="Segoe UI" w:eastAsia="Times New Roman" w:hAnsi="Segoe UI" w:cs="Segoe UI"/>
          <w:color w:val="172B4D"/>
          <w:spacing w:val="-1"/>
          <w:kern w:val="0"/>
          <w:sz w:val="24"/>
          <w:szCs w:val="24"/>
        </w:rPr>
        <w:t xml:space="preserve">TPI’s </w:t>
      </w:r>
      <w:r w:rsidR="00502E0C">
        <w:rPr>
          <w:rFonts w:ascii="Segoe UI" w:eastAsia="Times New Roman" w:hAnsi="Segoe UI" w:cs="Segoe UI"/>
          <w:color w:val="172B4D"/>
          <w:spacing w:val="-1"/>
          <w:kern w:val="0"/>
          <w:sz w:val="24"/>
          <w:szCs w:val="24"/>
        </w:rPr>
        <w:t xml:space="preserve">presented here pinpoint 4 metrics that can be used to measure the conformance of transparency and the integrity of consent in a data capture context. </w:t>
      </w:r>
    </w:p>
    <w:p w14:paraId="448EC78F" w14:textId="77777777" w:rsidR="007C7EB5"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Assessing the operational capacity of required PII Controller Identity and Contact presentation.  M</w:t>
      </w:r>
      <w:r w:rsidR="00110E45">
        <w:rPr>
          <w:rFonts w:ascii="Segoe UI" w:eastAsia="Times New Roman" w:hAnsi="Segoe UI" w:cs="Segoe UI"/>
          <w:color w:val="172B4D"/>
          <w:spacing w:val="-1"/>
          <w:kern w:val="0"/>
          <w:sz w:val="24"/>
          <w:szCs w:val="24"/>
        </w:rPr>
        <w:t xml:space="preserve">easuring the performance of </w:t>
      </w:r>
      <w:r>
        <w:rPr>
          <w:rFonts w:ascii="Segoe UI" w:eastAsia="Times New Roman" w:hAnsi="Segoe UI" w:cs="Segoe UI"/>
          <w:color w:val="172B4D"/>
          <w:spacing w:val="-1"/>
          <w:kern w:val="0"/>
          <w:sz w:val="24"/>
          <w:szCs w:val="24"/>
        </w:rPr>
        <w:t xml:space="preserve">the </w:t>
      </w:r>
      <w:r w:rsidR="00110E45">
        <w:rPr>
          <w:rFonts w:ascii="Segoe UI" w:eastAsia="Times New Roman" w:hAnsi="Segoe UI" w:cs="Segoe UI"/>
          <w:color w:val="172B4D"/>
          <w:spacing w:val="-1"/>
          <w:kern w:val="0"/>
          <w:sz w:val="24"/>
          <w:szCs w:val="24"/>
        </w:rPr>
        <w:t>publicly required digital service information. Checking digital components of authority and security to assure and assess the validity of privacy.</w:t>
      </w:r>
    </w:p>
    <w:p w14:paraId="348A8886"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ANCR record, is a </w:t>
      </w:r>
      <w:r w:rsidR="00110E45">
        <w:rPr>
          <w:rFonts w:ascii="Segoe UI" w:eastAsia="Times New Roman" w:hAnsi="Segoe UI" w:cs="Segoe UI"/>
          <w:color w:val="172B4D"/>
          <w:spacing w:val="-1"/>
          <w:kern w:val="0"/>
          <w:sz w:val="24"/>
          <w:szCs w:val="24"/>
        </w:rPr>
        <w:t xml:space="preserve">capture </w:t>
      </w:r>
      <w:r>
        <w:rPr>
          <w:rFonts w:ascii="Segoe UI" w:eastAsia="Times New Roman" w:hAnsi="Segoe UI" w:cs="Segoe UI"/>
          <w:color w:val="172B4D"/>
          <w:spacing w:val="-1"/>
          <w:kern w:val="0"/>
          <w:sz w:val="24"/>
          <w:szCs w:val="24"/>
        </w:rPr>
        <w:t xml:space="preserve">of digital governance and </w:t>
      </w:r>
      <w:r w:rsidR="00110E45">
        <w:rPr>
          <w:rFonts w:ascii="Segoe UI" w:eastAsia="Times New Roman" w:hAnsi="Segoe UI" w:cs="Segoe UI"/>
          <w:color w:val="172B4D"/>
          <w:spacing w:val="-1"/>
          <w:kern w:val="0"/>
          <w:sz w:val="24"/>
          <w:szCs w:val="24"/>
        </w:rPr>
        <w:t xml:space="preserve">surveillance context, </w:t>
      </w:r>
      <w:r>
        <w:rPr>
          <w:rFonts w:ascii="Segoe UI" w:eastAsia="Times New Roman" w:hAnsi="Segoe UI" w:cs="Segoe UI"/>
          <w:color w:val="172B4D"/>
          <w:spacing w:val="-1"/>
          <w:kern w:val="0"/>
          <w:sz w:val="24"/>
          <w:szCs w:val="24"/>
        </w:rPr>
        <w:t xml:space="preserve">and it is anchored with proof of knowledge.   Capturing the point of presentation of PII Controller ID, and privacy rights access point, and the digital governance framework to which personal data processing is being governed. </w:t>
      </w:r>
    </w:p>
    <w:p w14:paraId="41A452C6"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ANCR record, in which the PII Principle is the holder and controller of this record, can be presented as a micro-notice claim and credential to engage PII Controller privacy services to capture the PII Controller performance. </w:t>
      </w:r>
    </w:p>
    <w:p w14:paraId="5808447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Most assessment for conformance of privacy information or services are mapped to analogue legal requirements which measure response times in days, out of technical context.  TPI’s all measure how dynamic privacy service information is</w:t>
      </w:r>
      <w:r w:rsidR="00502E0C">
        <w:rPr>
          <w:rFonts w:ascii="Segoe UI" w:eastAsia="Times New Roman" w:hAnsi="Segoe UI" w:cs="Segoe UI"/>
          <w:color w:val="172B4D"/>
          <w:spacing w:val="-1"/>
          <w:kern w:val="0"/>
          <w:sz w:val="24"/>
          <w:szCs w:val="24"/>
        </w:rPr>
        <w:t xml:space="preserve"> in context</w:t>
      </w:r>
      <w:r>
        <w:rPr>
          <w:rFonts w:ascii="Segoe UI" w:eastAsia="Times New Roman" w:hAnsi="Segoe UI" w:cs="Segoe UI"/>
          <w:color w:val="172B4D"/>
          <w:spacing w:val="-1"/>
          <w:kern w:val="0"/>
          <w:sz w:val="24"/>
          <w:szCs w:val="24"/>
        </w:rPr>
        <w:t xml:space="preserve">, and </w:t>
      </w:r>
      <w:r w:rsidR="00502E0C">
        <w:rPr>
          <w:rFonts w:ascii="Segoe UI" w:eastAsia="Times New Roman" w:hAnsi="Segoe UI" w:cs="Segoe UI"/>
          <w:color w:val="172B4D"/>
          <w:spacing w:val="-1"/>
          <w:kern w:val="0"/>
          <w:sz w:val="24"/>
          <w:szCs w:val="24"/>
        </w:rPr>
        <w:t>provides a</w:t>
      </w:r>
      <w:r>
        <w:rPr>
          <w:rFonts w:ascii="Segoe UI" w:eastAsia="Times New Roman" w:hAnsi="Segoe UI" w:cs="Segoe UI"/>
          <w:color w:val="172B4D"/>
          <w:spacing w:val="-1"/>
          <w:kern w:val="0"/>
          <w:sz w:val="24"/>
          <w:szCs w:val="24"/>
        </w:rPr>
        <w:t xml:space="preserve"> rating</w:t>
      </w:r>
      <w:r w:rsidR="00502E0C">
        <w:rPr>
          <w:rFonts w:ascii="Segoe UI" w:eastAsia="Times New Roman" w:hAnsi="Segoe UI" w:cs="Segoe UI"/>
          <w:color w:val="172B4D"/>
          <w:spacing w:val="-1"/>
          <w:kern w:val="0"/>
          <w:sz w:val="24"/>
          <w:szCs w:val="24"/>
        </w:rPr>
        <w:t xml:space="preserve">, from -3 to +1, in </w:t>
      </w:r>
      <w:proofErr w:type="gramStart"/>
      <w:r w:rsidR="00502E0C">
        <w:rPr>
          <w:rFonts w:ascii="Segoe UI" w:eastAsia="Times New Roman" w:hAnsi="Segoe UI" w:cs="Segoe UI"/>
          <w:color w:val="172B4D"/>
          <w:spacing w:val="-1"/>
          <w:kern w:val="0"/>
          <w:sz w:val="24"/>
          <w:szCs w:val="24"/>
        </w:rPr>
        <w:t xml:space="preserve">which </w:t>
      </w:r>
      <w:r>
        <w:rPr>
          <w:rFonts w:ascii="Segoe UI" w:eastAsia="Times New Roman" w:hAnsi="Segoe UI" w:cs="Segoe UI"/>
          <w:color w:val="172B4D"/>
          <w:spacing w:val="-1"/>
          <w:kern w:val="0"/>
          <w:sz w:val="24"/>
          <w:szCs w:val="24"/>
        </w:rPr>
        <w:t xml:space="preserve"> +</w:t>
      </w:r>
      <w:proofErr w:type="gramEnd"/>
      <w:r>
        <w:rPr>
          <w:rFonts w:ascii="Segoe UI" w:eastAsia="Times New Roman" w:hAnsi="Segoe UI" w:cs="Segoe UI"/>
          <w:color w:val="172B4D"/>
          <w:spacing w:val="-1"/>
          <w:kern w:val="0"/>
          <w:sz w:val="24"/>
          <w:szCs w:val="24"/>
        </w:rPr>
        <w:t>1</w:t>
      </w:r>
      <w:r w:rsidR="00502E0C">
        <w:rPr>
          <w:rFonts w:ascii="Segoe UI" w:eastAsia="Times New Roman" w:hAnsi="Segoe UI" w:cs="Segoe UI"/>
          <w:color w:val="172B4D"/>
          <w:spacing w:val="-1"/>
          <w:kern w:val="0"/>
          <w:sz w:val="24"/>
          <w:szCs w:val="24"/>
        </w:rPr>
        <w:t xml:space="preserve"> is</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for a</w:t>
      </w:r>
      <w:r>
        <w:rPr>
          <w:rFonts w:ascii="Segoe UI" w:eastAsia="Times New Roman" w:hAnsi="Segoe UI" w:cs="Segoe UI"/>
          <w:color w:val="172B4D"/>
          <w:spacing w:val="-1"/>
          <w:kern w:val="0"/>
          <w:sz w:val="24"/>
          <w:szCs w:val="24"/>
        </w:rPr>
        <w:t xml:space="preserve"> Dynamic</w:t>
      </w:r>
      <w:r w:rsid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in context </w:t>
      </w:r>
      <w:r w:rsidR="00502E0C">
        <w:rPr>
          <w:rFonts w:ascii="Segoe UI" w:eastAsia="Times New Roman" w:hAnsi="Segoe UI" w:cs="Segoe UI"/>
          <w:color w:val="172B4D"/>
          <w:spacing w:val="-1"/>
          <w:kern w:val="0"/>
          <w:sz w:val="24"/>
          <w:szCs w:val="24"/>
        </w:rPr>
        <w:t xml:space="preserve">transparency </w:t>
      </w:r>
      <w:r>
        <w:rPr>
          <w:rFonts w:ascii="Segoe UI" w:eastAsia="Times New Roman" w:hAnsi="Segoe UI" w:cs="Segoe UI"/>
          <w:color w:val="172B4D"/>
          <w:spacing w:val="-1"/>
          <w:kern w:val="0"/>
          <w:sz w:val="24"/>
          <w:szCs w:val="24"/>
        </w:rPr>
        <w:t xml:space="preserve">performance indicator, </w:t>
      </w:r>
      <w:r w:rsidR="00502E0C">
        <w:rPr>
          <w:rFonts w:ascii="Segoe UI" w:eastAsia="Times New Roman" w:hAnsi="Segoe UI" w:cs="Segoe UI"/>
          <w:color w:val="172B4D"/>
          <w:spacing w:val="-1"/>
          <w:kern w:val="0"/>
          <w:sz w:val="24"/>
          <w:szCs w:val="24"/>
        </w:rPr>
        <w:t>introducing an</w:t>
      </w:r>
      <w:r>
        <w:rPr>
          <w:rFonts w:ascii="Segoe UI" w:eastAsia="Times New Roman" w:hAnsi="Segoe UI" w:cs="Segoe UI"/>
          <w:color w:val="172B4D"/>
          <w:spacing w:val="-1"/>
          <w:kern w:val="0"/>
          <w:sz w:val="24"/>
          <w:szCs w:val="24"/>
        </w:rPr>
        <w:t xml:space="preserve"> active state </w:t>
      </w:r>
      <w:r w:rsidR="00502E0C">
        <w:rPr>
          <w:rFonts w:ascii="Segoe UI" w:eastAsia="Times New Roman" w:hAnsi="Segoe UI" w:cs="Segoe UI"/>
          <w:color w:val="172B4D"/>
          <w:spacing w:val="-1"/>
          <w:kern w:val="0"/>
          <w:sz w:val="24"/>
          <w:szCs w:val="24"/>
        </w:rPr>
        <w:t xml:space="preserve">transparency measure for capturing dynamic digital transparency and consent </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performance, for the first time</w:t>
      </w:r>
      <w:r>
        <w:rPr>
          <w:rFonts w:ascii="Segoe UI" w:eastAsia="Times New Roman" w:hAnsi="Segoe UI" w:cs="Segoe UI"/>
          <w:color w:val="172B4D"/>
          <w:spacing w:val="-1"/>
          <w:kern w:val="0"/>
          <w:sz w:val="24"/>
          <w:szCs w:val="24"/>
        </w:rPr>
        <w:t xml:space="preserve">. </w:t>
      </w:r>
    </w:p>
    <w:p w14:paraId="5036FDC4"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68B22A0F"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cyber physical security and digital privacy through the decentralized authority inherent in the Notice Record. </w:t>
      </w:r>
    </w:p>
    <w:p w14:paraId="160463D5"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Why was this specification written?</w:t>
      </w:r>
    </w:p>
    <w:p w14:paraId="4176A8D0"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Give up privacy to access privacy service </w:t>
      </w:r>
    </w:p>
    <w:p w14:paraId="00370384"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No record of digital relationship </w:t>
      </w:r>
    </w:p>
    <w:p w14:paraId="598E8B29"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No receipt for consent </w:t>
      </w:r>
    </w:p>
    <w:p w14:paraId="4C7D842E" w14:textId="77777777" w:rsidR="00502E0C" w:rsidRPr="00502E0C" w:rsidRDefault="00502E0C" w:rsidP="00502E0C">
      <w:pPr>
        <w:pStyle w:val="ListParagraph"/>
        <w:numPr>
          <w:ilvl w:val="0"/>
          <w:numId w:val="1"/>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w:t>
      </w:r>
    </w:p>
    <w:p w14:paraId="0644AA3D" w14:textId="77777777" w:rsidR="00502E0C" w:rsidRDefault="00502E0C">
      <w:pPr>
        <w:shd w:val="clear" w:color="auto" w:fill="FFFFFF"/>
        <w:spacing w:before="400" w:after="0" w:line="240" w:lineRule="auto"/>
        <w:outlineLvl w:val="0"/>
        <w:rPr>
          <w:rFonts w:ascii="Segoe UI" w:eastAsia="Times New Roman" w:hAnsi="Segoe UI" w:cs="Segoe UI"/>
          <w:color w:val="172B4D"/>
          <w:spacing w:val="-2"/>
          <w:sz w:val="41"/>
          <w:szCs w:val="41"/>
        </w:rPr>
      </w:pPr>
    </w:p>
    <w:p w14:paraId="13438B41"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At the time of writing this specification, transparency and consent is governed predominately by commercial governance frameworks that utilize digital identity management technologies to identify people, without identifying themselves in a standard way online, which compliant and conformant, presenting critical cybersecurity risks. </w:t>
      </w:r>
    </w:p>
    <w:p w14:paraId="2141ECB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These risks are exacerbated when PII Principals use privacy services online, as PII identifiers are captured and collected at an attribute level (known also as meta-data), which means individuals must relinquish their digital privacy, to access online privacy services. As these technologies themselves are used to profile and track data subjects presenting systemic obstacle to accessing privacy services in a meaningful way for the PII Principal.  </w:t>
      </w:r>
    </w:p>
    <w:p w14:paraId="792319D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second systemic obstacle being that individuals do not have their own records for digital identity relationships, which prevent people from data controls that are autonomous, subjecting them to terms and condition for privacy access.  The ANCR record is used to address this systemic challenge, with a proof of knowledge, legal claim for data subject access rights.  </w:t>
      </w:r>
    </w:p>
    <w:p w14:paraId="52A36CDA"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br/>
        <w:t>What’s more, an ANCR Record, can be used to generate consent notice receipts, to enable the individual to direct a primary and secondary consent in any given context.  Which is the focus of the ANCR Record Framework (ref)</w:t>
      </w:r>
    </w:p>
    <w:p w14:paraId="6293CAEC"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Why Transparency Performance Indicator’s?</w:t>
      </w:r>
    </w:p>
    <w:p w14:paraId="5ADCB6DE"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Currently, there is no way for people to see who is tracking them and </w:t>
      </w:r>
      <w:r>
        <w:rPr>
          <w:rFonts w:ascii="Segoe UI" w:eastAsia="Times New Roman" w:hAnsi="Segoe UI" w:cs="Segoe UI"/>
          <w:color w:val="172B4D"/>
          <w:spacing w:val="-1"/>
          <w:kern w:val="0"/>
          <w:sz w:val="24"/>
          <w:szCs w:val="24"/>
        </w:rPr>
        <w:t>to understand how</w:t>
      </w:r>
      <w:r w:rsidRPr="00502E0C">
        <w:rPr>
          <w:rFonts w:ascii="Segoe UI" w:eastAsia="Times New Roman" w:hAnsi="Segoe UI" w:cs="Segoe UI"/>
          <w:color w:val="172B4D"/>
          <w:spacing w:val="-1"/>
          <w:kern w:val="0"/>
          <w:sz w:val="24"/>
          <w:szCs w:val="24"/>
        </w:rPr>
        <w:t xml:space="preserve"> digitally exposed </w:t>
      </w:r>
      <w:r>
        <w:rPr>
          <w:rFonts w:ascii="Segoe UI" w:eastAsia="Times New Roman" w:hAnsi="Segoe UI" w:cs="Segoe UI"/>
          <w:color w:val="172B4D"/>
          <w:spacing w:val="-1"/>
          <w:kern w:val="0"/>
          <w:sz w:val="24"/>
          <w:szCs w:val="24"/>
        </w:rPr>
        <w:t xml:space="preserve">one is, </w:t>
      </w:r>
      <w:r w:rsidRPr="00502E0C">
        <w:rPr>
          <w:rFonts w:ascii="Segoe UI" w:eastAsia="Times New Roman" w:hAnsi="Segoe UI" w:cs="Segoe UI"/>
          <w:color w:val="172B4D"/>
          <w:spacing w:val="-1"/>
          <w:kern w:val="0"/>
          <w:sz w:val="24"/>
          <w:szCs w:val="24"/>
        </w:rPr>
        <w:t>in</w:t>
      </w:r>
      <w:r>
        <w:rPr>
          <w:rFonts w:ascii="Segoe UI" w:eastAsia="Times New Roman" w:hAnsi="Segoe UI" w:cs="Segoe UI"/>
          <w:color w:val="172B4D"/>
          <w:spacing w:val="-1"/>
          <w:kern w:val="0"/>
          <w:sz w:val="24"/>
          <w:szCs w:val="24"/>
        </w:rPr>
        <w:t xml:space="preserve"> any given physical/digital surveillance</w:t>
      </w:r>
      <w:r w:rsidRPr="00502E0C">
        <w:rPr>
          <w:rFonts w:ascii="Segoe UI" w:eastAsia="Times New Roman" w:hAnsi="Segoe UI" w:cs="Segoe UI"/>
          <w:color w:val="172B4D"/>
          <w:spacing w:val="-1"/>
          <w:kern w:val="0"/>
          <w:sz w:val="24"/>
          <w:szCs w:val="24"/>
        </w:rPr>
        <w:t xml:space="preserve"> context. </w:t>
      </w:r>
      <w:r>
        <w:rPr>
          <w:rFonts w:ascii="Segoe UI" w:eastAsia="Times New Roman" w:hAnsi="Segoe UI" w:cs="Segoe UI"/>
          <w:color w:val="172B4D"/>
          <w:spacing w:val="-1"/>
          <w:kern w:val="0"/>
          <w:sz w:val="24"/>
          <w:szCs w:val="24"/>
        </w:rPr>
        <w:t xml:space="preserve"> </w:t>
      </w:r>
      <w:r w:rsidRPr="00502E0C">
        <w:rPr>
          <w:rFonts w:ascii="Segoe UI" w:eastAsia="Times New Roman" w:hAnsi="Segoe UI" w:cs="Segoe UI"/>
          <w:color w:val="172B4D"/>
          <w:spacing w:val="-1"/>
          <w:kern w:val="0"/>
          <w:sz w:val="24"/>
          <w:szCs w:val="24"/>
        </w:rPr>
        <w:t>Data control, access</w:t>
      </w:r>
      <w:r>
        <w:rPr>
          <w:rFonts w:ascii="Segoe UI" w:eastAsia="Times New Roman" w:hAnsi="Segoe UI" w:cs="Segoe UI"/>
          <w:color w:val="172B4D"/>
          <w:spacing w:val="-1"/>
          <w:kern w:val="0"/>
          <w:sz w:val="24"/>
          <w:szCs w:val="24"/>
        </w:rPr>
        <w:t xml:space="preserve"> to digital privacy information for consent</w:t>
      </w:r>
      <w:r w:rsidRP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to test to see what consent </w:t>
      </w:r>
      <w:proofErr w:type="gramStart"/>
      <w:r>
        <w:rPr>
          <w:rFonts w:ascii="Segoe UI" w:eastAsia="Times New Roman" w:hAnsi="Segoe UI" w:cs="Segoe UI"/>
          <w:color w:val="172B4D"/>
          <w:spacing w:val="-1"/>
          <w:kern w:val="0"/>
          <w:sz w:val="24"/>
          <w:szCs w:val="24"/>
        </w:rPr>
        <w:t>(</w:t>
      </w:r>
      <w:r w:rsidRPr="00502E0C">
        <w:rPr>
          <w:rFonts w:ascii="Segoe UI" w:eastAsia="Times New Roman" w:hAnsi="Segoe UI" w:cs="Segoe UI"/>
          <w:color w:val="172B4D"/>
          <w:spacing w:val="-1"/>
          <w:kern w:val="0"/>
          <w:sz w:val="24"/>
          <w:szCs w:val="24"/>
        </w:rPr>
        <w:t xml:space="preserve"> privacy</w:t>
      </w:r>
      <w:proofErr w:type="gramEnd"/>
      <w:r w:rsidRPr="00502E0C">
        <w:rPr>
          <w:rFonts w:ascii="Segoe UI" w:eastAsia="Times New Roman" w:hAnsi="Segoe UI" w:cs="Segoe UI"/>
          <w:color w:val="172B4D"/>
          <w:spacing w:val="-1"/>
          <w:kern w:val="0"/>
          <w:sz w:val="24"/>
          <w:szCs w:val="24"/>
        </w:rPr>
        <w:t xml:space="preserve"> rights</w:t>
      </w:r>
      <w:r>
        <w:rPr>
          <w:rFonts w:ascii="Segoe UI" w:eastAsia="Times New Roman" w:hAnsi="Segoe UI" w:cs="Segoe UI"/>
          <w:color w:val="172B4D"/>
          <w:spacing w:val="-1"/>
          <w:kern w:val="0"/>
          <w:sz w:val="24"/>
          <w:szCs w:val="24"/>
        </w:rPr>
        <w:t>)</w:t>
      </w:r>
      <w:r w:rsidRPr="00502E0C">
        <w:rPr>
          <w:rFonts w:ascii="Segoe UI" w:eastAsia="Times New Roman" w:hAnsi="Segoe UI" w:cs="Segoe UI"/>
          <w:color w:val="172B4D"/>
          <w:spacing w:val="-1"/>
          <w:kern w:val="0"/>
          <w:sz w:val="24"/>
          <w:szCs w:val="24"/>
        </w:rPr>
        <w:t xml:space="preserve"> requests response time</w:t>
      </w:r>
      <w:r>
        <w:rPr>
          <w:rFonts w:ascii="Segoe UI" w:eastAsia="Times New Roman" w:hAnsi="Segoe UI" w:cs="Segoe UI"/>
          <w:color w:val="172B4D"/>
          <w:spacing w:val="-1"/>
          <w:kern w:val="0"/>
          <w:sz w:val="24"/>
          <w:szCs w:val="24"/>
        </w:rPr>
        <w:t xml:space="preserve">s are.    </w:t>
      </w:r>
    </w:p>
    <w:p w14:paraId="60605B82" w14:textId="77777777" w:rsidR="00502E0C" w:rsidRP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TPI’s indicate if the digital information provided upon contact with a digital service </w:t>
      </w:r>
      <w:proofErr w:type="gramStart"/>
      <w:r w:rsidRPr="00502E0C">
        <w:rPr>
          <w:rFonts w:ascii="Segoe UI" w:eastAsia="Times New Roman" w:hAnsi="Segoe UI" w:cs="Segoe UI"/>
          <w:color w:val="172B4D"/>
          <w:spacing w:val="-1"/>
          <w:kern w:val="0"/>
          <w:sz w:val="24"/>
          <w:szCs w:val="24"/>
        </w:rPr>
        <w:t>is capable of meeting</w:t>
      </w:r>
      <w:proofErr w:type="gramEnd"/>
      <w:r w:rsidRPr="00502E0C">
        <w:rPr>
          <w:rFonts w:ascii="Segoe UI" w:eastAsia="Times New Roman" w:hAnsi="Segoe UI" w:cs="Segoe UI"/>
          <w:color w:val="172B4D"/>
          <w:spacing w:val="-1"/>
          <w:kern w:val="0"/>
          <w:sz w:val="24"/>
          <w:szCs w:val="24"/>
        </w:rPr>
        <w:t xml:space="preserve"> this basic requirement and capable of dynamic data access and controls. </w:t>
      </w:r>
    </w:p>
    <w:p w14:paraId="6BA3638A"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Digital transparency around </w:t>
      </w:r>
      <w:r>
        <w:rPr>
          <w:rFonts w:ascii="Segoe UI" w:eastAsia="Times New Roman" w:hAnsi="Segoe UI" w:cs="Segoe UI"/>
          <w:color w:val="172B4D"/>
          <w:spacing w:val="-1"/>
          <w:kern w:val="0"/>
          <w:sz w:val="24"/>
          <w:szCs w:val="24"/>
        </w:rPr>
        <w:t>purpose of use</w:t>
      </w:r>
      <w:r w:rsidRPr="00502E0C">
        <w:rPr>
          <w:rFonts w:ascii="Segoe UI" w:eastAsia="Times New Roman" w:hAnsi="Segoe UI" w:cs="Segoe UI"/>
          <w:color w:val="172B4D"/>
          <w:spacing w:val="-1"/>
          <w:kern w:val="0"/>
          <w:sz w:val="24"/>
          <w:szCs w:val="24"/>
        </w:rPr>
        <w:t>, who</w:t>
      </w:r>
      <w:r>
        <w:rPr>
          <w:rFonts w:ascii="Segoe UI" w:eastAsia="Times New Roman" w:hAnsi="Segoe UI" w:cs="Segoe UI"/>
          <w:color w:val="172B4D"/>
          <w:spacing w:val="-1"/>
          <w:kern w:val="0"/>
          <w:sz w:val="24"/>
          <w:szCs w:val="24"/>
        </w:rPr>
        <w:t xml:space="preserve"> benefits, how</w:t>
      </w:r>
      <w:r w:rsidRP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and where </w:t>
      </w:r>
      <w:r w:rsidRPr="00502E0C">
        <w:rPr>
          <w:rFonts w:ascii="Segoe UI" w:eastAsia="Times New Roman" w:hAnsi="Segoe UI" w:cs="Segoe UI"/>
          <w:color w:val="172B4D"/>
          <w:spacing w:val="-1"/>
          <w:kern w:val="0"/>
          <w:sz w:val="24"/>
          <w:szCs w:val="24"/>
        </w:rPr>
        <w:t xml:space="preserve">data is </w:t>
      </w:r>
      <w:r>
        <w:rPr>
          <w:rFonts w:ascii="Segoe UI" w:eastAsia="Times New Roman" w:hAnsi="Segoe UI" w:cs="Segoe UI"/>
          <w:color w:val="172B4D"/>
          <w:spacing w:val="-1"/>
          <w:kern w:val="0"/>
          <w:sz w:val="24"/>
          <w:szCs w:val="24"/>
        </w:rPr>
        <w:t>processed, is extremely</w:t>
      </w:r>
      <w:r w:rsidRPr="00502E0C">
        <w:rPr>
          <w:rFonts w:ascii="Segoe UI" w:eastAsia="Times New Roman" w:hAnsi="Segoe UI" w:cs="Segoe UI"/>
          <w:color w:val="172B4D"/>
          <w:spacing w:val="-1"/>
          <w:kern w:val="0"/>
          <w:sz w:val="24"/>
          <w:szCs w:val="24"/>
        </w:rPr>
        <w:t xml:space="preserve"> important security and privacy </w:t>
      </w:r>
      <w:r>
        <w:rPr>
          <w:rFonts w:ascii="Segoe UI" w:eastAsia="Times New Roman" w:hAnsi="Segoe UI" w:cs="Segoe UI"/>
          <w:color w:val="172B4D"/>
          <w:spacing w:val="-1"/>
          <w:kern w:val="0"/>
          <w:sz w:val="24"/>
          <w:szCs w:val="24"/>
        </w:rPr>
        <w:t xml:space="preserve">session </w:t>
      </w:r>
      <w:r w:rsidRPr="00502E0C">
        <w:rPr>
          <w:rFonts w:ascii="Segoe UI" w:eastAsia="Times New Roman" w:hAnsi="Segoe UI" w:cs="Segoe UI"/>
          <w:color w:val="172B4D"/>
          <w:spacing w:val="-1"/>
          <w:kern w:val="0"/>
          <w:sz w:val="24"/>
          <w:szCs w:val="24"/>
        </w:rPr>
        <w:t>attributes</w:t>
      </w:r>
      <w:r>
        <w:rPr>
          <w:rFonts w:ascii="Segoe UI" w:eastAsia="Times New Roman" w:hAnsi="Segoe UI" w:cs="Segoe UI"/>
          <w:color w:val="172B4D"/>
          <w:spacing w:val="-1"/>
          <w:kern w:val="0"/>
          <w:sz w:val="24"/>
          <w:szCs w:val="24"/>
        </w:rPr>
        <w:t xml:space="preserve"> information, used in the TPI scheme assessments</w:t>
      </w:r>
      <w:r w:rsidRPr="00502E0C">
        <w:rPr>
          <w:rFonts w:ascii="Segoe UI" w:eastAsia="Times New Roman" w:hAnsi="Segoe UI" w:cs="Segoe UI"/>
          <w:color w:val="172B4D"/>
          <w:spacing w:val="-1"/>
          <w:kern w:val="0"/>
          <w:sz w:val="24"/>
          <w:szCs w:val="24"/>
        </w:rPr>
        <w:t xml:space="preserve">. Without standardized </w:t>
      </w:r>
      <w:r>
        <w:rPr>
          <w:rFonts w:ascii="Segoe UI" w:eastAsia="Times New Roman" w:hAnsi="Segoe UI" w:cs="Segoe UI"/>
          <w:color w:val="172B4D"/>
          <w:spacing w:val="-1"/>
          <w:kern w:val="0"/>
          <w:sz w:val="24"/>
          <w:szCs w:val="24"/>
        </w:rPr>
        <w:t xml:space="preserve">approach to the presentation of </w:t>
      </w:r>
      <w:r w:rsidRPr="00502E0C">
        <w:rPr>
          <w:rFonts w:ascii="Segoe UI" w:eastAsia="Times New Roman" w:hAnsi="Segoe UI" w:cs="Segoe UI"/>
          <w:color w:val="172B4D"/>
          <w:spacing w:val="-1"/>
          <w:kern w:val="0"/>
          <w:sz w:val="24"/>
          <w:szCs w:val="24"/>
        </w:rPr>
        <w:t>digital transparency it is difficult if not impossible to make decisions about the creation and subsequent necessary, tracking and monitoring of personal data and digital identifiers.</w:t>
      </w:r>
    </w:p>
    <w:p w14:paraId="762E92C0"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conformity and compliance assessment for digital transparency can then be useful to dramatically improve the safety, security, privacy usability and awareness for people in context measuring the operational performance of digital privacy </w:t>
      </w:r>
      <w:proofErr w:type="gramStart"/>
      <w:r>
        <w:rPr>
          <w:rFonts w:ascii="Segoe UI" w:eastAsia="Times New Roman" w:hAnsi="Segoe UI" w:cs="Segoe UI"/>
          <w:color w:val="172B4D"/>
          <w:spacing w:val="-1"/>
          <w:kern w:val="0"/>
          <w:sz w:val="24"/>
          <w:szCs w:val="24"/>
        </w:rPr>
        <w:t>at the moment</w:t>
      </w:r>
      <w:proofErr w:type="gramEnd"/>
      <w:r>
        <w:rPr>
          <w:rFonts w:ascii="Segoe UI" w:eastAsia="Times New Roman" w:hAnsi="Segoe UI" w:cs="Segoe UI"/>
          <w:color w:val="172B4D"/>
          <w:spacing w:val="-1"/>
          <w:kern w:val="0"/>
          <w:sz w:val="24"/>
          <w:szCs w:val="24"/>
        </w:rPr>
        <w:t>.</w:t>
      </w:r>
    </w:p>
    <w:p w14:paraId="73C0C60F"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What should you expect to find in this document?</w:t>
      </w:r>
    </w:p>
    <w:p w14:paraId="457B2675"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The presentation of </w:t>
      </w:r>
      <w:r w:rsidR="00110E45">
        <w:rPr>
          <w:rFonts w:ascii="Segoe UI" w:eastAsia="Times New Roman" w:hAnsi="Segoe UI" w:cs="Segoe UI"/>
          <w:color w:val="172B4D"/>
          <w:spacing w:val="-1"/>
          <w:kern w:val="0"/>
          <w:sz w:val="24"/>
          <w:szCs w:val="24"/>
        </w:rPr>
        <w:t xml:space="preserve">4 </w:t>
      </w:r>
      <w:r>
        <w:rPr>
          <w:rFonts w:ascii="Segoe UI" w:eastAsia="Times New Roman" w:hAnsi="Segoe UI" w:cs="Segoe UI"/>
          <w:color w:val="172B4D"/>
          <w:spacing w:val="-1"/>
          <w:kern w:val="0"/>
          <w:sz w:val="24"/>
          <w:szCs w:val="24"/>
        </w:rPr>
        <w:t xml:space="preserve">Transparency Performance Indicators, which capture transparency and data capture practices in context, to test the </w:t>
      </w:r>
      <w:proofErr w:type="spellStart"/>
      <w:r>
        <w:rPr>
          <w:rFonts w:ascii="Segoe UI" w:eastAsia="Times New Roman" w:hAnsi="Segoe UI" w:cs="Segoe UI"/>
          <w:color w:val="172B4D"/>
          <w:spacing w:val="-1"/>
          <w:kern w:val="0"/>
          <w:sz w:val="24"/>
          <w:szCs w:val="24"/>
        </w:rPr>
        <w:t>self asserted</w:t>
      </w:r>
      <w:proofErr w:type="spellEnd"/>
      <w:r>
        <w:rPr>
          <w:rFonts w:ascii="Segoe UI" w:eastAsia="Times New Roman" w:hAnsi="Segoe UI" w:cs="Segoe UI"/>
          <w:color w:val="172B4D"/>
          <w:spacing w:val="-1"/>
          <w:kern w:val="0"/>
          <w:sz w:val="24"/>
          <w:szCs w:val="24"/>
        </w:rPr>
        <w:t xml:space="preserve"> information for its operational usability. </w:t>
      </w:r>
    </w:p>
    <w:p w14:paraId="207F3DD5"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w:t>
      </w:r>
      <w:r w:rsidR="00110E45">
        <w:rPr>
          <w:rFonts w:ascii="Segoe UI" w:eastAsia="Times New Roman" w:hAnsi="Segoe UI" w:cs="Segoe UI"/>
          <w:color w:val="172B4D"/>
          <w:spacing w:val="-1"/>
          <w:kern w:val="0"/>
          <w:sz w:val="24"/>
          <w:szCs w:val="24"/>
        </w:rPr>
        <w:t>specified focus on the initial point of contact</w:t>
      </w:r>
      <w:r>
        <w:rPr>
          <w:rFonts w:ascii="Segoe UI" w:eastAsia="Times New Roman" w:hAnsi="Segoe UI" w:cs="Segoe UI"/>
          <w:color w:val="172B4D"/>
          <w:spacing w:val="-1"/>
          <w:kern w:val="0"/>
          <w:sz w:val="24"/>
          <w:szCs w:val="24"/>
        </w:rPr>
        <w:t xml:space="preserve">. </w:t>
      </w:r>
      <w:r w:rsidR="00110E45">
        <w:rPr>
          <w:rFonts w:ascii="Segoe UI" w:eastAsia="Times New Roman" w:hAnsi="Segoe UI" w:cs="Segoe UI"/>
          <w:color w:val="172B4D"/>
          <w:spacing w:val="-1"/>
          <w:kern w:val="0"/>
          <w:sz w:val="24"/>
          <w:szCs w:val="24"/>
        </w:rPr>
        <w:t>Th</w:t>
      </w:r>
      <w:r>
        <w:rPr>
          <w:rFonts w:ascii="Segoe UI" w:eastAsia="Times New Roman" w:hAnsi="Segoe UI" w:cs="Segoe UI"/>
          <w:color w:val="172B4D"/>
          <w:spacing w:val="-1"/>
          <w:kern w:val="0"/>
          <w:sz w:val="24"/>
          <w:szCs w:val="24"/>
        </w:rPr>
        <w:t>e</w:t>
      </w:r>
      <w:r w:rsidR="00110E45">
        <w:rPr>
          <w:rFonts w:ascii="Segoe UI" w:eastAsia="Times New Roman" w:hAnsi="Segoe UI" w:cs="Segoe UI"/>
          <w:color w:val="172B4D"/>
          <w:spacing w:val="-1"/>
          <w:kern w:val="0"/>
          <w:sz w:val="24"/>
          <w:szCs w:val="24"/>
        </w:rPr>
        <w:t xml:space="preserve"> publicly required information </w:t>
      </w:r>
      <w:r>
        <w:rPr>
          <w:rFonts w:ascii="Segoe UI" w:eastAsia="Times New Roman" w:hAnsi="Segoe UI" w:cs="Segoe UI"/>
          <w:color w:val="172B4D"/>
          <w:spacing w:val="-1"/>
          <w:kern w:val="0"/>
          <w:sz w:val="24"/>
          <w:szCs w:val="24"/>
        </w:rPr>
        <w:t>that MUST be</w:t>
      </w:r>
      <w:r w:rsidR="00110E45">
        <w:rPr>
          <w:rFonts w:ascii="Segoe UI" w:eastAsia="Times New Roman" w:hAnsi="Segoe UI" w:cs="Segoe UI"/>
          <w:color w:val="172B4D"/>
          <w:spacing w:val="-1"/>
          <w:kern w:val="0"/>
          <w:sz w:val="24"/>
          <w:szCs w:val="24"/>
        </w:rPr>
        <w:t xml:space="preserve"> provided</w:t>
      </w:r>
      <w:r>
        <w:rPr>
          <w:rFonts w:ascii="Segoe UI" w:eastAsia="Times New Roman" w:hAnsi="Segoe UI" w:cs="Segoe UI"/>
          <w:color w:val="172B4D"/>
          <w:spacing w:val="-1"/>
          <w:kern w:val="0"/>
          <w:sz w:val="24"/>
          <w:szCs w:val="24"/>
        </w:rPr>
        <w:t xml:space="preserve">, referring to the PII Controller Identity and Contact information which is required in all privacy legal instruments.  Transparency in this regard is a universal requirement, and required for free, </w:t>
      </w:r>
      <w:proofErr w:type="gramStart"/>
      <w:r>
        <w:rPr>
          <w:rFonts w:ascii="Segoe UI" w:eastAsia="Times New Roman" w:hAnsi="Segoe UI" w:cs="Segoe UI"/>
          <w:color w:val="172B4D"/>
          <w:spacing w:val="-1"/>
          <w:kern w:val="0"/>
          <w:sz w:val="24"/>
          <w:szCs w:val="24"/>
        </w:rPr>
        <w:t>prior</w:t>
      </w:r>
      <w:proofErr w:type="gramEnd"/>
      <w:r>
        <w:rPr>
          <w:rFonts w:ascii="Segoe UI" w:eastAsia="Times New Roman" w:hAnsi="Segoe UI" w:cs="Segoe UI"/>
          <w:color w:val="172B4D"/>
          <w:spacing w:val="-1"/>
          <w:kern w:val="0"/>
          <w:sz w:val="24"/>
          <w:szCs w:val="24"/>
        </w:rPr>
        <w:t xml:space="preserve"> and informed consent to scale online. </w:t>
      </w:r>
    </w:p>
    <w:p w14:paraId="4C73DA5D"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TPI’s here are used to assess </w:t>
      </w:r>
      <w:proofErr w:type="gramStart"/>
      <w:r>
        <w:rPr>
          <w:rFonts w:ascii="Segoe UI" w:eastAsia="Times New Roman" w:hAnsi="Segoe UI" w:cs="Segoe UI"/>
          <w:color w:val="172B4D"/>
          <w:spacing w:val="-1"/>
          <w:kern w:val="0"/>
          <w:sz w:val="24"/>
          <w:szCs w:val="24"/>
        </w:rPr>
        <w:t>session based</w:t>
      </w:r>
      <w:proofErr w:type="gramEnd"/>
      <w:r>
        <w:rPr>
          <w:rFonts w:ascii="Segoe UI" w:eastAsia="Times New Roman" w:hAnsi="Segoe UI" w:cs="Segoe UI"/>
          <w:color w:val="172B4D"/>
          <w:spacing w:val="-1"/>
          <w:kern w:val="0"/>
          <w:sz w:val="24"/>
          <w:szCs w:val="24"/>
        </w:rPr>
        <w:t xml:space="preserve"> data capture and </w:t>
      </w:r>
      <w:proofErr w:type="spellStart"/>
      <w:r>
        <w:rPr>
          <w:rFonts w:ascii="Segoe UI" w:eastAsia="Times New Roman" w:hAnsi="Segoe UI" w:cs="Segoe UI"/>
          <w:color w:val="172B4D"/>
          <w:spacing w:val="-1"/>
          <w:kern w:val="0"/>
          <w:sz w:val="24"/>
          <w:szCs w:val="24"/>
        </w:rPr>
        <w:t>self asserted</w:t>
      </w:r>
      <w:proofErr w:type="spellEnd"/>
      <w:r>
        <w:rPr>
          <w:rFonts w:ascii="Segoe UI" w:eastAsia="Times New Roman" w:hAnsi="Segoe UI" w:cs="Segoe UI"/>
          <w:color w:val="172B4D"/>
          <w:spacing w:val="-1"/>
          <w:kern w:val="0"/>
          <w:sz w:val="24"/>
          <w:szCs w:val="24"/>
        </w:rPr>
        <w:t xml:space="preserve"> information by organizations, referred to as Level </w:t>
      </w:r>
      <w:r w:rsidR="00110E45">
        <w:rPr>
          <w:rFonts w:ascii="Segoe UI" w:eastAsia="Times New Roman" w:hAnsi="Segoe UI" w:cs="Segoe UI"/>
          <w:color w:val="172B4D"/>
          <w:spacing w:val="-1"/>
          <w:kern w:val="0"/>
          <w:sz w:val="24"/>
          <w:szCs w:val="24"/>
        </w:rPr>
        <w:t>of Trust Assurance 0</w:t>
      </w:r>
      <w:r>
        <w:rPr>
          <w:rFonts w:ascii="Segoe UI" w:eastAsia="Times New Roman" w:hAnsi="Segoe UI" w:cs="Segoe UI"/>
          <w:color w:val="172B4D"/>
          <w:spacing w:val="-1"/>
          <w:kern w:val="0"/>
          <w:sz w:val="24"/>
          <w:szCs w:val="24"/>
        </w:rPr>
        <w:t>, in the ANCR record framework.  Which means the TPI report, provides the same level of assurance as a privacy policy link or page does on website, or a sign.   In which there is no additional assurance of the validity of the PII Controller information provided.</w:t>
      </w:r>
    </w:p>
    <w:p w14:paraId="138CEE4A"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Note to reader: The ANCR Record Framework presents 4 levels of transparency assurance for PII Controller Notice Credentials, which can be use in 3 vectors if digital governance, 1. Personal data control 2. Data Protection 3. Co-regulation, which is what is assessed in this document at the public assurance level 0. </w:t>
      </w:r>
    </w:p>
    <w:p w14:paraId="209E51D2"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TPI 1 - Measuring the Timing of </w:t>
      </w:r>
      <w:r w:rsidR="00502E0C">
        <w:rPr>
          <w:rFonts w:ascii="Segoe UI" w:eastAsia="Times New Roman" w:hAnsi="Segoe UI" w:cs="Segoe UI"/>
          <w:color w:val="172B4D"/>
          <w:spacing w:val="-2"/>
          <w:kern w:val="0"/>
          <w:sz w:val="34"/>
          <w:szCs w:val="34"/>
        </w:rPr>
        <w:t xml:space="preserve">PII Controller Identity </w:t>
      </w:r>
      <w:r>
        <w:rPr>
          <w:rFonts w:ascii="Segoe UI" w:eastAsia="Times New Roman" w:hAnsi="Segoe UI" w:cs="Segoe UI"/>
          <w:color w:val="172B4D"/>
          <w:spacing w:val="-2"/>
          <w:kern w:val="0"/>
          <w:sz w:val="34"/>
          <w:szCs w:val="34"/>
        </w:rPr>
        <w:t>Noti</w:t>
      </w:r>
      <w:r w:rsidR="00502E0C">
        <w:rPr>
          <w:rFonts w:ascii="Segoe UI" w:eastAsia="Times New Roman" w:hAnsi="Segoe UI" w:cs="Segoe UI"/>
          <w:color w:val="172B4D"/>
          <w:spacing w:val="-2"/>
          <w:kern w:val="0"/>
          <w:sz w:val="34"/>
          <w:szCs w:val="34"/>
        </w:rPr>
        <w:t>fication</w:t>
      </w:r>
      <w:r>
        <w:rPr>
          <w:rFonts w:ascii="Segoe UI" w:eastAsia="Times New Roman" w:hAnsi="Segoe UI" w:cs="Segoe UI"/>
          <w:color w:val="172B4D"/>
          <w:spacing w:val="-2"/>
          <w:kern w:val="0"/>
          <w:sz w:val="34"/>
          <w:szCs w:val="34"/>
        </w:rPr>
        <w:t>:</w:t>
      </w:r>
    </w:p>
    <w:p w14:paraId="74B59CF5" w14:textId="77777777" w:rsidR="00502E0C"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TPI captures when the Controller's legal entity and accountable Privacy Officer (digital identifiers) provide notice</w:t>
      </w:r>
      <w:r w:rsidR="00502E0C">
        <w:rPr>
          <w:rFonts w:ascii="Segoe UI" w:eastAsia="Times New Roman" w:hAnsi="Segoe UI" w:cs="Segoe UI"/>
          <w:color w:val="172B4D"/>
          <w:spacing w:val="-1"/>
          <w:kern w:val="0"/>
          <w:sz w:val="24"/>
          <w:szCs w:val="24"/>
        </w:rPr>
        <w:t xml:space="preserve"> of their identity</w:t>
      </w:r>
      <w:r>
        <w:rPr>
          <w:rFonts w:ascii="Segoe UI" w:eastAsia="Times New Roman" w:hAnsi="Segoe UI" w:cs="Segoe UI"/>
          <w:color w:val="172B4D"/>
          <w:spacing w:val="-1"/>
          <w:kern w:val="0"/>
          <w:sz w:val="24"/>
          <w:szCs w:val="24"/>
        </w:rPr>
        <w:t>;</w:t>
      </w:r>
      <w:r w:rsidR="00502E0C">
        <w:rPr>
          <w:rFonts w:ascii="Segoe UI" w:eastAsia="Times New Roman" w:hAnsi="Segoe UI" w:cs="Segoe UI"/>
          <w:color w:val="172B4D"/>
          <w:spacing w:val="-1"/>
          <w:kern w:val="0"/>
          <w:sz w:val="24"/>
          <w:szCs w:val="24"/>
        </w:rPr>
        <w:t xml:space="preserve"> measuring if it is </w:t>
      </w:r>
    </w:p>
    <w:p w14:paraId="765361A1"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Before, </w:t>
      </w:r>
    </w:p>
    <w:p w14:paraId="77D55CCA"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At the time of,</w:t>
      </w:r>
    </w:p>
    <w:p w14:paraId="4F55A299" w14:textId="77777777" w:rsidR="00502E0C" w:rsidRDefault="00502E0C"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During</w:t>
      </w:r>
    </w:p>
    <w:p w14:paraId="234BB31B"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or </w:t>
      </w:r>
      <w:proofErr w:type="gramStart"/>
      <w:r w:rsidRPr="00502E0C">
        <w:rPr>
          <w:rFonts w:ascii="Segoe UI" w:eastAsia="Times New Roman" w:hAnsi="Segoe UI" w:cs="Segoe UI"/>
          <w:color w:val="172B4D"/>
          <w:spacing w:val="-1"/>
          <w:kern w:val="0"/>
          <w:sz w:val="24"/>
          <w:szCs w:val="24"/>
        </w:rPr>
        <w:t>After</w:t>
      </w:r>
      <w:proofErr w:type="gramEnd"/>
      <w:r w:rsidRPr="00502E0C">
        <w:rPr>
          <w:rFonts w:ascii="Segoe UI" w:eastAsia="Times New Roman" w:hAnsi="Segoe UI" w:cs="Segoe UI"/>
          <w:color w:val="172B4D"/>
          <w:spacing w:val="-1"/>
          <w:kern w:val="0"/>
          <w:sz w:val="24"/>
          <w:szCs w:val="24"/>
        </w:rPr>
        <w:t xml:space="preserve"> personal data is captured. </w:t>
      </w:r>
    </w:p>
    <w:p w14:paraId="2A22DF63" w14:textId="77777777" w:rsidR="00502E0C" w:rsidRPr="00502E0C" w:rsidRDefault="00502E0C" w:rsidP="00502E0C">
      <w:pPr>
        <w:shd w:val="clear" w:color="auto" w:fill="FFFFFF"/>
        <w:spacing w:before="100" w:after="100" w:line="240" w:lineRule="auto"/>
        <w:ind w:left="60"/>
        <w:rPr>
          <w:rFonts w:ascii="Segoe UI" w:eastAsia="Times New Roman" w:hAnsi="Segoe UI" w:cs="Segoe UI"/>
          <w:color w:val="172B4D"/>
          <w:spacing w:val="-1"/>
          <w:kern w:val="0"/>
          <w:sz w:val="24"/>
          <w:szCs w:val="24"/>
        </w:rPr>
      </w:pPr>
    </w:p>
    <w:p w14:paraId="16E0A4DF" w14:textId="77777777" w:rsidR="00502E0C" w:rsidRDefault="00502E0C" w:rsidP="00502E0C">
      <w:pPr>
        <w:shd w:val="clear" w:color="auto" w:fill="FFFFFF"/>
        <w:spacing w:before="100" w:after="100" w:line="240" w:lineRule="auto"/>
        <w:ind w:left="60"/>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Assessing how</w:t>
      </w:r>
      <w:r w:rsidR="00110E45" w:rsidRPr="00502E0C">
        <w:rPr>
          <w:rFonts w:ascii="Segoe UI" w:eastAsia="Times New Roman" w:hAnsi="Segoe UI" w:cs="Segoe UI"/>
          <w:color w:val="172B4D"/>
          <w:spacing w:val="-1"/>
          <w:kern w:val="0"/>
          <w:sz w:val="24"/>
          <w:szCs w:val="24"/>
        </w:rPr>
        <w:t xml:space="preserve"> dynamic</w:t>
      </w:r>
      <w:r>
        <w:rPr>
          <w:rFonts w:ascii="Segoe UI" w:eastAsia="Times New Roman" w:hAnsi="Segoe UI" w:cs="Segoe UI"/>
          <w:color w:val="172B4D"/>
          <w:spacing w:val="-1"/>
          <w:kern w:val="0"/>
          <w:sz w:val="24"/>
          <w:szCs w:val="24"/>
        </w:rPr>
        <w:t xml:space="preserve"> and operational</w:t>
      </w:r>
      <w:r w:rsidR="00110E45" w:rsidRPr="00502E0C">
        <w:rPr>
          <w:rFonts w:ascii="Segoe UI" w:eastAsia="Times New Roman" w:hAnsi="Segoe UI" w:cs="Segoe UI"/>
          <w:color w:val="172B4D"/>
          <w:spacing w:val="-1"/>
          <w:kern w:val="0"/>
          <w:sz w:val="24"/>
          <w:szCs w:val="24"/>
        </w:rPr>
        <w:t xml:space="preserve"> transparency </w:t>
      </w:r>
      <w:r>
        <w:rPr>
          <w:rFonts w:ascii="Segoe UI" w:eastAsia="Times New Roman" w:hAnsi="Segoe UI" w:cs="Segoe UI"/>
          <w:color w:val="172B4D"/>
          <w:spacing w:val="-1"/>
          <w:kern w:val="0"/>
          <w:sz w:val="24"/>
          <w:szCs w:val="24"/>
        </w:rPr>
        <w:t>to</w:t>
      </w:r>
      <w:r w:rsidR="00110E45" w:rsidRPr="00502E0C">
        <w:rPr>
          <w:rFonts w:ascii="Segoe UI" w:eastAsia="Times New Roman" w:hAnsi="Segoe UI" w:cs="Segoe UI"/>
          <w:color w:val="172B4D"/>
          <w:spacing w:val="-1"/>
          <w:kern w:val="0"/>
          <w:sz w:val="24"/>
          <w:szCs w:val="24"/>
        </w:rPr>
        <w:t xml:space="preserve"> provide a way for an individual to assess if they can trust a service or not</w:t>
      </w:r>
      <w:r>
        <w:rPr>
          <w:rFonts w:ascii="Segoe UI" w:eastAsia="Times New Roman" w:hAnsi="Segoe UI" w:cs="Segoe UI"/>
          <w:color w:val="172B4D"/>
          <w:spacing w:val="-1"/>
          <w:kern w:val="0"/>
          <w:sz w:val="24"/>
          <w:szCs w:val="24"/>
        </w:rPr>
        <w:t xml:space="preserve">. Assessing compliance with Article </w:t>
      </w:r>
      <w:r>
        <w:rPr>
          <w:rFonts w:ascii="Segoe UI" w:hAnsi="Segoe UI" w:cs="Segoe UI"/>
          <w:color w:val="172B4D"/>
          <w:spacing w:val="-1"/>
        </w:rPr>
        <w:t xml:space="preserve">14.1, specifically defined in Article, </w:t>
      </w:r>
      <w:r>
        <w:rPr>
          <w:rFonts w:ascii="Segoe UI" w:eastAsia="Times New Roman" w:hAnsi="Segoe UI" w:cs="Segoe UI"/>
          <w:color w:val="172B4D"/>
          <w:spacing w:val="-1"/>
          <w:kern w:val="0"/>
          <w:sz w:val="24"/>
          <w:szCs w:val="24"/>
        </w:rPr>
        <w:t>15 1, a) and b)</w:t>
      </w:r>
    </w:p>
    <w:p w14:paraId="4321B290" w14:textId="77777777" w:rsidR="00502E0C" w:rsidRPr="00502E0C" w:rsidRDefault="00502E0C" w:rsidP="00502E0C">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7ECC16F3" w14:textId="77777777" w:rsidR="00502E0C" w:rsidRPr="00502E0C" w:rsidRDefault="00502E0C" w:rsidP="00502E0C">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w:t>
      </w:r>
      <w:proofErr w:type="gramStart"/>
      <w:r w:rsidRPr="00502E0C">
        <w:rPr>
          <w:rFonts w:eastAsia="Times New Roman"/>
          <w:kern w:val="0"/>
        </w:rPr>
        <w:t>all of</w:t>
      </w:r>
      <w:proofErr w:type="gramEnd"/>
      <w:r w:rsidRPr="00502E0C">
        <w:rPr>
          <w:rFonts w:eastAsia="Times New Roman"/>
          <w:kern w:val="0"/>
        </w:rPr>
        <w:t xml:space="preserve"> the following information: </w:t>
      </w:r>
    </w:p>
    <w:p w14:paraId="769963E8" w14:textId="77777777" w:rsidR="00502E0C" w:rsidRPr="00502E0C" w:rsidRDefault="00502E0C" w:rsidP="00502E0C">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w:t>
      </w:r>
      <w:proofErr w:type="gramStart"/>
      <w:r w:rsidRPr="00502E0C">
        <w:rPr>
          <w:rFonts w:ascii="EUAlbertina-Regu-Identity-H" w:eastAsia="Times New Roman" w:hAnsi="EUAlbertina-Regu-Identity-H"/>
          <w:kern w:val="0"/>
          <w:sz w:val="20"/>
          <w:szCs w:val="20"/>
          <w:lang w:val="en-CA" w:eastAsia="en-GB"/>
        </w:rPr>
        <w:t>controller;</w:t>
      </w:r>
      <w:proofErr w:type="gramEnd"/>
      <w:r w:rsidRPr="00502E0C">
        <w:rPr>
          <w:rFonts w:ascii="EUAlbertina-Regu-Identity-H" w:eastAsia="Times New Roman" w:hAnsi="EUAlbertina-Regu-Identity-H"/>
          <w:kern w:val="0"/>
          <w:sz w:val="20"/>
          <w:szCs w:val="20"/>
          <w:lang w:val="en-CA" w:eastAsia="en-GB"/>
        </w:rPr>
        <w:t xml:space="preserve"> </w:t>
      </w:r>
    </w:p>
    <w:p w14:paraId="759AB064" w14:textId="77777777" w:rsidR="00502E0C" w:rsidRPr="00502E0C" w:rsidRDefault="00502E0C" w:rsidP="00502E0C">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w:t>
      </w:r>
      <w:proofErr w:type="gramStart"/>
      <w:r w:rsidRPr="00502E0C">
        <w:rPr>
          <w:rFonts w:ascii="EUAlbertina-Regu-Identity-H" w:eastAsia="Times New Roman" w:hAnsi="EUAlbertina-Regu-Identity-H"/>
          <w:kern w:val="0"/>
          <w:sz w:val="20"/>
          <w:szCs w:val="20"/>
          <w:lang w:val="en-CA" w:eastAsia="en-GB"/>
        </w:rPr>
        <w:t>officer;</w:t>
      </w:r>
      <w:proofErr w:type="gramEnd"/>
      <w:r w:rsidRPr="00502E0C">
        <w:rPr>
          <w:rFonts w:ascii="EUAlbertina-Regu-Identity-H" w:eastAsia="Times New Roman" w:hAnsi="EUAlbertina-Regu-Identity-H"/>
          <w:kern w:val="0"/>
          <w:sz w:val="20"/>
          <w:szCs w:val="20"/>
          <w:lang w:val="en-CA" w:eastAsia="en-GB"/>
        </w:rPr>
        <w:t xml:space="preserve"> </w:t>
      </w:r>
    </w:p>
    <w:p w14:paraId="4A6DE8EF"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lastRenderedPageBreak/>
        <w:t xml:space="preserve">Note: This is the most common legislated privacy element in the world, required </w:t>
      </w:r>
      <w:r w:rsidR="00502E0C">
        <w:rPr>
          <w:rFonts w:ascii="Segoe UI" w:eastAsia="Times New Roman" w:hAnsi="Segoe UI" w:cs="Segoe UI"/>
          <w:color w:val="172B4D"/>
          <w:spacing w:val="-1"/>
          <w:kern w:val="0"/>
          <w:sz w:val="24"/>
          <w:szCs w:val="24"/>
        </w:rPr>
        <w:t>and mappable to</w:t>
      </w:r>
      <w:r>
        <w:rPr>
          <w:rFonts w:ascii="Segoe UI" w:eastAsia="Times New Roman" w:hAnsi="Segoe UI" w:cs="Segoe UI"/>
          <w:color w:val="172B4D"/>
          <w:spacing w:val="-1"/>
          <w:kern w:val="0"/>
          <w:sz w:val="24"/>
          <w:szCs w:val="24"/>
        </w:rPr>
        <w:t xml:space="preserve"> all privacy legislation and instruments. </w:t>
      </w:r>
      <w:hyperlink r:id="rId11" w:tooltip="https://kantara.atlassian.net/wiki/spaces/WA/pages/2916489/Auxiliary+Reference+Documents?search_id=d979240f-f5c8-42e3-8c8c-5dbd2dd748d0" w:history="1">
        <w:r>
          <w:rPr>
            <w:rFonts w:ascii="Segoe UI" w:eastAsia="Times New Roman" w:hAnsi="Segoe UI" w:cs="Segoe UI"/>
            <w:color w:val="0000FF"/>
            <w:spacing w:val="-1"/>
            <w:kern w:val="0"/>
            <w:sz w:val="24"/>
            <w:szCs w:val="24"/>
            <w:u w:val="single"/>
          </w:rPr>
          <w:t>(ISTPA 2007)</w:t>
        </w:r>
      </w:hyperlink>
      <w:r w:rsidR="00502E0C">
        <w:rPr>
          <w:rFonts w:ascii="Segoe UI" w:eastAsia="Times New Roman" w:hAnsi="Segoe UI" w:cs="Segoe UI"/>
          <w:color w:val="0000FF"/>
          <w:spacing w:val="-1"/>
          <w:kern w:val="0"/>
          <w:sz w:val="24"/>
          <w:szCs w:val="24"/>
          <w:u w:val="single"/>
        </w:rPr>
        <w:t>p.64</w:t>
      </w:r>
    </w:p>
    <w:p w14:paraId="758DF55C"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TPI 2 - Measures Required Data Elements </w:t>
      </w:r>
    </w:p>
    <w:p w14:paraId="620AB0C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TPI </w:t>
      </w:r>
      <w:r w:rsidR="00502E0C">
        <w:rPr>
          <w:rFonts w:ascii="Segoe UI" w:eastAsia="Times New Roman" w:hAnsi="Segoe UI" w:cs="Segoe UI"/>
          <w:color w:val="172B4D"/>
          <w:spacing w:val="-1"/>
          <w:kern w:val="0"/>
          <w:sz w:val="24"/>
          <w:szCs w:val="24"/>
        </w:rPr>
        <w:t>captures the</w:t>
      </w:r>
      <w:r>
        <w:rPr>
          <w:rFonts w:ascii="Segoe UI" w:eastAsia="Times New Roman" w:hAnsi="Segoe UI" w:cs="Segoe UI"/>
          <w:color w:val="172B4D"/>
          <w:spacing w:val="-1"/>
          <w:kern w:val="0"/>
          <w:sz w:val="24"/>
          <w:szCs w:val="24"/>
        </w:rPr>
        <w:t xml:space="preserve"> data elements required for all data processing (except when legally regulated otherwise [3] derogation). In “all” cases a Notice of who is processing your data, who is </w:t>
      </w:r>
      <w:proofErr w:type="gramStart"/>
      <w:r>
        <w:rPr>
          <w:rFonts w:ascii="Segoe UI" w:eastAsia="Times New Roman" w:hAnsi="Segoe UI" w:cs="Segoe UI"/>
          <w:color w:val="172B4D"/>
          <w:spacing w:val="-1"/>
          <w:kern w:val="0"/>
          <w:sz w:val="24"/>
          <w:szCs w:val="24"/>
        </w:rPr>
        <w:t>a</w:t>
      </w:r>
      <w:proofErr w:type="gramEnd"/>
      <w:r>
        <w:rPr>
          <w:rFonts w:ascii="Segoe UI" w:eastAsia="Times New Roman" w:hAnsi="Segoe UI" w:cs="Segoe UI"/>
          <w:color w:val="172B4D"/>
          <w:spacing w:val="-1"/>
          <w:kern w:val="0"/>
          <w:sz w:val="24"/>
          <w:szCs w:val="24"/>
        </w:rPr>
        <w:t xml:space="preserve"> accountable and the privacy contact information for access to personal information </w:t>
      </w:r>
      <w:r w:rsidR="00502E0C">
        <w:rPr>
          <w:rFonts w:ascii="Segoe UI" w:eastAsia="Times New Roman" w:hAnsi="Segoe UI" w:cs="Segoe UI"/>
          <w:color w:val="172B4D"/>
          <w:spacing w:val="-1"/>
          <w:kern w:val="0"/>
          <w:sz w:val="24"/>
          <w:szCs w:val="24"/>
        </w:rPr>
        <w:t>is required to</w:t>
      </w:r>
      <w:r>
        <w:rPr>
          <w:rFonts w:ascii="Segoe UI" w:eastAsia="Times New Roman" w:hAnsi="Segoe UI" w:cs="Segoe UI"/>
          <w:color w:val="172B4D"/>
          <w:spacing w:val="-1"/>
          <w:kern w:val="0"/>
          <w:sz w:val="24"/>
          <w:szCs w:val="24"/>
        </w:rPr>
        <w:t xml:space="preserve"> be </w:t>
      </w:r>
      <w:r w:rsidRPr="00502E0C">
        <w:rPr>
          <w:rFonts w:ascii="Segoe UI" w:eastAsia="Times New Roman" w:hAnsi="Segoe UI" w:cs="Segoe UI"/>
          <w:i/>
          <w:iCs/>
          <w:color w:val="172B4D"/>
          <w:spacing w:val="-1"/>
          <w:kern w:val="0"/>
          <w:sz w:val="24"/>
          <w:szCs w:val="24"/>
        </w:rPr>
        <w:t>provided</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 xml:space="preserve"> [Art 14.1]</w:t>
      </w:r>
    </w:p>
    <w:p w14:paraId="4F2C7A90"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Specifically, a </w:t>
      </w:r>
      <w:proofErr w:type="gramStart"/>
      <w:r>
        <w:rPr>
          <w:rFonts w:ascii="Segoe UI" w:eastAsia="Times New Roman" w:hAnsi="Segoe UI" w:cs="Segoe UI"/>
          <w:color w:val="172B4D"/>
          <w:spacing w:val="-1"/>
          <w:kern w:val="0"/>
          <w:sz w:val="24"/>
          <w:szCs w:val="24"/>
        </w:rPr>
        <w:t>first time</w:t>
      </w:r>
      <w:proofErr w:type="gramEnd"/>
      <w:r>
        <w:rPr>
          <w:rFonts w:ascii="Segoe UI" w:eastAsia="Times New Roman" w:hAnsi="Segoe UI" w:cs="Segoe UI"/>
          <w:color w:val="172B4D"/>
          <w:spacing w:val="-1"/>
          <w:kern w:val="0"/>
          <w:sz w:val="24"/>
          <w:szCs w:val="24"/>
        </w:rPr>
        <w:t xml:space="preserve"> notice must include 2 factors, 1) is notice credential 2) is the practices relating to permissions</w:t>
      </w:r>
    </w:p>
    <w:p w14:paraId="7866CFF5"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Digital Privacy transparency elements:</w:t>
      </w:r>
    </w:p>
    <w:p w14:paraId="1B44EE8E"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Legal Entity Identity Name, </w:t>
      </w:r>
    </w:p>
    <w:p w14:paraId="3E807D80"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Address, Contact information </w:t>
      </w:r>
    </w:p>
    <w:p w14:paraId="625B6F04"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Name or role of Data Privacy Officer (or the authoritative owner and Accountable Person (AP) in charge of that legal entity</w:t>
      </w:r>
    </w:p>
    <w:p w14:paraId="68BECC49"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Privacy services access and contact point information</w:t>
      </w:r>
    </w:p>
    <w:p w14:paraId="7AAFF292"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Privacy or other Governance Policy Governing the processing of personal information  </w:t>
      </w:r>
    </w:p>
    <w:p w14:paraId="4AF9B403"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Transparency before use </w:t>
      </w:r>
    </w:p>
    <w:p w14:paraId="687BC35C"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Legal Basis and Purpose for Processing </w:t>
      </w:r>
    </w:p>
    <w:p w14:paraId="6F028C51"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Recipients or categories of recipients if Any</w:t>
      </w:r>
    </w:p>
    <w:p w14:paraId="4FCDEED8"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Transfer of data on networks out of Country, to a 3</w:t>
      </w:r>
      <w:r w:rsidRPr="00502E0C">
        <w:rPr>
          <w:rFonts w:ascii="Segoe UI" w:eastAsia="Times New Roman" w:hAnsi="Segoe UI" w:cs="Segoe UI"/>
          <w:color w:val="172B4D"/>
          <w:spacing w:val="-1"/>
          <w:kern w:val="0"/>
          <w:sz w:val="24"/>
          <w:szCs w:val="24"/>
          <w:vertAlign w:val="superscript"/>
        </w:rPr>
        <w:t>rd</w:t>
      </w:r>
      <w:r>
        <w:rPr>
          <w:rFonts w:ascii="Segoe UI" w:eastAsia="Times New Roman" w:hAnsi="Segoe UI" w:cs="Segoe UI"/>
          <w:color w:val="172B4D"/>
          <w:spacing w:val="-1"/>
          <w:kern w:val="0"/>
          <w:sz w:val="24"/>
          <w:szCs w:val="24"/>
        </w:rPr>
        <w:t xml:space="preserve"> Country, and the existence of adequacy, existence of safeguards, where to get a copy of </w:t>
      </w:r>
      <w:proofErr w:type="gramStart"/>
      <w:r>
        <w:rPr>
          <w:rFonts w:ascii="Segoe UI" w:eastAsia="Times New Roman" w:hAnsi="Segoe UI" w:cs="Segoe UI"/>
          <w:color w:val="172B4D"/>
          <w:spacing w:val="-1"/>
          <w:kern w:val="0"/>
          <w:sz w:val="24"/>
          <w:szCs w:val="24"/>
        </w:rPr>
        <w:t>them,  or</w:t>
      </w:r>
      <w:proofErr w:type="gramEnd"/>
      <w:r>
        <w:rPr>
          <w:rFonts w:ascii="Segoe UI" w:eastAsia="Times New Roman" w:hAnsi="Segoe UI" w:cs="Segoe UI"/>
          <w:color w:val="172B4D"/>
          <w:spacing w:val="-1"/>
          <w:kern w:val="0"/>
          <w:sz w:val="24"/>
          <w:szCs w:val="24"/>
        </w:rPr>
        <w:t xml:space="preserve"> where they have been made available.(</w:t>
      </w:r>
      <w:commentRangeStart w:id="0"/>
      <w:r>
        <w:rPr>
          <w:rFonts w:ascii="Segoe UI" w:eastAsia="Times New Roman" w:hAnsi="Segoe UI" w:cs="Segoe UI"/>
          <w:color w:val="172B4D"/>
          <w:spacing w:val="-1"/>
          <w:kern w:val="0"/>
          <w:sz w:val="24"/>
          <w:szCs w:val="24"/>
        </w:rPr>
        <w:t>note</w:t>
      </w:r>
      <w:commentRangeEnd w:id="0"/>
      <w:r>
        <w:rPr>
          <w:rStyle w:val="CommentReference"/>
        </w:rPr>
        <w:commentReference w:id="0"/>
      </w:r>
      <w:r>
        <w:rPr>
          <w:rFonts w:ascii="Segoe UI" w:eastAsia="Times New Roman" w:hAnsi="Segoe UI" w:cs="Segoe UI"/>
          <w:color w:val="172B4D"/>
          <w:spacing w:val="-1"/>
          <w:kern w:val="0"/>
          <w:sz w:val="24"/>
          <w:szCs w:val="24"/>
        </w:rPr>
        <w:t>)</w:t>
      </w:r>
    </w:p>
    <w:p w14:paraId="2A50B235" w14:textId="77777777" w:rsidR="00502E0C" w:rsidRP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Transparency required to be </w:t>
      </w:r>
      <w:commentRangeStart w:id="1"/>
      <w:r w:rsidRPr="00502E0C">
        <w:rPr>
          <w:rFonts w:ascii="Segoe UI" w:eastAsia="Times New Roman" w:hAnsi="Segoe UI" w:cs="Segoe UI"/>
          <w:color w:val="172B4D"/>
          <w:spacing w:val="-1"/>
          <w:kern w:val="0"/>
          <w:sz w:val="24"/>
          <w:szCs w:val="24"/>
        </w:rPr>
        <w:t>available in context</w:t>
      </w:r>
      <w:commentRangeEnd w:id="1"/>
      <w:r>
        <w:rPr>
          <w:rStyle w:val="CommentReference"/>
        </w:rPr>
        <w:commentReference w:id="1"/>
      </w:r>
      <w:r w:rsidRPr="00502E0C">
        <w:rPr>
          <w:rFonts w:ascii="Segoe UI" w:eastAsia="Times New Roman" w:hAnsi="Segoe UI" w:cs="Segoe UI"/>
          <w:color w:val="172B4D"/>
          <w:spacing w:val="-1"/>
          <w:kern w:val="0"/>
          <w:sz w:val="24"/>
          <w:szCs w:val="24"/>
        </w:rPr>
        <w:t xml:space="preserve">, during the time when PII is </w:t>
      </w:r>
      <w:proofErr w:type="gramStart"/>
      <w:r w:rsidRPr="00502E0C">
        <w:rPr>
          <w:rFonts w:ascii="Segoe UI" w:eastAsia="Times New Roman" w:hAnsi="Segoe UI" w:cs="Segoe UI"/>
          <w:color w:val="172B4D"/>
          <w:spacing w:val="-1"/>
          <w:kern w:val="0"/>
          <w:sz w:val="24"/>
          <w:szCs w:val="24"/>
        </w:rPr>
        <w:t>obtained  (</w:t>
      </w:r>
      <w:proofErr w:type="gramEnd"/>
      <w:r w:rsidRPr="00502E0C">
        <w:rPr>
          <w:rFonts w:ascii="Segoe UI" w:eastAsia="Times New Roman" w:hAnsi="Segoe UI" w:cs="Segoe UI"/>
          <w:color w:val="172B4D"/>
          <w:spacing w:val="-1"/>
          <w:kern w:val="0"/>
          <w:sz w:val="24"/>
          <w:szCs w:val="24"/>
        </w:rPr>
        <w:t>found in Transparency Statement or Privacy Policy  [</w:t>
      </w:r>
      <w:commentRangeStart w:id="2"/>
      <w:r w:rsidRPr="00502E0C">
        <w:rPr>
          <w:rFonts w:ascii="Segoe UI" w:eastAsia="Times New Roman" w:hAnsi="Segoe UI" w:cs="Segoe UI"/>
          <w:color w:val="172B4D"/>
          <w:spacing w:val="-1"/>
          <w:kern w:val="0"/>
          <w:sz w:val="24"/>
          <w:szCs w:val="24"/>
        </w:rPr>
        <w:t>note</w:t>
      </w:r>
      <w:commentRangeEnd w:id="2"/>
      <w:r>
        <w:rPr>
          <w:rStyle w:val="CommentReference"/>
        </w:rPr>
        <w:commentReference w:id="2"/>
      </w:r>
      <w:r w:rsidRPr="00502E0C">
        <w:rPr>
          <w:rFonts w:ascii="Segoe UI" w:eastAsia="Times New Roman" w:hAnsi="Segoe UI" w:cs="Segoe UI"/>
          <w:color w:val="172B4D"/>
          <w:spacing w:val="-1"/>
          <w:kern w:val="0"/>
          <w:sz w:val="24"/>
          <w:szCs w:val="24"/>
        </w:rPr>
        <w:t>]</w:t>
      </w:r>
    </w:p>
    <w:p w14:paraId="74D157A5"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proofErr w:type="gramStart"/>
      <w:r>
        <w:rPr>
          <w:rFonts w:ascii="Segoe UI" w:eastAsia="Times New Roman" w:hAnsi="Segoe UI" w:cs="Segoe UI"/>
          <w:color w:val="172B4D"/>
          <w:spacing w:val="-1"/>
          <w:kern w:val="0"/>
          <w:sz w:val="24"/>
          <w:szCs w:val="24"/>
        </w:rPr>
        <w:t>Period of time</w:t>
      </w:r>
      <w:proofErr w:type="gramEnd"/>
      <w:r>
        <w:rPr>
          <w:rFonts w:ascii="Segoe UI" w:eastAsia="Times New Roman" w:hAnsi="Segoe UI" w:cs="Segoe UI"/>
          <w:color w:val="172B4D"/>
          <w:spacing w:val="-1"/>
          <w:kern w:val="0"/>
          <w:sz w:val="24"/>
          <w:szCs w:val="24"/>
        </w:rPr>
        <w:t xml:space="preserve"> data stored</w:t>
      </w:r>
    </w:p>
    <w:p w14:paraId="1E1C3E38"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rights/controls to access and rectify</w:t>
      </w:r>
    </w:p>
    <w:p w14:paraId="3C8BA5C3"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 to manage consent</w:t>
      </w:r>
    </w:p>
    <w:p w14:paraId="54630540"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 to lodge a complaint with a DPA</w:t>
      </w:r>
    </w:p>
    <w:p w14:paraId="75CD592A"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Whether processing is based under a statutory, or contractual context or whether necessary for entering a contract, if the PII is obliged and the consequences of failure to provide this data, </w:t>
      </w:r>
    </w:p>
    <w:p w14:paraId="61E29631" w14:textId="77777777" w:rsidR="00502E0C" w:rsidRDefault="00502E0C" w:rsidP="00502E0C">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commentRangeStart w:id="3"/>
      <w:r>
        <w:rPr>
          <w:rFonts w:ascii="Segoe UI" w:eastAsia="Times New Roman" w:hAnsi="Segoe UI" w:cs="Segoe UI"/>
          <w:color w:val="172B4D"/>
          <w:spacing w:val="-1"/>
          <w:kern w:val="0"/>
          <w:sz w:val="24"/>
          <w:szCs w:val="24"/>
        </w:rPr>
        <w:t xml:space="preserve">Note: (Added by Editor) and who controls access to the authoritative version of the data processed. </w:t>
      </w:r>
      <w:commentRangeEnd w:id="3"/>
      <w:r>
        <w:rPr>
          <w:rStyle w:val="CommentReference"/>
        </w:rPr>
        <w:commentReference w:id="3"/>
      </w:r>
    </w:p>
    <w:p w14:paraId="4CA8D268"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Existence of </w:t>
      </w:r>
    </w:p>
    <w:p w14:paraId="039CBC3F" w14:textId="77777777" w:rsidR="00502E0C" w:rsidRDefault="00502E0C" w:rsidP="00502E0C">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AI, or any Automated </w:t>
      </w:r>
      <w:proofErr w:type="gramStart"/>
      <w:r>
        <w:rPr>
          <w:rFonts w:ascii="Segoe UI" w:eastAsia="Times New Roman" w:hAnsi="Segoe UI" w:cs="Segoe UI"/>
          <w:color w:val="172B4D"/>
          <w:spacing w:val="-1"/>
          <w:kern w:val="0"/>
          <w:sz w:val="24"/>
          <w:szCs w:val="24"/>
        </w:rPr>
        <w:t>decision making</w:t>
      </w:r>
      <w:proofErr w:type="gramEnd"/>
      <w:r>
        <w:rPr>
          <w:rFonts w:ascii="Segoe UI" w:eastAsia="Times New Roman" w:hAnsi="Segoe UI" w:cs="Segoe UI"/>
          <w:color w:val="172B4D"/>
          <w:spacing w:val="-1"/>
          <w:kern w:val="0"/>
          <w:sz w:val="24"/>
          <w:szCs w:val="24"/>
        </w:rPr>
        <w:t xml:space="preserve"> technology, </w:t>
      </w:r>
    </w:p>
    <w:p w14:paraId="2EEE75E9" w14:textId="77777777" w:rsidR="00502E0C" w:rsidRDefault="00502E0C" w:rsidP="00502E0C">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digital identity management surveillance technologies</w:t>
      </w:r>
    </w:p>
    <w:p w14:paraId="0D2E27E4" w14:textId="77777777" w:rsidR="00502E0C" w:rsidRDefault="00502E0C" w:rsidP="00502E0C">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any profiles generated</w:t>
      </w:r>
    </w:p>
    <w:p w14:paraId="3EBD0ACE" w14:textId="77777777" w:rsidR="00502E0C" w:rsidRDefault="00502E0C" w:rsidP="00502E0C">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Meaningful information about the logic involved, [</w:t>
      </w:r>
      <w:commentRangeStart w:id="4"/>
      <w:r w:rsidRPr="00502E0C">
        <w:rPr>
          <w:rFonts w:ascii="Segoe UI" w:eastAsia="Times New Roman" w:hAnsi="Segoe UI" w:cs="Segoe UI"/>
          <w:color w:val="172B4D"/>
          <w:spacing w:val="-1"/>
          <w:kern w:val="0"/>
          <w:sz w:val="24"/>
          <w:szCs w:val="24"/>
          <w:highlight w:val="yellow"/>
        </w:rPr>
        <w:t>Note</w:t>
      </w:r>
      <w:commentRangeEnd w:id="4"/>
      <w:r>
        <w:rPr>
          <w:rStyle w:val="CommentReference"/>
        </w:rPr>
        <w:commentReference w:id="4"/>
      </w:r>
      <w:r>
        <w:rPr>
          <w:rFonts w:ascii="Segoe UI" w:eastAsia="Times New Roman" w:hAnsi="Segoe UI" w:cs="Segoe UI"/>
          <w:color w:val="172B4D"/>
          <w:spacing w:val="-1"/>
          <w:kern w:val="0"/>
          <w:sz w:val="24"/>
          <w:szCs w:val="24"/>
        </w:rPr>
        <w:t>]</w:t>
      </w:r>
    </w:p>
    <w:p w14:paraId="7554446B" w14:textId="77777777" w:rsidR="00502E0C" w:rsidRDefault="00502E0C" w:rsidP="00502E0C">
      <w:pPr>
        <w:pStyle w:val="ListParagraph"/>
        <w:numPr>
          <w:ilvl w:val="3"/>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its significance</w:t>
      </w:r>
    </w:p>
    <w:p w14:paraId="3CD1B6EE" w14:textId="22961535" w:rsidR="00502E0C" w:rsidRDefault="00502E0C" w:rsidP="00502E0C">
      <w:pPr>
        <w:pStyle w:val="ListParagraph"/>
        <w:numPr>
          <w:ilvl w:val="3"/>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Expected consequences for and to Data subject</w:t>
      </w:r>
    </w:p>
    <w:p w14:paraId="72B84700" w14:textId="3DA0784E" w:rsidR="004E6659" w:rsidRPr="004E6659" w:rsidRDefault="004E6659" w:rsidP="004E6659">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edited to here **</w:t>
      </w:r>
    </w:p>
    <w:p w14:paraId="54639E41"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TPI 3 - Measure of Transparency Accessibility</w:t>
      </w:r>
    </w:p>
    <w:p w14:paraId="0CBAFCA2"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TPI measures the performance of transparency accessibility by capturing how the availability of the required information in TPI 2. For example, is the information presented in a pop-up notice, or is it required to click a link, </w:t>
      </w:r>
      <w:proofErr w:type="gramStart"/>
      <w:r>
        <w:rPr>
          <w:rFonts w:ascii="Segoe UI" w:eastAsia="Times New Roman" w:hAnsi="Segoe UI" w:cs="Segoe UI"/>
          <w:color w:val="172B4D"/>
          <w:spacing w:val="-1"/>
          <w:kern w:val="0"/>
          <w:sz w:val="24"/>
          <w:szCs w:val="24"/>
        </w:rPr>
        <w:t>e.g.</w:t>
      </w:r>
      <w:proofErr w:type="gramEnd"/>
      <w:r>
        <w:rPr>
          <w:rFonts w:ascii="Segoe UI" w:eastAsia="Times New Roman" w:hAnsi="Segoe UI" w:cs="Segoe UI"/>
          <w:color w:val="172B4D"/>
          <w:spacing w:val="-1"/>
          <w:kern w:val="0"/>
          <w:sz w:val="24"/>
          <w:szCs w:val="24"/>
        </w:rPr>
        <w:t xml:space="preserve"> to a standard transparency/privacy policy, is it the first screen or is it at a the bottom of a multi-screen display (with links not highlighted). </w:t>
      </w:r>
    </w:p>
    <w:p w14:paraId="7C7A7E3B"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TPI 4 - </w:t>
      </w:r>
      <w:proofErr w:type="gramStart"/>
      <w:r>
        <w:rPr>
          <w:rFonts w:ascii="Segoe UI" w:eastAsia="Times New Roman" w:hAnsi="Segoe UI" w:cs="Segoe UI"/>
          <w:color w:val="172B4D"/>
          <w:spacing w:val="-2"/>
          <w:kern w:val="0"/>
          <w:sz w:val="34"/>
          <w:szCs w:val="34"/>
        </w:rPr>
        <w:t>Measures</w:t>
      </w:r>
      <w:proofErr w:type="gramEnd"/>
      <w:r>
        <w:rPr>
          <w:rFonts w:ascii="Segoe UI" w:eastAsia="Times New Roman" w:hAnsi="Segoe UI" w:cs="Segoe UI"/>
          <w:color w:val="172B4D"/>
          <w:spacing w:val="-2"/>
          <w:kern w:val="0"/>
          <w:sz w:val="34"/>
          <w:szCs w:val="34"/>
        </w:rPr>
        <w:t xml:space="preserve"> security information integrity </w:t>
      </w:r>
    </w:p>
    <w:p w14:paraId="0249A429"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This TPI captures the (Secure Socket Layer/Transport Layer Security) SSL/TLS (</w:t>
      </w:r>
      <w:hyperlink r:id="rId15" w:tooltip="https://datatracker.ietf.org/doc/rfc8446/" w:history="1">
        <w:r>
          <w:rPr>
            <w:rFonts w:ascii="Segoe UI" w:eastAsia="Times New Roman" w:hAnsi="Segoe UI" w:cs="Segoe UI"/>
            <w:color w:val="0000FF"/>
            <w:spacing w:val="-1"/>
            <w:kern w:val="0"/>
            <w:sz w:val="24"/>
            <w:szCs w:val="24"/>
            <w:u w:val="single"/>
          </w:rPr>
          <w:t>e.g. 1.3</w:t>
        </w:r>
      </w:hyperlink>
      <w:r>
        <w:rPr>
          <w:rFonts w:ascii="Segoe UI" w:eastAsia="Times New Roman" w:hAnsi="Segoe UI" w:cs="Segoe UI"/>
          <w:color w:val="172B4D"/>
          <w:spacing w:val="-1"/>
          <w:kern w:val="0"/>
          <w:sz w:val="24"/>
          <w:szCs w:val="24"/>
        </w:rPr>
        <w:t>) certificate or security keys (</w:t>
      </w:r>
      <w:hyperlink r:id="rId16" w:tooltip="https://datatracker.ietf.org/group/jose/about/" w:history="1">
        <w:r>
          <w:rPr>
            <w:rFonts w:ascii="Segoe UI" w:eastAsia="Times New Roman" w:hAnsi="Segoe UI" w:cs="Segoe UI"/>
            <w:color w:val="0000FF"/>
            <w:spacing w:val="-1"/>
            <w:kern w:val="0"/>
            <w:sz w:val="24"/>
            <w:szCs w:val="24"/>
            <w:u w:val="single"/>
          </w:rPr>
          <w:t>e.g. JOSE</w:t>
        </w:r>
      </w:hyperlink>
      <w:r>
        <w:rPr>
          <w:rFonts w:ascii="Segoe UI" w:eastAsia="Times New Roman" w:hAnsi="Segoe UI" w:cs="Segoe UI"/>
          <w:color w:val="172B4D"/>
          <w:spacing w:val="-1"/>
          <w:kern w:val="0"/>
          <w:sz w:val="24"/>
          <w:szCs w:val="24"/>
        </w:rPr>
        <w:t xml:space="preserve">) to compare its meta-data against the required information in TPI 2. This is very much along the lines of </w:t>
      </w:r>
      <w:hyperlink r:id="rId17" w:tooltip="https://certificate.transparency.dev/" w:history="1">
        <w:r>
          <w:rPr>
            <w:rFonts w:ascii="Segoe UI" w:eastAsia="Times New Roman" w:hAnsi="Segoe UI" w:cs="Segoe UI"/>
            <w:color w:val="0000FF"/>
            <w:spacing w:val="-1"/>
            <w:kern w:val="0"/>
            <w:sz w:val="24"/>
            <w:szCs w:val="24"/>
            <w:u w:val="single"/>
          </w:rPr>
          <w:t>Certificate Transparency</w:t>
        </w:r>
      </w:hyperlink>
      <w:r>
        <w:rPr>
          <w:rFonts w:ascii="Segoe UI" w:eastAsia="Times New Roman" w:hAnsi="Segoe UI" w:cs="Segoe UI"/>
          <w:color w:val="172B4D"/>
          <w:spacing w:val="-1"/>
          <w:kern w:val="0"/>
          <w:sz w:val="24"/>
          <w:szCs w:val="24"/>
        </w:rPr>
        <w:t xml:space="preserve"> but looking specifically at whether the policies cover the Notice, e.g. does the SSL certificate Organization Unit field and Jurisdiction fields match the captured legal entity information, how does the policy and jurisdiction here related to other beneficial entities. Importantly does this align with the policy expectations of the person.</w:t>
      </w:r>
    </w:p>
    <w:p w14:paraId="5E2B5CC9"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TPI Metrics</w:t>
      </w:r>
    </w:p>
    <w:p w14:paraId="4093651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move for intro text</w:t>
      </w:r>
    </w:p>
    <w:p w14:paraId="7199D435"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are captured in </w:t>
      </w:r>
      <w:proofErr w:type="gramStart"/>
      <w:r>
        <w:rPr>
          <w:rFonts w:ascii="Segoe UI" w:eastAsia="Times New Roman" w:hAnsi="Segoe UI" w:cs="Segoe UI"/>
          <w:color w:val="172B4D"/>
          <w:spacing w:val="-1"/>
          <w:kern w:val="0"/>
          <w:sz w:val="24"/>
          <w:szCs w:val="24"/>
        </w:rPr>
        <w:t>sequence;</w:t>
      </w:r>
      <w:proofErr w:type="gramEnd"/>
    </w:p>
    <w:p w14:paraId="356EDF9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TPI measuring the point when the individual is notified versus when personal information/digital identifiers are collected and processed. Capturing the timing of notice presentation in relation to first data capture </w:t>
      </w:r>
    </w:p>
    <w:p w14:paraId="79840103"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2. TPI measuring the contents of the notification for required PII Controller digital attributes that correspond to the physical brick and mortar attributes specified in privacy, security, </w:t>
      </w:r>
      <w:proofErr w:type="gramStart"/>
      <w:r>
        <w:rPr>
          <w:rFonts w:ascii="Segoe UI" w:eastAsia="Times New Roman" w:hAnsi="Segoe UI" w:cs="Segoe UI"/>
          <w:color w:val="172B4D"/>
          <w:spacing w:val="-1"/>
          <w:kern w:val="0"/>
          <w:sz w:val="24"/>
          <w:szCs w:val="24"/>
        </w:rPr>
        <w:t>safety</w:t>
      </w:r>
      <w:proofErr w:type="gramEnd"/>
      <w:r>
        <w:rPr>
          <w:rFonts w:ascii="Segoe UI" w:eastAsia="Times New Roman" w:hAnsi="Segoe UI" w:cs="Segoe UI"/>
          <w:color w:val="172B4D"/>
          <w:spacing w:val="-1"/>
          <w:kern w:val="0"/>
          <w:sz w:val="24"/>
          <w:szCs w:val="24"/>
        </w:rPr>
        <w:t xml:space="preserve"> and surveillance legislation. This is the Controller identity and entity information and access point</w:t>
      </w:r>
    </w:p>
    <w:p w14:paraId="5827BE8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3.TPI for how accessible the transparency is (transparency of digital </w:t>
      </w:r>
      <w:proofErr w:type="gramStart"/>
      <w:r>
        <w:rPr>
          <w:rFonts w:ascii="Segoe UI" w:eastAsia="Times New Roman" w:hAnsi="Segoe UI" w:cs="Segoe UI"/>
          <w:color w:val="172B4D"/>
          <w:spacing w:val="-1"/>
          <w:kern w:val="0"/>
          <w:sz w:val="24"/>
          <w:szCs w:val="24"/>
        </w:rPr>
        <w:t>transparency)and</w:t>
      </w:r>
      <w:proofErr w:type="gramEnd"/>
      <w:r>
        <w:rPr>
          <w:rFonts w:ascii="Segoe UI" w:eastAsia="Times New Roman" w:hAnsi="Segoe UI" w:cs="Segoe UI"/>
          <w:color w:val="172B4D"/>
          <w:spacing w:val="-1"/>
          <w:kern w:val="0"/>
          <w:sz w:val="24"/>
          <w:szCs w:val="24"/>
        </w:rPr>
        <w:t xml:space="preserve"> the accessibility of the notice access for use </w:t>
      </w:r>
    </w:p>
    <w:p w14:paraId="07C55DB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4.TPI validating the cybersecurity information versus the digital transparency information capturing the SSL certificate or keys and its associated meta-data. </w:t>
      </w:r>
    </w:p>
    <w:p w14:paraId="39A92E6A"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Combined, these TPI’s provide an overall Indication of the operational state of digital privacy. </w:t>
      </w:r>
    </w:p>
    <w:p w14:paraId="2A6678CB"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TPI Methodologies</w:t>
      </w:r>
    </w:p>
    <w:p w14:paraId="3834C6E2"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Timing of Notice vs Data Collection Transparency </w:t>
      </w:r>
    </w:p>
    <w:p w14:paraId="5BBE9C5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TP1 requires monitoring the technical end point to see if PII is captured in relation to when a notice is provided. This measures the notice regulatory performance against legal and human usability requirements.</w:t>
      </w:r>
    </w:p>
    <w:p w14:paraId="3A80F0C7"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PII Controller Digital Attribute Transparency </w:t>
      </w:r>
    </w:p>
    <w:p w14:paraId="7FA1D21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 if the required information for transparency over who is in control of notice is ‘provided’</w:t>
      </w:r>
    </w:p>
    <w:p w14:paraId="7E05A75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The MUST fields identify elements that are required in legislation that MUST be present.</w:t>
      </w:r>
    </w:p>
    <w:p w14:paraId="39F21039"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Transparency Accessibility</w:t>
      </w:r>
    </w:p>
    <w:p w14:paraId="16651D2C"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How accessible is the PII Controller and Privacy Contact information?</w:t>
      </w:r>
    </w:p>
    <w:p w14:paraId="401CD8E2"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For example, in the context of a website or a mobile device, how difficult was it to access the ‘provided’ information. How many clicks, or screens, away is the required information?</w:t>
      </w:r>
    </w:p>
    <w:p w14:paraId="2DB91CE9" w14:textId="77777777" w:rsidR="007C7EB5" w:rsidRDefault="00110E45">
      <w:pPr>
        <w:shd w:val="clear" w:color="auto" w:fill="FFFFFF"/>
        <w:spacing w:before="480" w:after="0" w:line="240" w:lineRule="auto"/>
        <w:outlineLvl w:val="2"/>
        <w:rPr>
          <w:rFonts w:ascii="Segoe UI" w:eastAsia="Times New Roman" w:hAnsi="Segoe UI" w:cs="Segoe UI"/>
          <w:b/>
          <w:bCs/>
          <w:color w:val="172B4D"/>
          <w:spacing w:val="-1"/>
          <w:kern w:val="0"/>
          <w:sz w:val="27"/>
          <w:szCs w:val="27"/>
        </w:rPr>
      </w:pPr>
      <w:r>
        <w:rPr>
          <w:rFonts w:ascii="Segoe UI" w:eastAsia="Times New Roman" w:hAnsi="Segoe UI" w:cs="Segoe UI"/>
          <w:b/>
          <w:bCs/>
          <w:color w:val="172B4D"/>
          <w:spacing w:val="-1"/>
          <w:kern w:val="0"/>
          <w:sz w:val="27"/>
          <w:szCs w:val="27"/>
        </w:rPr>
        <w:t>Example — Accessibility Measurement Rating</w:t>
      </w:r>
    </w:p>
    <w:p w14:paraId="3196E313"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transparency accessibility rating score of [1,0, -1 or –3] reflects the number of steps, screens, or clicks required to find the ‘provided’ information within a mobile application or webpage providing the client user interface.</w:t>
      </w:r>
    </w:p>
    <w:p w14:paraId="04920DDF"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Security Validation Certificate (and/or Key) Security Transparency</w:t>
      </w:r>
    </w:p>
    <w:p w14:paraId="722ADFC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This security performance indicator requires that the session security layer certificate or key information to be collected and then compared against the information in the Notice Record to validate the integrity of the security necessary for digital privacy. </w:t>
      </w:r>
    </w:p>
    <w:p w14:paraId="71D8B9B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checks if the PII Controller identity information is the same or linked to the controlling entity in the associated security certificate. For example, does the SSL certificate identify the Controller, and is it secured for the DNS and localization expectation and corresponding jurisdictional information. This provides required digital security for privacy, measured for governance accountability and interoperability with legal adequacy with for </w:t>
      </w:r>
      <w:proofErr w:type="spellStart"/>
      <w:r>
        <w:rPr>
          <w:rFonts w:ascii="Segoe UI" w:eastAsia="Times New Roman" w:hAnsi="Segoe UI" w:cs="Segoe UI"/>
          <w:color w:val="172B4D"/>
          <w:spacing w:val="-1"/>
          <w:kern w:val="0"/>
          <w:sz w:val="24"/>
          <w:szCs w:val="24"/>
        </w:rPr>
        <w:t>eConsent</w:t>
      </w:r>
      <w:proofErr w:type="spellEnd"/>
      <w:r>
        <w:rPr>
          <w:rFonts w:ascii="Segoe UI" w:eastAsia="Times New Roman" w:hAnsi="Segoe UI" w:cs="Segoe UI"/>
          <w:color w:val="172B4D"/>
          <w:spacing w:val="-1"/>
          <w:kern w:val="0"/>
          <w:sz w:val="24"/>
          <w:szCs w:val="24"/>
        </w:rPr>
        <w:t xml:space="preserve"> (electronic or digital consent).</w:t>
      </w:r>
    </w:p>
    <w:p w14:paraId="2259F0F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Certificate status, and transparency performance, are used to establish session security prior to the collection, use and processing of PII. The security TPI also measures the certificate and or cryptographic keys for a specified organizational unit to corroborate and validate the PII Controller’s digital integrity.</w:t>
      </w:r>
    </w:p>
    <w:p w14:paraId="6F7DBF7E"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Table 1: Transparency Performance Rating </w:t>
      </w:r>
    </w:p>
    <w:p w14:paraId="4628327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0F24FC70"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Rating system is designed to measure the operational performance of the information. This rating is unique as it allows for an assurance levels that account for pre-assured, dynamically assured metric. </w:t>
      </w:r>
    </w:p>
    <w:p w14:paraId="18F51C2C"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refers to a technical framework and PII Controller transparency prior to the initiation of a session providing </w:t>
      </w:r>
      <w:proofErr w:type="gramStart"/>
      <w:r>
        <w:rPr>
          <w:rFonts w:ascii="Segoe UI" w:eastAsia="Times New Roman" w:hAnsi="Segoe UI" w:cs="Segoe UI"/>
          <w:color w:val="172B4D"/>
          <w:spacing w:val="-1"/>
          <w:kern w:val="0"/>
          <w:sz w:val="24"/>
          <w:szCs w:val="24"/>
        </w:rPr>
        <w:t>security based</w:t>
      </w:r>
      <w:proofErr w:type="gramEnd"/>
      <w:r>
        <w:rPr>
          <w:rFonts w:ascii="Segoe UI" w:eastAsia="Times New Roman" w:hAnsi="Segoe UI" w:cs="Segoe UI"/>
          <w:color w:val="172B4D"/>
          <w:spacing w:val="-1"/>
          <w:kern w:val="0"/>
          <w:sz w:val="24"/>
          <w:szCs w:val="24"/>
        </w:rPr>
        <w:t xml:space="preserve"> trust assurances. </w:t>
      </w:r>
    </w:p>
    <w:p w14:paraId="0E46826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0 refers to dynamic a measure of providing dynamic transparency in the context of once a technical session starts (which is at the time of collection), in context transparency over purpose and disclosures, </w:t>
      </w:r>
    </w:p>
    <w:p w14:paraId="420568A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provides for analogue legal expectations, represented by legal requirements not specific to a digital context. </w:t>
      </w:r>
    </w:p>
    <w:p w14:paraId="648CDA8F"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-2 provides for low quality provision </w:t>
      </w:r>
    </w:p>
    <w:p w14:paraId="0AA97E83"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-3 provides a metric for non-operable transparency and digital privacy. </w:t>
      </w:r>
    </w:p>
    <w:p w14:paraId="236723E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tbl>
      <w:tblPr>
        <w:tblW w:w="9060" w:type="dxa"/>
        <w:tblCellMar>
          <w:left w:w="10" w:type="dxa"/>
          <w:right w:w="10" w:type="dxa"/>
        </w:tblCellMar>
        <w:tblLook w:val="04A0" w:firstRow="1" w:lastRow="0" w:firstColumn="1" w:lastColumn="0" w:noHBand="0" w:noVBand="1"/>
      </w:tblPr>
      <w:tblGrid>
        <w:gridCol w:w="1350"/>
        <w:gridCol w:w="2342"/>
        <w:gridCol w:w="1637"/>
        <w:gridCol w:w="2140"/>
        <w:gridCol w:w="1591"/>
      </w:tblGrid>
      <w:tr w:rsidR="007C7EB5" w14:paraId="3E480F22" w14:textId="77777777">
        <w:trPr>
          <w:trHeight w:val="2351"/>
        </w:trPr>
        <w:tc>
          <w:tcPr>
            <w:tcW w:w="1350" w:type="dxa"/>
            <w:shd w:val="clear" w:color="auto" w:fill="auto"/>
            <w:tcMar>
              <w:top w:w="0" w:type="dxa"/>
              <w:left w:w="0" w:type="dxa"/>
              <w:bottom w:w="0" w:type="dxa"/>
              <w:right w:w="0" w:type="dxa"/>
            </w:tcMar>
          </w:tcPr>
          <w:p w14:paraId="46D95D96" w14:textId="77777777" w:rsidR="007C7EB5" w:rsidRDefault="00110E45">
            <w:pPr>
              <w:spacing w:after="0" w:line="240" w:lineRule="auto"/>
            </w:pPr>
            <w:r>
              <w:rPr>
                <w:rFonts w:ascii="Times New Roman" w:eastAsia="Times New Roman" w:hAnsi="Times New Roman"/>
                <w:b/>
                <w:bCs/>
                <w:spacing w:val="-1"/>
                <w:kern w:val="0"/>
                <w:sz w:val="24"/>
                <w:szCs w:val="24"/>
              </w:rPr>
              <w:t>Rating</w:t>
            </w:r>
          </w:p>
        </w:tc>
        <w:tc>
          <w:tcPr>
            <w:tcW w:w="2342" w:type="dxa"/>
            <w:shd w:val="clear" w:color="auto" w:fill="auto"/>
            <w:tcMar>
              <w:top w:w="0" w:type="dxa"/>
              <w:left w:w="0" w:type="dxa"/>
              <w:bottom w:w="0" w:type="dxa"/>
              <w:right w:w="0" w:type="dxa"/>
            </w:tcMar>
          </w:tcPr>
          <w:p w14:paraId="1BE82952" w14:textId="77777777" w:rsidR="007C7EB5" w:rsidRDefault="00110E45">
            <w:pPr>
              <w:spacing w:after="0" w:line="240" w:lineRule="auto"/>
            </w:pPr>
            <w:r>
              <w:rPr>
                <w:rFonts w:ascii="Times New Roman" w:eastAsia="Times New Roman" w:hAnsi="Times New Roman"/>
                <w:b/>
                <w:bCs/>
                <w:spacing w:val="-1"/>
                <w:kern w:val="0"/>
                <w:sz w:val="24"/>
                <w:szCs w:val="24"/>
              </w:rPr>
              <w:t>TPI 1 - Timing (</w:t>
            </w:r>
            <w:proofErr w:type="spellStart"/>
            <w:r>
              <w:rPr>
                <w:rFonts w:ascii="Times New Roman" w:eastAsia="Times New Roman" w:hAnsi="Times New Roman"/>
                <w:b/>
                <w:bCs/>
                <w:spacing w:val="-1"/>
                <w:kern w:val="0"/>
                <w:sz w:val="24"/>
                <w:szCs w:val="24"/>
              </w:rPr>
              <w:t>wrt</w:t>
            </w:r>
            <w:proofErr w:type="spellEnd"/>
            <w:r>
              <w:rPr>
                <w:rFonts w:ascii="Times New Roman" w:eastAsia="Times New Roman" w:hAnsi="Times New Roman"/>
                <w:b/>
                <w:bCs/>
                <w:spacing w:val="-1"/>
                <w:kern w:val="0"/>
                <w:sz w:val="24"/>
                <w:szCs w:val="24"/>
              </w:rPr>
              <w:t xml:space="preserve"> to processing)</w:t>
            </w:r>
          </w:p>
        </w:tc>
        <w:tc>
          <w:tcPr>
            <w:tcW w:w="1637" w:type="dxa"/>
            <w:shd w:val="clear" w:color="auto" w:fill="auto"/>
            <w:tcMar>
              <w:top w:w="0" w:type="dxa"/>
              <w:left w:w="0" w:type="dxa"/>
              <w:bottom w:w="0" w:type="dxa"/>
              <w:right w:w="0" w:type="dxa"/>
            </w:tcMar>
          </w:tcPr>
          <w:p w14:paraId="348602DC" w14:textId="77777777" w:rsidR="007C7EB5" w:rsidRDefault="00110E45">
            <w:pPr>
              <w:spacing w:after="0" w:line="240" w:lineRule="auto"/>
            </w:pPr>
            <w:r>
              <w:rPr>
                <w:rFonts w:ascii="Times New Roman" w:eastAsia="Times New Roman" w:hAnsi="Times New Roman"/>
                <w:b/>
                <w:bCs/>
                <w:spacing w:val="-1"/>
                <w:kern w:val="0"/>
                <w:sz w:val="24"/>
                <w:szCs w:val="24"/>
              </w:rPr>
              <w:t>TP2</w:t>
            </w:r>
          </w:p>
        </w:tc>
        <w:tc>
          <w:tcPr>
            <w:tcW w:w="2140" w:type="dxa"/>
            <w:shd w:val="clear" w:color="auto" w:fill="auto"/>
            <w:tcMar>
              <w:top w:w="0" w:type="dxa"/>
              <w:left w:w="0" w:type="dxa"/>
              <w:bottom w:w="0" w:type="dxa"/>
              <w:right w:w="0" w:type="dxa"/>
            </w:tcMar>
          </w:tcPr>
          <w:p w14:paraId="1428841F" w14:textId="77777777" w:rsidR="007C7EB5" w:rsidRDefault="00110E45">
            <w:pPr>
              <w:spacing w:after="0" w:line="240" w:lineRule="auto"/>
            </w:pPr>
            <w:r>
              <w:rPr>
                <w:rFonts w:ascii="Times New Roman" w:eastAsia="Times New Roman" w:hAnsi="Times New Roman"/>
                <w:b/>
                <w:bCs/>
                <w:spacing w:val="-1"/>
                <w:kern w:val="0"/>
                <w:sz w:val="24"/>
                <w:szCs w:val="24"/>
              </w:rPr>
              <w:t>TPI3 Accessibility (trans performance)</w:t>
            </w:r>
          </w:p>
        </w:tc>
        <w:tc>
          <w:tcPr>
            <w:tcW w:w="1591" w:type="dxa"/>
            <w:shd w:val="clear" w:color="auto" w:fill="auto"/>
            <w:tcMar>
              <w:top w:w="0" w:type="dxa"/>
              <w:left w:w="0" w:type="dxa"/>
              <w:bottom w:w="0" w:type="dxa"/>
              <w:right w:w="0" w:type="dxa"/>
            </w:tcMar>
          </w:tcPr>
          <w:p w14:paraId="716156B3" w14:textId="77777777" w:rsidR="007C7EB5" w:rsidRDefault="00110E45">
            <w:pPr>
              <w:spacing w:after="0" w:line="240" w:lineRule="auto"/>
            </w:pPr>
            <w:r>
              <w:rPr>
                <w:rFonts w:ascii="Times New Roman" w:eastAsia="Times New Roman" w:hAnsi="Times New Roman"/>
                <w:b/>
                <w:bCs/>
                <w:spacing w:val="-1"/>
                <w:kern w:val="0"/>
                <w:sz w:val="24"/>
                <w:szCs w:val="24"/>
              </w:rPr>
              <w:t xml:space="preserve">TPI4 - digital security </w:t>
            </w:r>
          </w:p>
        </w:tc>
      </w:tr>
      <w:tr w:rsidR="007C7EB5" w14:paraId="3C1D72ED" w14:textId="77777777">
        <w:tc>
          <w:tcPr>
            <w:tcW w:w="1350" w:type="dxa"/>
            <w:shd w:val="clear" w:color="auto" w:fill="auto"/>
            <w:tcMar>
              <w:top w:w="120" w:type="dxa"/>
              <w:left w:w="120" w:type="dxa"/>
              <w:bottom w:w="120" w:type="dxa"/>
              <w:right w:w="120" w:type="dxa"/>
            </w:tcMar>
          </w:tcPr>
          <w:p w14:paraId="6D7959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+1 (assured)</w:t>
            </w:r>
          </w:p>
        </w:tc>
        <w:tc>
          <w:tcPr>
            <w:tcW w:w="2342" w:type="dxa"/>
            <w:shd w:val="clear" w:color="auto" w:fill="auto"/>
            <w:tcMar>
              <w:top w:w="120" w:type="dxa"/>
              <w:left w:w="120" w:type="dxa"/>
              <w:bottom w:w="120" w:type="dxa"/>
              <w:right w:w="120" w:type="dxa"/>
            </w:tcMar>
          </w:tcPr>
          <w:p w14:paraId="6376EE2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Before [Transparency of control/governance - Before, during or after </w:t>
            </w:r>
            <w:proofErr w:type="gramStart"/>
            <w:r>
              <w:rPr>
                <w:rFonts w:ascii="Times New Roman" w:eastAsia="Times New Roman" w:hAnsi="Times New Roman"/>
                <w:spacing w:val="-1"/>
                <w:kern w:val="0"/>
                <w:sz w:val="24"/>
                <w:szCs w:val="24"/>
              </w:rPr>
              <w:t>processing ]</w:t>
            </w:r>
            <w:proofErr w:type="gramEnd"/>
          </w:p>
          <w:p w14:paraId="649A4E1D"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37" w:type="dxa"/>
            <w:shd w:val="clear" w:color="auto" w:fill="auto"/>
            <w:tcMar>
              <w:top w:w="120" w:type="dxa"/>
              <w:left w:w="120" w:type="dxa"/>
              <w:bottom w:w="120" w:type="dxa"/>
              <w:right w:w="120" w:type="dxa"/>
            </w:tcMar>
          </w:tcPr>
          <w:p w14:paraId="0EB39E7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 credential is registered and present</w:t>
            </w:r>
          </w:p>
        </w:tc>
        <w:tc>
          <w:tcPr>
            <w:tcW w:w="2140" w:type="dxa"/>
            <w:shd w:val="clear" w:color="auto" w:fill="auto"/>
            <w:tcMar>
              <w:top w:w="120" w:type="dxa"/>
              <w:left w:w="120" w:type="dxa"/>
              <w:bottom w:w="120" w:type="dxa"/>
              <w:right w:w="120" w:type="dxa"/>
            </w:tcMar>
          </w:tcPr>
          <w:p w14:paraId="1BD3966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identity is presented prior to data collection - e</w:t>
            </w:r>
          </w:p>
        </w:tc>
        <w:tc>
          <w:tcPr>
            <w:tcW w:w="1591" w:type="dxa"/>
            <w:shd w:val="clear" w:color="auto" w:fill="auto"/>
            <w:tcMar>
              <w:top w:w="120" w:type="dxa"/>
              <w:left w:w="120" w:type="dxa"/>
              <w:bottom w:w="120" w:type="dxa"/>
              <w:right w:w="120" w:type="dxa"/>
            </w:tcMar>
          </w:tcPr>
          <w:p w14:paraId="1F3D85F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Security is required prior to collection (digital wallet based) </w:t>
            </w:r>
          </w:p>
          <w:p w14:paraId="164A514B"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7C7EB5" w14:paraId="50191DD2" w14:textId="77777777">
        <w:tc>
          <w:tcPr>
            <w:tcW w:w="1350" w:type="dxa"/>
            <w:shd w:val="clear" w:color="auto" w:fill="auto"/>
            <w:tcMar>
              <w:top w:w="120" w:type="dxa"/>
              <w:left w:w="120" w:type="dxa"/>
              <w:bottom w:w="120" w:type="dxa"/>
              <w:right w:w="120" w:type="dxa"/>
            </w:tcMar>
          </w:tcPr>
          <w:p w14:paraId="50CECF4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0(dynamic assurance)</w:t>
            </w:r>
          </w:p>
        </w:tc>
        <w:tc>
          <w:tcPr>
            <w:tcW w:w="2342" w:type="dxa"/>
            <w:shd w:val="clear" w:color="auto" w:fill="auto"/>
            <w:tcMar>
              <w:top w:w="120" w:type="dxa"/>
              <w:left w:w="120" w:type="dxa"/>
              <w:bottom w:w="120" w:type="dxa"/>
              <w:right w:w="120" w:type="dxa"/>
            </w:tcMar>
          </w:tcPr>
          <w:p w14:paraId="28F2C73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Just In time</w:t>
            </w:r>
          </w:p>
        </w:tc>
        <w:tc>
          <w:tcPr>
            <w:tcW w:w="1637" w:type="dxa"/>
            <w:shd w:val="clear" w:color="auto" w:fill="auto"/>
            <w:tcMar>
              <w:top w:w="120" w:type="dxa"/>
              <w:left w:w="120" w:type="dxa"/>
              <w:bottom w:w="120" w:type="dxa"/>
              <w:right w:w="120" w:type="dxa"/>
            </w:tcMar>
          </w:tcPr>
          <w:p w14:paraId="04D0419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0 credential is presented just in time (automated check and </w:t>
            </w:r>
            <w:proofErr w:type="gramStart"/>
            <w:r>
              <w:rPr>
                <w:rFonts w:ascii="Times New Roman" w:eastAsia="Times New Roman" w:hAnsi="Times New Roman"/>
                <w:spacing w:val="-1"/>
                <w:kern w:val="0"/>
                <w:sz w:val="24"/>
                <w:szCs w:val="24"/>
              </w:rPr>
              <w:t>first time</w:t>
            </w:r>
            <w:proofErr w:type="gramEnd"/>
            <w:r>
              <w:rPr>
                <w:rFonts w:ascii="Times New Roman" w:eastAsia="Times New Roman" w:hAnsi="Times New Roman"/>
                <w:spacing w:val="-1"/>
                <w:kern w:val="0"/>
                <w:sz w:val="24"/>
                <w:szCs w:val="24"/>
              </w:rPr>
              <w:t xml:space="preserve"> notice)</w:t>
            </w:r>
          </w:p>
        </w:tc>
        <w:tc>
          <w:tcPr>
            <w:tcW w:w="2140" w:type="dxa"/>
            <w:shd w:val="clear" w:color="auto" w:fill="auto"/>
            <w:tcMar>
              <w:top w:w="120" w:type="dxa"/>
              <w:left w:w="120" w:type="dxa"/>
              <w:bottom w:w="120" w:type="dxa"/>
              <w:right w:w="120" w:type="dxa"/>
            </w:tcMar>
          </w:tcPr>
          <w:p w14:paraId="4471572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Embedded as a credential linked to authoritative registries.</w:t>
            </w:r>
          </w:p>
          <w:p w14:paraId="4B298BCC"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591" w:type="dxa"/>
            <w:shd w:val="clear" w:color="auto" w:fill="auto"/>
            <w:tcMar>
              <w:top w:w="120" w:type="dxa"/>
              <w:left w:w="120" w:type="dxa"/>
              <w:bottom w:w="120" w:type="dxa"/>
              <w:right w:w="120" w:type="dxa"/>
            </w:tcMar>
          </w:tcPr>
          <w:p w14:paraId="13E4EB0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is assured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certificate is specific to and matches controller and context </w:t>
            </w:r>
          </w:p>
        </w:tc>
      </w:tr>
      <w:tr w:rsidR="007C7EB5" w14:paraId="51B84C6A" w14:textId="77777777">
        <w:tc>
          <w:tcPr>
            <w:tcW w:w="1350" w:type="dxa"/>
            <w:shd w:val="clear" w:color="auto" w:fill="auto"/>
            <w:tcMar>
              <w:top w:w="120" w:type="dxa"/>
              <w:left w:w="120" w:type="dxa"/>
              <w:bottom w:w="120" w:type="dxa"/>
              <w:right w:w="120" w:type="dxa"/>
            </w:tcMar>
          </w:tcPr>
          <w:p w14:paraId="6E99D68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(analogue assurance - online)</w:t>
            </w:r>
          </w:p>
        </w:tc>
        <w:tc>
          <w:tcPr>
            <w:tcW w:w="2342" w:type="dxa"/>
            <w:shd w:val="clear" w:color="auto" w:fill="auto"/>
            <w:tcMar>
              <w:top w:w="120" w:type="dxa"/>
              <w:left w:w="120" w:type="dxa"/>
              <w:bottom w:w="120" w:type="dxa"/>
              <w:right w:w="120" w:type="dxa"/>
            </w:tcMar>
          </w:tcPr>
          <w:p w14:paraId="1EC8FA8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During</w:t>
            </w:r>
          </w:p>
        </w:tc>
        <w:tc>
          <w:tcPr>
            <w:tcW w:w="1637" w:type="dxa"/>
            <w:shd w:val="clear" w:color="auto" w:fill="auto"/>
            <w:tcMar>
              <w:top w:w="120" w:type="dxa"/>
              <w:left w:w="120" w:type="dxa"/>
              <w:bottom w:w="120" w:type="dxa"/>
              <w:right w:w="120" w:type="dxa"/>
            </w:tcMar>
          </w:tcPr>
          <w:p w14:paraId="1F40BB8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is accessible during collection</w:t>
            </w:r>
          </w:p>
        </w:tc>
        <w:tc>
          <w:tcPr>
            <w:tcW w:w="2140" w:type="dxa"/>
            <w:shd w:val="clear" w:color="auto" w:fill="auto"/>
            <w:tcMar>
              <w:top w:w="120" w:type="dxa"/>
              <w:left w:w="120" w:type="dxa"/>
              <w:bottom w:w="120" w:type="dxa"/>
              <w:right w:w="120" w:type="dxa"/>
            </w:tcMar>
          </w:tcPr>
          <w:p w14:paraId="11670EC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Identity prominently displayed on first view – prior to processing first page of viewing, the assessment question would be</w:t>
            </w:r>
          </w:p>
          <w:p w14:paraId="39AD9406"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591" w:type="dxa"/>
            <w:shd w:val="clear" w:color="auto" w:fill="auto"/>
            <w:tcMar>
              <w:top w:w="120" w:type="dxa"/>
              <w:left w:w="120" w:type="dxa"/>
              <w:bottom w:w="120" w:type="dxa"/>
              <w:right w:w="120" w:type="dxa"/>
            </w:tcMar>
          </w:tcPr>
          <w:p w14:paraId="53146D7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not-specific to controller - does not match jurisdiction </w:t>
            </w:r>
          </w:p>
        </w:tc>
      </w:tr>
      <w:tr w:rsidR="007C7EB5" w14:paraId="0D6E3AF7" w14:textId="77777777">
        <w:tc>
          <w:tcPr>
            <w:tcW w:w="1350" w:type="dxa"/>
            <w:shd w:val="clear" w:color="auto" w:fill="auto"/>
            <w:tcMar>
              <w:top w:w="120" w:type="dxa"/>
              <w:left w:w="120" w:type="dxa"/>
              <w:bottom w:w="120" w:type="dxa"/>
              <w:right w:w="120" w:type="dxa"/>
            </w:tcMar>
          </w:tcPr>
          <w:p w14:paraId="265864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-2 - (not mandatory in flow)</w:t>
            </w:r>
          </w:p>
        </w:tc>
        <w:tc>
          <w:tcPr>
            <w:tcW w:w="2342" w:type="dxa"/>
            <w:shd w:val="clear" w:color="auto" w:fill="auto"/>
            <w:tcMar>
              <w:top w:w="120" w:type="dxa"/>
              <w:left w:w="120" w:type="dxa"/>
              <w:bottom w:w="120" w:type="dxa"/>
              <w:right w:w="120" w:type="dxa"/>
            </w:tcMar>
          </w:tcPr>
          <w:p w14:paraId="281C6AA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Available</w:t>
            </w:r>
          </w:p>
        </w:tc>
        <w:tc>
          <w:tcPr>
            <w:tcW w:w="1637" w:type="dxa"/>
            <w:shd w:val="clear" w:color="auto" w:fill="auto"/>
            <w:tcMar>
              <w:top w:w="120" w:type="dxa"/>
              <w:left w:w="120" w:type="dxa"/>
              <w:bottom w:w="120" w:type="dxa"/>
              <w:right w:w="120" w:type="dxa"/>
            </w:tcMar>
          </w:tcPr>
          <w:p w14:paraId="6534DF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information is linked </w:t>
            </w:r>
          </w:p>
        </w:tc>
        <w:tc>
          <w:tcPr>
            <w:tcW w:w="2140" w:type="dxa"/>
            <w:shd w:val="clear" w:color="auto" w:fill="auto"/>
            <w:tcMar>
              <w:top w:w="120" w:type="dxa"/>
              <w:left w:w="120" w:type="dxa"/>
              <w:bottom w:w="120" w:type="dxa"/>
              <w:right w:w="120" w:type="dxa"/>
            </w:tcMar>
          </w:tcPr>
          <w:p w14:paraId="38772EC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linked not presented </w:t>
            </w:r>
          </w:p>
        </w:tc>
        <w:tc>
          <w:tcPr>
            <w:tcW w:w="1591" w:type="dxa"/>
            <w:shd w:val="clear" w:color="auto" w:fill="auto"/>
            <w:tcMar>
              <w:top w:w="120" w:type="dxa"/>
              <w:left w:w="120" w:type="dxa"/>
              <w:bottom w:w="120" w:type="dxa"/>
              <w:right w:w="120" w:type="dxa"/>
            </w:tcMar>
          </w:tcPr>
          <w:p w14:paraId="4F4B0E3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does not match </w:t>
            </w:r>
            <w:proofErr w:type="spellStart"/>
            <w:r>
              <w:rPr>
                <w:rFonts w:ascii="Times New Roman" w:eastAsia="Times New Roman" w:hAnsi="Times New Roman"/>
                <w:spacing w:val="-1"/>
                <w:kern w:val="0"/>
                <w:sz w:val="24"/>
                <w:szCs w:val="24"/>
              </w:rPr>
              <w:t>ou</w:t>
            </w:r>
            <w:proofErr w:type="spellEnd"/>
          </w:p>
        </w:tc>
      </w:tr>
      <w:tr w:rsidR="007C7EB5" w14:paraId="51F94C90" w14:textId="77777777">
        <w:tc>
          <w:tcPr>
            <w:tcW w:w="1350" w:type="dxa"/>
            <w:shd w:val="clear" w:color="auto" w:fill="auto"/>
            <w:tcMar>
              <w:top w:w="120" w:type="dxa"/>
              <w:left w:w="120" w:type="dxa"/>
              <w:bottom w:w="120" w:type="dxa"/>
              <w:right w:w="120" w:type="dxa"/>
            </w:tcMar>
          </w:tcPr>
          <w:p w14:paraId="58D8D26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- 3 </w:t>
            </w:r>
            <w:proofErr w:type="gramStart"/>
            <w:r>
              <w:rPr>
                <w:rFonts w:ascii="Times New Roman" w:eastAsia="Times New Roman" w:hAnsi="Times New Roman"/>
                <w:spacing w:val="-1"/>
                <w:kern w:val="0"/>
                <w:sz w:val="24"/>
                <w:szCs w:val="24"/>
              </w:rPr>
              <w:t xml:space="preserve">( </w:t>
            </w:r>
            <w:proofErr w:type="spellStart"/>
            <w:r>
              <w:rPr>
                <w:rFonts w:ascii="Times New Roman" w:eastAsia="Times New Roman" w:hAnsi="Times New Roman"/>
                <w:spacing w:val="-1"/>
                <w:kern w:val="0"/>
                <w:sz w:val="24"/>
                <w:szCs w:val="24"/>
              </w:rPr>
              <w:t>non</w:t>
            </w:r>
            <w:proofErr w:type="gramEnd"/>
            <w:r>
              <w:rPr>
                <w:rFonts w:ascii="Times New Roman" w:eastAsia="Times New Roman" w:hAnsi="Times New Roman"/>
                <w:spacing w:val="-1"/>
                <w:kern w:val="0"/>
                <w:sz w:val="24"/>
                <w:szCs w:val="24"/>
              </w:rPr>
              <w:t xml:space="preserve"> operative</w:t>
            </w:r>
            <w:proofErr w:type="spellEnd"/>
            <w:r>
              <w:rPr>
                <w:rFonts w:ascii="Times New Roman" w:eastAsia="Times New Roman" w:hAnsi="Times New Roman"/>
                <w:spacing w:val="-1"/>
                <w:kern w:val="0"/>
                <w:sz w:val="24"/>
                <w:szCs w:val="24"/>
              </w:rPr>
              <w:t>)</w:t>
            </w:r>
          </w:p>
        </w:tc>
        <w:tc>
          <w:tcPr>
            <w:tcW w:w="2342" w:type="dxa"/>
            <w:shd w:val="clear" w:color="auto" w:fill="auto"/>
            <w:tcMar>
              <w:top w:w="120" w:type="dxa"/>
              <w:left w:w="120" w:type="dxa"/>
              <w:bottom w:w="120" w:type="dxa"/>
              <w:right w:w="120" w:type="dxa"/>
            </w:tcMar>
          </w:tcPr>
          <w:p w14:paraId="110D580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After</w:t>
            </w:r>
          </w:p>
        </w:tc>
        <w:tc>
          <w:tcPr>
            <w:tcW w:w="1637" w:type="dxa"/>
            <w:shd w:val="clear" w:color="auto" w:fill="auto"/>
            <w:tcMar>
              <w:top w:w="120" w:type="dxa"/>
              <w:left w:w="120" w:type="dxa"/>
              <w:bottom w:w="120" w:type="dxa"/>
              <w:right w:w="120" w:type="dxa"/>
            </w:tcMar>
          </w:tcPr>
          <w:p w14:paraId="47F6890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not present</w:t>
            </w:r>
          </w:p>
        </w:tc>
        <w:tc>
          <w:tcPr>
            <w:tcW w:w="2140" w:type="dxa"/>
            <w:shd w:val="clear" w:color="auto" w:fill="auto"/>
            <w:tcMar>
              <w:top w:w="120" w:type="dxa"/>
              <w:left w:w="120" w:type="dxa"/>
              <w:bottom w:w="120" w:type="dxa"/>
              <w:right w:w="120" w:type="dxa"/>
            </w:tcMar>
          </w:tcPr>
          <w:p w14:paraId="57F41A9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Identity or credential is not accessible in context -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two or more screens of view away, or privacy contact is mailing g address and </w:t>
            </w:r>
            <w:proofErr w:type="spellStart"/>
            <w:r>
              <w:rPr>
                <w:rFonts w:ascii="Times New Roman" w:eastAsia="Times New Roman" w:hAnsi="Times New Roman"/>
                <w:spacing w:val="-1"/>
                <w:kern w:val="0"/>
                <w:sz w:val="24"/>
                <w:szCs w:val="24"/>
              </w:rPr>
              <w:t>non operative</w:t>
            </w:r>
            <w:proofErr w:type="spellEnd"/>
            <w:r>
              <w:rPr>
                <w:rFonts w:ascii="Times New Roman" w:eastAsia="Times New Roman" w:hAnsi="Times New Roman"/>
                <w:spacing w:val="-1"/>
                <w:kern w:val="0"/>
                <w:sz w:val="24"/>
                <w:szCs w:val="24"/>
              </w:rPr>
              <w:t xml:space="preserve"> in context of data collection. </w:t>
            </w:r>
          </w:p>
        </w:tc>
        <w:tc>
          <w:tcPr>
            <w:tcW w:w="1591" w:type="dxa"/>
            <w:shd w:val="clear" w:color="auto" w:fill="auto"/>
            <w:tcMar>
              <w:top w:w="120" w:type="dxa"/>
              <w:left w:w="120" w:type="dxa"/>
              <w:bottom w:w="120" w:type="dxa"/>
              <w:right w:w="120" w:type="dxa"/>
            </w:tcMar>
          </w:tcPr>
          <w:p w14:paraId="4AAC605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not valid or secure provider </w:t>
            </w:r>
          </w:p>
        </w:tc>
      </w:tr>
    </w:tbl>
    <w:p w14:paraId="63FB116B"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 xml:space="preserve">TPI Instruction and Guidance </w:t>
      </w:r>
    </w:p>
    <w:p w14:paraId="31D81F4C"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Demonstrating a non-performant form of data governance. </w:t>
      </w:r>
    </w:p>
    <w:tbl>
      <w:tblPr>
        <w:tblW w:w="9060" w:type="dxa"/>
        <w:tblCellMar>
          <w:left w:w="10" w:type="dxa"/>
          <w:right w:w="10" w:type="dxa"/>
        </w:tblCellMar>
        <w:tblLook w:val="04A0" w:firstRow="1" w:lastRow="0" w:firstColumn="1" w:lastColumn="0" w:noHBand="0" w:noVBand="1"/>
      </w:tblPr>
      <w:tblGrid>
        <w:gridCol w:w="1356"/>
        <w:gridCol w:w="1927"/>
        <w:gridCol w:w="2006"/>
        <w:gridCol w:w="2163"/>
        <w:gridCol w:w="1608"/>
      </w:tblGrid>
      <w:tr w:rsidR="007C7EB5" w14:paraId="491A9125" w14:textId="77777777">
        <w:trPr>
          <w:trHeight w:val="2351"/>
        </w:trPr>
        <w:tc>
          <w:tcPr>
            <w:tcW w:w="1356" w:type="dxa"/>
            <w:shd w:val="clear" w:color="auto" w:fill="auto"/>
            <w:tcMar>
              <w:top w:w="0" w:type="dxa"/>
              <w:left w:w="0" w:type="dxa"/>
              <w:bottom w:w="0" w:type="dxa"/>
              <w:right w:w="0" w:type="dxa"/>
            </w:tcMar>
          </w:tcPr>
          <w:p w14:paraId="4B356FE4" w14:textId="77777777" w:rsidR="007C7EB5" w:rsidRDefault="00110E45">
            <w:pPr>
              <w:spacing w:after="0" w:line="240" w:lineRule="auto"/>
            </w:pPr>
            <w:r>
              <w:rPr>
                <w:rFonts w:ascii="Times New Roman" w:eastAsia="Times New Roman" w:hAnsi="Times New Roman"/>
                <w:b/>
                <w:bCs/>
                <w:spacing w:val="-1"/>
                <w:kern w:val="0"/>
                <w:sz w:val="24"/>
                <w:szCs w:val="24"/>
              </w:rPr>
              <w:t>Rating - Instruction</w:t>
            </w:r>
          </w:p>
        </w:tc>
        <w:tc>
          <w:tcPr>
            <w:tcW w:w="1927" w:type="dxa"/>
            <w:shd w:val="clear" w:color="auto" w:fill="auto"/>
            <w:tcMar>
              <w:top w:w="0" w:type="dxa"/>
              <w:left w:w="0" w:type="dxa"/>
              <w:bottom w:w="0" w:type="dxa"/>
              <w:right w:w="0" w:type="dxa"/>
            </w:tcMar>
          </w:tcPr>
          <w:p w14:paraId="5C124A07" w14:textId="77777777" w:rsidR="007C7EB5" w:rsidRDefault="00110E45">
            <w:pPr>
              <w:spacing w:after="0" w:line="240" w:lineRule="auto"/>
            </w:pPr>
            <w:r>
              <w:rPr>
                <w:rFonts w:ascii="Times New Roman" w:eastAsia="Times New Roman" w:hAnsi="Times New Roman"/>
                <w:b/>
                <w:bCs/>
                <w:spacing w:val="-1"/>
                <w:kern w:val="0"/>
                <w:sz w:val="24"/>
                <w:szCs w:val="24"/>
              </w:rPr>
              <w:t>TPI 1 - Timing (</w:t>
            </w:r>
            <w:proofErr w:type="spellStart"/>
            <w:r>
              <w:rPr>
                <w:rFonts w:ascii="Times New Roman" w:eastAsia="Times New Roman" w:hAnsi="Times New Roman"/>
                <w:b/>
                <w:bCs/>
                <w:spacing w:val="-1"/>
                <w:kern w:val="0"/>
                <w:sz w:val="24"/>
                <w:szCs w:val="24"/>
              </w:rPr>
              <w:t>wrt</w:t>
            </w:r>
            <w:proofErr w:type="spellEnd"/>
            <w:r>
              <w:rPr>
                <w:rFonts w:ascii="Times New Roman" w:eastAsia="Times New Roman" w:hAnsi="Times New Roman"/>
                <w:b/>
                <w:bCs/>
                <w:spacing w:val="-1"/>
                <w:kern w:val="0"/>
                <w:sz w:val="24"/>
                <w:szCs w:val="24"/>
              </w:rPr>
              <w:t xml:space="preserve"> to processing)</w:t>
            </w:r>
          </w:p>
        </w:tc>
        <w:tc>
          <w:tcPr>
            <w:tcW w:w="2006" w:type="dxa"/>
            <w:shd w:val="clear" w:color="auto" w:fill="auto"/>
            <w:tcMar>
              <w:top w:w="0" w:type="dxa"/>
              <w:left w:w="0" w:type="dxa"/>
              <w:bottom w:w="0" w:type="dxa"/>
              <w:right w:w="0" w:type="dxa"/>
            </w:tcMar>
          </w:tcPr>
          <w:p w14:paraId="44AEE455" w14:textId="77777777" w:rsidR="007C7EB5" w:rsidRDefault="00110E45">
            <w:pPr>
              <w:spacing w:after="0" w:line="240" w:lineRule="auto"/>
            </w:pPr>
            <w:r>
              <w:rPr>
                <w:rFonts w:ascii="Times New Roman" w:eastAsia="Times New Roman" w:hAnsi="Times New Roman"/>
                <w:b/>
                <w:bCs/>
                <w:spacing w:val="-1"/>
                <w:kern w:val="0"/>
                <w:sz w:val="24"/>
                <w:szCs w:val="24"/>
              </w:rPr>
              <w:t>TP2 - Required Info Presentation</w:t>
            </w:r>
          </w:p>
        </w:tc>
        <w:tc>
          <w:tcPr>
            <w:tcW w:w="2163" w:type="dxa"/>
            <w:shd w:val="clear" w:color="auto" w:fill="auto"/>
            <w:tcMar>
              <w:top w:w="0" w:type="dxa"/>
              <w:left w:w="0" w:type="dxa"/>
              <w:bottom w:w="0" w:type="dxa"/>
              <w:right w:w="0" w:type="dxa"/>
            </w:tcMar>
          </w:tcPr>
          <w:p w14:paraId="047A590A" w14:textId="77777777" w:rsidR="007C7EB5" w:rsidRDefault="00110E45">
            <w:pPr>
              <w:spacing w:after="0" w:line="240" w:lineRule="auto"/>
            </w:pPr>
            <w:r>
              <w:rPr>
                <w:rFonts w:ascii="Times New Roman" w:eastAsia="Times New Roman" w:hAnsi="Times New Roman"/>
                <w:b/>
                <w:bCs/>
                <w:spacing w:val="-1"/>
                <w:kern w:val="0"/>
                <w:sz w:val="24"/>
                <w:szCs w:val="24"/>
              </w:rPr>
              <w:t>TPI3 Accessibility (trans performance)</w:t>
            </w:r>
          </w:p>
        </w:tc>
        <w:tc>
          <w:tcPr>
            <w:tcW w:w="1608" w:type="dxa"/>
            <w:shd w:val="clear" w:color="auto" w:fill="auto"/>
            <w:tcMar>
              <w:top w:w="0" w:type="dxa"/>
              <w:left w:w="0" w:type="dxa"/>
              <w:bottom w:w="0" w:type="dxa"/>
              <w:right w:w="0" w:type="dxa"/>
            </w:tcMar>
          </w:tcPr>
          <w:p w14:paraId="64B68509" w14:textId="77777777" w:rsidR="007C7EB5" w:rsidRDefault="00110E45">
            <w:pPr>
              <w:spacing w:after="0" w:line="240" w:lineRule="auto"/>
            </w:pPr>
            <w:r>
              <w:rPr>
                <w:rFonts w:ascii="Times New Roman" w:eastAsia="Times New Roman" w:hAnsi="Times New Roman"/>
                <w:b/>
                <w:bCs/>
                <w:spacing w:val="-1"/>
                <w:kern w:val="0"/>
                <w:sz w:val="24"/>
                <w:szCs w:val="24"/>
              </w:rPr>
              <w:t xml:space="preserve">TPI4 - Digital Security </w:t>
            </w:r>
          </w:p>
        </w:tc>
      </w:tr>
      <w:tr w:rsidR="007C7EB5" w14:paraId="04CF9A38" w14:textId="77777777">
        <w:tc>
          <w:tcPr>
            <w:tcW w:w="1356" w:type="dxa"/>
            <w:shd w:val="clear" w:color="auto" w:fill="auto"/>
            <w:tcMar>
              <w:top w:w="120" w:type="dxa"/>
              <w:left w:w="120" w:type="dxa"/>
              <w:bottom w:w="120" w:type="dxa"/>
              <w:right w:w="120" w:type="dxa"/>
            </w:tcMar>
          </w:tcPr>
          <w:p w14:paraId="1B3F215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(assured)</w:t>
            </w:r>
          </w:p>
        </w:tc>
        <w:tc>
          <w:tcPr>
            <w:tcW w:w="1927" w:type="dxa"/>
            <w:shd w:val="clear" w:color="auto" w:fill="auto"/>
            <w:tcMar>
              <w:top w:w="120" w:type="dxa"/>
              <w:left w:w="120" w:type="dxa"/>
              <w:bottom w:w="120" w:type="dxa"/>
              <w:right w:w="120" w:type="dxa"/>
            </w:tcMar>
          </w:tcPr>
          <w:p w14:paraId="5FEEEBD5"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credential is displayed, using a standard format with machine readable </w:t>
            </w:r>
            <w:proofErr w:type="gramStart"/>
            <w:r>
              <w:rPr>
                <w:rFonts w:ascii="Times New Roman" w:eastAsia="Times New Roman" w:hAnsi="Times New Roman"/>
                <w:spacing w:val="-1"/>
                <w:kern w:val="0"/>
                <w:sz w:val="24"/>
                <w:szCs w:val="24"/>
              </w:rPr>
              <w:t>language</w:t>
            </w:r>
            <w:proofErr w:type="gramEnd"/>
            <w:r>
              <w:rPr>
                <w:rFonts w:ascii="Times New Roman" w:eastAsia="Times New Roman" w:hAnsi="Times New Roman"/>
                <w:spacing w:val="-1"/>
                <w:kern w:val="0"/>
                <w:sz w:val="24"/>
                <w:szCs w:val="24"/>
              </w:rPr>
              <w:t xml:space="preserve"> and linked, for example, in an http header in a browser</w:t>
            </w:r>
          </w:p>
        </w:tc>
        <w:tc>
          <w:tcPr>
            <w:tcW w:w="2006" w:type="dxa"/>
            <w:shd w:val="clear" w:color="auto" w:fill="auto"/>
            <w:tcMar>
              <w:top w:w="120" w:type="dxa"/>
              <w:left w:w="120" w:type="dxa"/>
              <w:bottom w:w="120" w:type="dxa"/>
              <w:right w:w="120" w:type="dxa"/>
            </w:tcMar>
          </w:tcPr>
          <w:p w14:paraId="6BDA336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is discoverable automatically prior to session (out of band) in a </w:t>
            </w:r>
            <w:proofErr w:type="gramStart"/>
            <w:r>
              <w:rPr>
                <w:rFonts w:ascii="Times New Roman" w:eastAsia="Times New Roman" w:hAnsi="Times New Roman"/>
                <w:spacing w:val="-1"/>
                <w:kern w:val="0"/>
                <w:sz w:val="24"/>
                <w:szCs w:val="24"/>
              </w:rPr>
              <w:t>machine readable</w:t>
            </w:r>
            <w:proofErr w:type="gramEnd"/>
            <w:r>
              <w:rPr>
                <w:rFonts w:ascii="Times New Roman" w:eastAsia="Times New Roman" w:hAnsi="Times New Roman"/>
                <w:spacing w:val="-1"/>
                <w:kern w:val="0"/>
                <w:sz w:val="24"/>
                <w:szCs w:val="24"/>
              </w:rPr>
              <w:t xml:space="preserve"> format. Number of ways </w:t>
            </w:r>
            <w:r>
              <w:rPr>
                <w:rFonts w:ascii="Times New Roman" w:eastAsia="Times New Roman" w:hAnsi="Times New Roman"/>
                <w:spacing w:val="-1"/>
                <w:kern w:val="0"/>
                <w:sz w:val="24"/>
                <w:szCs w:val="24"/>
              </w:rPr>
              <w:br/>
              <w:t xml:space="preserve">1. is a Controller Identity Trust registry </w:t>
            </w:r>
            <w:r>
              <w:rPr>
                <w:rFonts w:ascii="Times New Roman" w:eastAsia="Times New Roman" w:hAnsi="Times New Roman"/>
                <w:spacing w:val="-1"/>
                <w:kern w:val="0"/>
                <w:sz w:val="24"/>
                <w:szCs w:val="24"/>
              </w:rPr>
              <w:br/>
            </w:r>
            <w:proofErr w:type="gramStart"/>
            <w:r>
              <w:rPr>
                <w:rFonts w:ascii="Times New Roman" w:eastAsia="Times New Roman" w:hAnsi="Times New Roman"/>
                <w:spacing w:val="-1"/>
                <w:kern w:val="0"/>
                <w:sz w:val="24"/>
                <w:szCs w:val="24"/>
              </w:rPr>
              <w:t>2.</w:t>
            </w:r>
            <w:proofErr w:type="gramEnd"/>
            <w:r>
              <w:rPr>
                <w:rFonts w:ascii="Times New Roman" w:eastAsia="Times New Roman" w:hAnsi="Times New Roman"/>
                <w:spacing w:val="-1"/>
                <w:kern w:val="0"/>
                <w:sz w:val="24"/>
                <w:szCs w:val="24"/>
              </w:rPr>
              <w:t xml:space="preserve"> is </w:t>
            </w:r>
            <w:proofErr w:type="gramStart"/>
            <w:r>
              <w:rPr>
                <w:rFonts w:ascii="Times New Roman" w:eastAsia="Times New Roman" w:hAnsi="Times New Roman"/>
                <w:spacing w:val="-1"/>
                <w:kern w:val="0"/>
                <w:sz w:val="24"/>
                <w:szCs w:val="24"/>
              </w:rPr>
              <w:t>client side</w:t>
            </w:r>
            <w:proofErr w:type="gramEnd"/>
            <w:r>
              <w:rPr>
                <w:rFonts w:ascii="Times New Roman" w:eastAsia="Times New Roman" w:hAnsi="Times New Roman"/>
                <w:spacing w:val="-1"/>
                <w:kern w:val="0"/>
                <w:sz w:val="24"/>
                <w:szCs w:val="24"/>
              </w:rPr>
              <w:t xml:space="preserve"> record of processing (via a wallet or browser) </w:t>
            </w:r>
          </w:p>
        </w:tc>
        <w:tc>
          <w:tcPr>
            <w:tcW w:w="2163" w:type="dxa"/>
            <w:shd w:val="clear" w:color="auto" w:fill="auto"/>
            <w:tcMar>
              <w:top w:w="120" w:type="dxa"/>
              <w:left w:w="120" w:type="dxa"/>
              <w:bottom w:w="120" w:type="dxa"/>
              <w:right w:w="120" w:type="dxa"/>
            </w:tcMar>
          </w:tcPr>
          <w:p w14:paraId="2CF3CFC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identity is presented prior to data collection </w:t>
            </w:r>
          </w:p>
        </w:tc>
        <w:tc>
          <w:tcPr>
            <w:tcW w:w="1608" w:type="dxa"/>
            <w:shd w:val="clear" w:color="auto" w:fill="auto"/>
            <w:tcMar>
              <w:top w:w="120" w:type="dxa"/>
              <w:left w:w="120" w:type="dxa"/>
              <w:bottom w:w="120" w:type="dxa"/>
              <w:right w:w="120" w:type="dxa"/>
            </w:tcMar>
          </w:tcPr>
          <w:p w14:paraId="20764CB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Security is required prior to collection (digital wallet based) </w:t>
            </w:r>
          </w:p>
          <w:p w14:paraId="756A29B9"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7C7EB5" w14:paraId="24728A4D" w14:textId="77777777">
        <w:tc>
          <w:tcPr>
            <w:tcW w:w="1356" w:type="dxa"/>
            <w:shd w:val="clear" w:color="auto" w:fill="auto"/>
            <w:tcMar>
              <w:top w:w="120" w:type="dxa"/>
              <w:left w:w="120" w:type="dxa"/>
              <w:bottom w:w="120" w:type="dxa"/>
              <w:right w:w="120" w:type="dxa"/>
            </w:tcMar>
          </w:tcPr>
          <w:p w14:paraId="2B5BFB2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0(dynamic assurance)</w:t>
            </w:r>
          </w:p>
        </w:tc>
        <w:tc>
          <w:tcPr>
            <w:tcW w:w="1927" w:type="dxa"/>
            <w:shd w:val="clear" w:color="auto" w:fill="auto"/>
            <w:tcMar>
              <w:top w:w="120" w:type="dxa"/>
              <w:left w:w="120" w:type="dxa"/>
              <w:bottom w:w="120" w:type="dxa"/>
              <w:right w:w="120" w:type="dxa"/>
            </w:tcMar>
          </w:tcPr>
          <w:p w14:paraId="02BE285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Identity or credential is provided in first notice</w:t>
            </w:r>
          </w:p>
        </w:tc>
        <w:tc>
          <w:tcPr>
            <w:tcW w:w="2006" w:type="dxa"/>
            <w:shd w:val="clear" w:color="auto" w:fill="auto"/>
            <w:tcMar>
              <w:top w:w="120" w:type="dxa"/>
              <w:left w:w="120" w:type="dxa"/>
              <w:bottom w:w="120" w:type="dxa"/>
              <w:right w:w="120" w:type="dxa"/>
            </w:tcMar>
          </w:tcPr>
          <w:p w14:paraId="541D3A3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0 credential is presented just in time (automated check and </w:t>
            </w:r>
            <w:proofErr w:type="gramStart"/>
            <w:r>
              <w:rPr>
                <w:rFonts w:ascii="Times New Roman" w:eastAsia="Times New Roman" w:hAnsi="Times New Roman"/>
                <w:spacing w:val="-1"/>
                <w:kern w:val="0"/>
                <w:sz w:val="24"/>
                <w:szCs w:val="24"/>
              </w:rPr>
              <w:t>first time</w:t>
            </w:r>
            <w:proofErr w:type="gramEnd"/>
            <w:r>
              <w:rPr>
                <w:rFonts w:ascii="Times New Roman" w:eastAsia="Times New Roman" w:hAnsi="Times New Roman"/>
                <w:spacing w:val="-1"/>
                <w:kern w:val="0"/>
                <w:sz w:val="24"/>
                <w:szCs w:val="24"/>
              </w:rPr>
              <w:t xml:space="preserve"> notice)</w:t>
            </w:r>
          </w:p>
        </w:tc>
        <w:tc>
          <w:tcPr>
            <w:tcW w:w="2163" w:type="dxa"/>
            <w:shd w:val="clear" w:color="auto" w:fill="auto"/>
            <w:tcMar>
              <w:top w:w="120" w:type="dxa"/>
              <w:left w:w="120" w:type="dxa"/>
              <w:bottom w:w="120" w:type="dxa"/>
              <w:right w:w="120" w:type="dxa"/>
            </w:tcMar>
          </w:tcPr>
          <w:p w14:paraId="004E14F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Embedded as a credential and dynamically available upon access (almost just in time)</w:t>
            </w:r>
          </w:p>
          <w:p w14:paraId="4E8703D3"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08" w:type="dxa"/>
            <w:shd w:val="clear" w:color="auto" w:fill="auto"/>
            <w:tcMar>
              <w:top w:w="120" w:type="dxa"/>
              <w:left w:w="120" w:type="dxa"/>
              <w:bottom w:w="120" w:type="dxa"/>
              <w:right w:w="120" w:type="dxa"/>
            </w:tcMar>
          </w:tcPr>
          <w:p w14:paraId="2CAA830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is assured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certificate is specific to and matches controller and context </w:t>
            </w:r>
          </w:p>
        </w:tc>
      </w:tr>
      <w:tr w:rsidR="007C7EB5" w14:paraId="12B40177" w14:textId="77777777">
        <w:tc>
          <w:tcPr>
            <w:tcW w:w="1356" w:type="dxa"/>
            <w:shd w:val="clear" w:color="auto" w:fill="auto"/>
            <w:tcMar>
              <w:top w:w="120" w:type="dxa"/>
              <w:left w:w="120" w:type="dxa"/>
              <w:bottom w:w="120" w:type="dxa"/>
              <w:right w:w="120" w:type="dxa"/>
            </w:tcMar>
          </w:tcPr>
          <w:p w14:paraId="59307A1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(analogue assurance - online)</w:t>
            </w:r>
          </w:p>
        </w:tc>
        <w:tc>
          <w:tcPr>
            <w:tcW w:w="1927" w:type="dxa"/>
            <w:shd w:val="clear" w:color="auto" w:fill="auto"/>
            <w:tcMar>
              <w:top w:w="120" w:type="dxa"/>
              <w:left w:w="120" w:type="dxa"/>
              <w:bottom w:w="120" w:type="dxa"/>
              <w:right w:w="120" w:type="dxa"/>
            </w:tcMar>
          </w:tcPr>
          <w:p w14:paraId="33C9E26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The Controller Identity, or screen with the Controller Identity is one screen and click </w:t>
            </w:r>
            <w:r>
              <w:rPr>
                <w:rFonts w:ascii="Times New Roman" w:eastAsia="Times New Roman" w:hAnsi="Times New Roman"/>
                <w:spacing w:val="-1"/>
                <w:kern w:val="0"/>
                <w:sz w:val="24"/>
                <w:szCs w:val="24"/>
              </w:rPr>
              <w:lastRenderedPageBreak/>
              <w:t>away. For example, the privacy policy link in the footer of a webpage</w:t>
            </w:r>
          </w:p>
        </w:tc>
        <w:tc>
          <w:tcPr>
            <w:tcW w:w="2006" w:type="dxa"/>
            <w:shd w:val="clear" w:color="auto" w:fill="auto"/>
            <w:tcMar>
              <w:top w:w="120" w:type="dxa"/>
              <w:left w:w="120" w:type="dxa"/>
              <w:bottom w:w="120" w:type="dxa"/>
              <w:right w:w="120" w:type="dxa"/>
            </w:tcMar>
          </w:tcPr>
          <w:p w14:paraId="62FFA63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controller information is accessible (not presented) during collection</w:t>
            </w:r>
          </w:p>
        </w:tc>
        <w:tc>
          <w:tcPr>
            <w:tcW w:w="2163" w:type="dxa"/>
            <w:shd w:val="clear" w:color="auto" w:fill="auto"/>
            <w:tcMar>
              <w:top w:w="120" w:type="dxa"/>
              <w:left w:w="120" w:type="dxa"/>
              <w:bottom w:w="120" w:type="dxa"/>
              <w:right w:w="120" w:type="dxa"/>
            </w:tcMar>
          </w:tcPr>
          <w:p w14:paraId="0499790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Identity prominently displayed on first view – prior to processing first </w:t>
            </w:r>
            <w:r>
              <w:rPr>
                <w:rFonts w:ascii="Times New Roman" w:eastAsia="Times New Roman" w:hAnsi="Times New Roman"/>
                <w:spacing w:val="-1"/>
                <w:kern w:val="0"/>
                <w:sz w:val="24"/>
                <w:szCs w:val="24"/>
              </w:rPr>
              <w:lastRenderedPageBreak/>
              <w:t>page of viewing, the assessment question would be</w:t>
            </w:r>
          </w:p>
          <w:p w14:paraId="0EC4FFF3"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08" w:type="dxa"/>
            <w:shd w:val="clear" w:color="auto" w:fill="auto"/>
            <w:tcMar>
              <w:top w:w="120" w:type="dxa"/>
              <w:left w:w="120" w:type="dxa"/>
              <w:bottom w:w="120" w:type="dxa"/>
              <w:right w:w="120" w:type="dxa"/>
            </w:tcMar>
          </w:tcPr>
          <w:p w14:paraId="369BD12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not-specific to controller - does not match jurisdiction </w:t>
            </w:r>
          </w:p>
        </w:tc>
      </w:tr>
      <w:tr w:rsidR="007C7EB5" w14:paraId="651B7A65" w14:textId="77777777">
        <w:tc>
          <w:tcPr>
            <w:tcW w:w="1356" w:type="dxa"/>
            <w:shd w:val="clear" w:color="auto" w:fill="auto"/>
            <w:tcMar>
              <w:top w:w="120" w:type="dxa"/>
              <w:left w:w="120" w:type="dxa"/>
              <w:bottom w:w="120" w:type="dxa"/>
              <w:right w:w="120" w:type="dxa"/>
            </w:tcMar>
          </w:tcPr>
          <w:p w14:paraId="1EA8F77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-2 - (not mandatory in flow)</w:t>
            </w:r>
          </w:p>
        </w:tc>
        <w:tc>
          <w:tcPr>
            <w:tcW w:w="1927" w:type="dxa"/>
            <w:shd w:val="clear" w:color="auto" w:fill="auto"/>
            <w:tcMar>
              <w:top w:w="120" w:type="dxa"/>
              <w:left w:w="120" w:type="dxa"/>
              <w:bottom w:w="120" w:type="dxa"/>
              <w:right w:w="120" w:type="dxa"/>
            </w:tcMar>
          </w:tcPr>
          <w:p w14:paraId="532A63C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2006" w:type="dxa"/>
            <w:shd w:val="clear" w:color="auto" w:fill="auto"/>
            <w:tcMar>
              <w:top w:w="120" w:type="dxa"/>
              <w:left w:w="120" w:type="dxa"/>
              <w:bottom w:w="120" w:type="dxa"/>
              <w:right w:w="120" w:type="dxa"/>
            </w:tcMar>
          </w:tcPr>
          <w:p w14:paraId="1C42911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Credential information is linked during collection </w:t>
            </w:r>
          </w:p>
        </w:tc>
        <w:tc>
          <w:tcPr>
            <w:tcW w:w="2163" w:type="dxa"/>
            <w:shd w:val="clear" w:color="auto" w:fill="auto"/>
            <w:tcMar>
              <w:top w:w="120" w:type="dxa"/>
              <w:left w:w="120" w:type="dxa"/>
              <w:bottom w:w="120" w:type="dxa"/>
              <w:right w:w="120" w:type="dxa"/>
            </w:tcMar>
          </w:tcPr>
          <w:p w14:paraId="40C4603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linked not presented </w:t>
            </w:r>
          </w:p>
        </w:tc>
        <w:tc>
          <w:tcPr>
            <w:tcW w:w="1608" w:type="dxa"/>
            <w:shd w:val="clear" w:color="auto" w:fill="auto"/>
            <w:tcMar>
              <w:top w:w="120" w:type="dxa"/>
              <w:left w:w="120" w:type="dxa"/>
              <w:bottom w:w="120" w:type="dxa"/>
              <w:right w:w="120" w:type="dxa"/>
            </w:tcMar>
          </w:tcPr>
          <w:p w14:paraId="48AB0CE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does not match </w:t>
            </w:r>
            <w:proofErr w:type="spellStart"/>
            <w:r>
              <w:rPr>
                <w:rFonts w:ascii="Times New Roman" w:eastAsia="Times New Roman" w:hAnsi="Times New Roman"/>
                <w:spacing w:val="-1"/>
                <w:kern w:val="0"/>
                <w:sz w:val="24"/>
                <w:szCs w:val="24"/>
              </w:rPr>
              <w:t>ou</w:t>
            </w:r>
            <w:proofErr w:type="spellEnd"/>
          </w:p>
        </w:tc>
      </w:tr>
      <w:tr w:rsidR="007C7EB5" w14:paraId="378EADB4" w14:textId="77777777">
        <w:tc>
          <w:tcPr>
            <w:tcW w:w="1356" w:type="dxa"/>
            <w:shd w:val="clear" w:color="auto" w:fill="auto"/>
            <w:tcMar>
              <w:top w:w="120" w:type="dxa"/>
              <w:left w:w="120" w:type="dxa"/>
              <w:bottom w:w="120" w:type="dxa"/>
              <w:right w:w="120" w:type="dxa"/>
            </w:tcMar>
          </w:tcPr>
          <w:p w14:paraId="6A336B8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-3 </w:t>
            </w:r>
            <w:proofErr w:type="gramStart"/>
            <w:r>
              <w:rPr>
                <w:rFonts w:ascii="Times New Roman" w:eastAsia="Times New Roman" w:hAnsi="Times New Roman"/>
                <w:spacing w:val="-1"/>
                <w:kern w:val="0"/>
                <w:sz w:val="24"/>
                <w:szCs w:val="24"/>
              </w:rPr>
              <w:t xml:space="preserve">( </w:t>
            </w:r>
            <w:proofErr w:type="spellStart"/>
            <w:r>
              <w:rPr>
                <w:rFonts w:ascii="Times New Roman" w:eastAsia="Times New Roman" w:hAnsi="Times New Roman"/>
                <w:spacing w:val="-1"/>
                <w:kern w:val="0"/>
                <w:sz w:val="24"/>
                <w:szCs w:val="24"/>
              </w:rPr>
              <w:t>non</w:t>
            </w:r>
            <w:proofErr w:type="gramEnd"/>
            <w:r>
              <w:rPr>
                <w:rFonts w:ascii="Times New Roman" w:eastAsia="Times New Roman" w:hAnsi="Times New Roman"/>
                <w:spacing w:val="-1"/>
                <w:kern w:val="0"/>
                <w:sz w:val="24"/>
                <w:szCs w:val="24"/>
              </w:rPr>
              <w:t xml:space="preserve"> operative</w:t>
            </w:r>
            <w:proofErr w:type="spellEnd"/>
            <w:r>
              <w:rPr>
                <w:rFonts w:ascii="Times New Roman" w:eastAsia="Times New Roman" w:hAnsi="Times New Roman"/>
                <w:spacing w:val="-1"/>
                <w:kern w:val="0"/>
                <w:sz w:val="24"/>
                <w:szCs w:val="24"/>
              </w:rPr>
              <w:t>)</w:t>
            </w:r>
          </w:p>
        </w:tc>
        <w:tc>
          <w:tcPr>
            <w:tcW w:w="1927" w:type="dxa"/>
            <w:shd w:val="clear" w:color="auto" w:fill="auto"/>
            <w:tcMar>
              <w:top w:w="120" w:type="dxa"/>
              <w:left w:w="120" w:type="dxa"/>
              <w:bottom w:w="120" w:type="dxa"/>
              <w:right w:w="120" w:type="dxa"/>
            </w:tcMar>
          </w:tcPr>
          <w:p w14:paraId="51B0F70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Identity is not accessible enough to be considered ‘provided’ </w:t>
            </w:r>
          </w:p>
        </w:tc>
        <w:tc>
          <w:tcPr>
            <w:tcW w:w="2006" w:type="dxa"/>
            <w:shd w:val="clear" w:color="auto" w:fill="auto"/>
            <w:tcMar>
              <w:top w:w="120" w:type="dxa"/>
              <w:left w:w="120" w:type="dxa"/>
              <w:bottom w:w="120" w:type="dxa"/>
              <w:right w:w="120" w:type="dxa"/>
            </w:tcMar>
          </w:tcPr>
          <w:p w14:paraId="0D01B15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not present</w:t>
            </w:r>
          </w:p>
        </w:tc>
        <w:tc>
          <w:tcPr>
            <w:tcW w:w="2163" w:type="dxa"/>
            <w:shd w:val="clear" w:color="auto" w:fill="auto"/>
            <w:tcMar>
              <w:top w:w="120" w:type="dxa"/>
              <w:left w:w="120" w:type="dxa"/>
              <w:bottom w:w="120" w:type="dxa"/>
              <w:right w:w="120" w:type="dxa"/>
            </w:tcMar>
          </w:tcPr>
          <w:p w14:paraId="14FD42B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Identity or credential is not accessible in context -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two or more screens of view away, or privacy contact is mailing g address and </w:t>
            </w:r>
            <w:proofErr w:type="spellStart"/>
            <w:r>
              <w:rPr>
                <w:rFonts w:ascii="Times New Roman" w:eastAsia="Times New Roman" w:hAnsi="Times New Roman"/>
                <w:spacing w:val="-1"/>
                <w:kern w:val="0"/>
                <w:sz w:val="24"/>
                <w:szCs w:val="24"/>
              </w:rPr>
              <w:t>non operative</w:t>
            </w:r>
            <w:proofErr w:type="spellEnd"/>
            <w:r>
              <w:rPr>
                <w:rFonts w:ascii="Times New Roman" w:eastAsia="Times New Roman" w:hAnsi="Times New Roman"/>
                <w:spacing w:val="-1"/>
                <w:kern w:val="0"/>
                <w:sz w:val="24"/>
                <w:szCs w:val="24"/>
              </w:rPr>
              <w:t xml:space="preserve"> in context of data collection. </w:t>
            </w:r>
          </w:p>
        </w:tc>
        <w:tc>
          <w:tcPr>
            <w:tcW w:w="1608" w:type="dxa"/>
            <w:shd w:val="clear" w:color="auto" w:fill="auto"/>
            <w:tcMar>
              <w:top w:w="120" w:type="dxa"/>
              <w:left w:w="120" w:type="dxa"/>
              <w:bottom w:w="120" w:type="dxa"/>
              <w:right w:w="120" w:type="dxa"/>
            </w:tcMar>
          </w:tcPr>
          <w:p w14:paraId="52F5B78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not valid, secure, or recognized provider. </w:t>
            </w:r>
            <w:r>
              <w:rPr>
                <w:rFonts w:ascii="Times New Roman" w:eastAsia="Times New Roman" w:hAnsi="Times New Roman"/>
                <w:spacing w:val="-1"/>
                <w:kern w:val="0"/>
                <w:sz w:val="24"/>
                <w:szCs w:val="24"/>
              </w:rPr>
              <w:br/>
              <w:t xml:space="preserve">Not security operational (proving </w:t>
            </w:r>
            <w:proofErr w:type="gramStart"/>
            <w:r>
              <w:rPr>
                <w:rFonts w:ascii="Times New Roman" w:eastAsia="Times New Roman" w:hAnsi="Times New Roman"/>
                <w:spacing w:val="-1"/>
                <w:kern w:val="0"/>
                <w:sz w:val="24"/>
                <w:szCs w:val="24"/>
              </w:rPr>
              <w:t>non reciprocal</w:t>
            </w:r>
            <w:proofErr w:type="gramEnd"/>
            <w:r>
              <w:rPr>
                <w:rFonts w:ascii="Times New Roman" w:eastAsia="Times New Roman" w:hAnsi="Times New Roman"/>
                <w:spacing w:val="-1"/>
                <w:kern w:val="0"/>
                <w:sz w:val="24"/>
                <w:szCs w:val="24"/>
              </w:rPr>
              <w:t xml:space="preserve"> security assurance) </w:t>
            </w:r>
          </w:p>
        </w:tc>
      </w:tr>
    </w:tbl>
    <w:p w14:paraId="77AAAF4C"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Table 2: TPI Schema</w:t>
      </w:r>
    </w:p>
    <w:tbl>
      <w:tblPr>
        <w:tblW w:w="9063" w:type="dxa"/>
        <w:tblCellMar>
          <w:left w:w="10" w:type="dxa"/>
          <w:right w:w="10" w:type="dxa"/>
        </w:tblCellMar>
        <w:tblLook w:val="04A0" w:firstRow="1" w:lastRow="0" w:firstColumn="1" w:lastColumn="0" w:noHBand="0" w:noVBand="1"/>
      </w:tblPr>
      <w:tblGrid>
        <w:gridCol w:w="7447"/>
        <w:gridCol w:w="808"/>
        <w:gridCol w:w="808"/>
      </w:tblGrid>
      <w:tr w:rsidR="007C7EB5" w14:paraId="28DF8FE3" w14:textId="77777777">
        <w:trPr>
          <w:trHeight w:val="706"/>
        </w:trPr>
        <w:tc>
          <w:tcPr>
            <w:tcW w:w="7447" w:type="dxa"/>
            <w:shd w:val="clear" w:color="auto" w:fill="auto"/>
            <w:tcMar>
              <w:top w:w="0" w:type="dxa"/>
              <w:left w:w="0" w:type="dxa"/>
              <w:bottom w:w="0" w:type="dxa"/>
              <w:right w:w="0" w:type="dxa"/>
            </w:tcMar>
          </w:tcPr>
          <w:p w14:paraId="6A13FF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TPI 1 </w:t>
            </w:r>
          </w:p>
        </w:tc>
        <w:tc>
          <w:tcPr>
            <w:tcW w:w="808" w:type="dxa"/>
            <w:shd w:val="clear" w:color="auto" w:fill="auto"/>
            <w:tcMar>
              <w:top w:w="0" w:type="dxa"/>
              <w:left w:w="0" w:type="dxa"/>
              <w:bottom w:w="0" w:type="dxa"/>
              <w:right w:w="0" w:type="dxa"/>
            </w:tcMar>
          </w:tcPr>
          <w:p w14:paraId="1C494BC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0" w:type="dxa"/>
              <w:left w:w="0" w:type="dxa"/>
              <w:bottom w:w="0" w:type="dxa"/>
              <w:right w:w="0" w:type="dxa"/>
            </w:tcMar>
          </w:tcPr>
          <w:p w14:paraId="42ED68F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7C7EB5" w14:paraId="192B6B66" w14:textId="77777777">
        <w:tc>
          <w:tcPr>
            <w:tcW w:w="7447" w:type="dxa"/>
            <w:shd w:val="clear" w:color="auto" w:fill="auto"/>
            <w:tcMar>
              <w:top w:w="120" w:type="dxa"/>
              <w:left w:w="120" w:type="dxa"/>
              <w:bottom w:w="120" w:type="dxa"/>
              <w:right w:w="120" w:type="dxa"/>
            </w:tcMar>
          </w:tcPr>
          <w:p w14:paraId="239FC2F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Notification Timing</w:t>
            </w:r>
          </w:p>
        </w:tc>
        <w:tc>
          <w:tcPr>
            <w:tcW w:w="808" w:type="dxa"/>
            <w:shd w:val="clear" w:color="auto" w:fill="auto"/>
            <w:tcMar>
              <w:top w:w="120" w:type="dxa"/>
              <w:left w:w="120" w:type="dxa"/>
              <w:bottom w:w="120" w:type="dxa"/>
              <w:right w:w="120" w:type="dxa"/>
            </w:tcMar>
          </w:tcPr>
          <w:p w14:paraId="430867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120" w:type="dxa"/>
              <w:left w:w="120" w:type="dxa"/>
              <w:bottom w:w="120" w:type="dxa"/>
              <w:right w:w="120" w:type="dxa"/>
            </w:tcMar>
          </w:tcPr>
          <w:p w14:paraId="347F780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7C7EB5" w14:paraId="3BF1667E" w14:textId="77777777">
        <w:tc>
          <w:tcPr>
            <w:tcW w:w="7447" w:type="dxa"/>
            <w:shd w:val="clear" w:color="auto" w:fill="auto"/>
            <w:tcMar>
              <w:top w:w="120" w:type="dxa"/>
              <w:left w:w="120" w:type="dxa"/>
              <w:bottom w:w="120" w:type="dxa"/>
              <w:right w:w="120" w:type="dxa"/>
            </w:tcMar>
          </w:tcPr>
          <w:p w14:paraId="31C3E1E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Timing of Data Collection</w:t>
            </w:r>
          </w:p>
        </w:tc>
        <w:tc>
          <w:tcPr>
            <w:tcW w:w="808" w:type="dxa"/>
            <w:shd w:val="clear" w:color="auto" w:fill="auto"/>
            <w:tcMar>
              <w:top w:w="120" w:type="dxa"/>
              <w:left w:w="120" w:type="dxa"/>
              <w:bottom w:w="120" w:type="dxa"/>
              <w:right w:w="120" w:type="dxa"/>
            </w:tcMar>
          </w:tcPr>
          <w:p w14:paraId="42BE171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120" w:type="dxa"/>
              <w:left w:w="120" w:type="dxa"/>
              <w:bottom w:w="120" w:type="dxa"/>
              <w:right w:w="120" w:type="dxa"/>
            </w:tcMar>
          </w:tcPr>
          <w:p w14:paraId="11887B5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bl>
    <w:p w14:paraId="36F5C318"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 xml:space="preserve">Table </w:t>
      </w:r>
      <w:proofErr w:type="gramStart"/>
      <w:r>
        <w:rPr>
          <w:rFonts w:ascii="Segoe UI" w:eastAsia="Times New Roman" w:hAnsi="Segoe UI" w:cs="Segoe UI"/>
          <w:color w:val="172B4D"/>
          <w:spacing w:val="-2"/>
          <w:kern w:val="0"/>
          <w:sz w:val="34"/>
          <w:szCs w:val="34"/>
        </w:rPr>
        <w:t>3 :</w:t>
      </w:r>
      <w:proofErr w:type="gramEnd"/>
      <w:r>
        <w:rPr>
          <w:rFonts w:ascii="Segoe UI" w:eastAsia="Times New Roman" w:hAnsi="Segoe UI" w:cs="Segoe UI"/>
          <w:color w:val="172B4D"/>
          <w:spacing w:val="-2"/>
          <w:kern w:val="0"/>
          <w:sz w:val="34"/>
          <w:szCs w:val="34"/>
        </w:rPr>
        <w:t xml:space="preserve"> Transparency Performance Indicator Record Rating Example</w:t>
      </w:r>
    </w:p>
    <w:tbl>
      <w:tblPr>
        <w:tblW w:w="9063" w:type="dxa"/>
        <w:tblCellMar>
          <w:left w:w="10" w:type="dxa"/>
          <w:right w:w="10" w:type="dxa"/>
        </w:tblCellMar>
        <w:tblLook w:val="04A0" w:firstRow="1" w:lastRow="0" w:firstColumn="1" w:lastColumn="0" w:noHBand="0" w:noVBand="1"/>
      </w:tblPr>
      <w:tblGrid>
        <w:gridCol w:w="1270"/>
        <w:gridCol w:w="1934"/>
        <w:gridCol w:w="1426"/>
        <w:gridCol w:w="1183"/>
        <w:gridCol w:w="1413"/>
        <w:gridCol w:w="579"/>
        <w:gridCol w:w="1258"/>
      </w:tblGrid>
      <w:tr w:rsidR="007C7EB5" w14:paraId="4EAC83DA" w14:textId="77777777">
        <w:trPr>
          <w:trHeight w:val="6053"/>
        </w:trPr>
        <w:tc>
          <w:tcPr>
            <w:tcW w:w="1270" w:type="dxa"/>
            <w:shd w:val="clear" w:color="auto" w:fill="auto"/>
            <w:tcMar>
              <w:top w:w="0" w:type="dxa"/>
              <w:left w:w="0" w:type="dxa"/>
              <w:bottom w:w="0" w:type="dxa"/>
              <w:right w:w="0" w:type="dxa"/>
            </w:tcMar>
          </w:tcPr>
          <w:p w14:paraId="0D4A48F6" w14:textId="77777777" w:rsidR="007C7EB5" w:rsidRDefault="00110E45">
            <w:pPr>
              <w:spacing w:after="0" w:line="240" w:lineRule="auto"/>
            </w:pPr>
            <w:r>
              <w:rPr>
                <w:rFonts w:ascii="Times New Roman" w:eastAsia="Times New Roman" w:hAnsi="Times New Roman"/>
                <w:b/>
                <w:bCs/>
                <w:spacing w:val="-1"/>
                <w:kern w:val="0"/>
                <w:sz w:val="24"/>
                <w:szCs w:val="24"/>
              </w:rPr>
              <w:lastRenderedPageBreak/>
              <w:t>Field Name</w:t>
            </w:r>
          </w:p>
        </w:tc>
        <w:tc>
          <w:tcPr>
            <w:tcW w:w="1934" w:type="dxa"/>
            <w:shd w:val="clear" w:color="auto" w:fill="auto"/>
            <w:tcMar>
              <w:top w:w="0" w:type="dxa"/>
              <w:left w:w="0" w:type="dxa"/>
              <w:bottom w:w="0" w:type="dxa"/>
              <w:right w:w="0" w:type="dxa"/>
            </w:tcMar>
          </w:tcPr>
          <w:p w14:paraId="75DDC5A7" w14:textId="77777777" w:rsidR="007C7EB5" w:rsidRDefault="00110E45">
            <w:pPr>
              <w:spacing w:after="0" w:line="240" w:lineRule="auto"/>
            </w:pPr>
            <w:r>
              <w:rPr>
                <w:rFonts w:ascii="Times New Roman" w:eastAsia="Times New Roman" w:hAnsi="Times New Roman"/>
                <w:b/>
                <w:bCs/>
                <w:spacing w:val="-1"/>
                <w:kern w:val="0"/>
                <w:sz w:val="24"/>
                <w:szCs w:val="24"/>
              </w:rPr>
              <w:t>Field Description</w:t>
            </w:r>
          </w:p>
        </w:tc>
        <w:tc>
          <w:tcPr>
            <w:tcW w:w="1426" w:type="dxa"/>
            <w:shd w:val="clear" w:color="auto" w:fill="auto"/>
            <w:tcMar>
              <w:top w:w="0" w:type="dxa"/>
              <w:left w:w="0" w:type="dxa"/>
              <w:bottom w:w="0" w:type="dxa"/>
              <w:right w:w="0" w:type="dxa"/>
            </w:tcMar>
          </w:tcPr>
          <w:p w14:paraId="57F49206" w14:textId="77777777" w:rsidR="007C7EB5" w:rsidRDefault="00110E45">
            <w:pPr>
              <w:spacing w:after="0" w:line="240" w:lineRule="auto"/>
            </w:pPr>
            <w:r>
              <w:rPr>
                <w:rFonts w:ascii="Times New Roman" w:eastAsia="Times New Roman" w:hAnsi="Times New Roman"/>
                <w:b/>
                <w:bCs/>
                <w:spacing w:val="-1"/>
                <w:kern w:val="0"/>
                <w:sz w:val="24"/>
                <w:szCs w:val="24"/>
              </w:rPr>
              <w:t>Requirement: Must</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Shall</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May</w:t>
            </w:r>
          </w:p>
        </w:tc>
        <w:tc>
          <w:tcPr>
            <w:tcW w:w="1183" w:type="dxa"/>
            <w:shd w:val="clear" w:color="auto" w:fill="auto"/>
            <w:tcMar>
              <w:top w:w="0" w:type="dxa"/>
              <w:left w:w="0" w:type="dxa"/>
              <w:bottom w:w="0" w:type="dxa"/>
              <w:right w:w="0" w:type="dxa"/>
            </w:tcMar>
          </w:tcPr>
          <w:p w14:paraId="5C92E1D8" w14:textId="77777777" w:rsidR="007C7EB5" w:rsidRDefault="00110E45">
            <w:pPr>
              <w:spacing w:after="0" w:line="240" w:lineRule="auto"/>
            </w:pPr>
            <w:r>
              <w:rPr>
                <w:rFonts w:ascii="Times New Roman" w:eastAsia="Times New Roman" w:hAnsi="Times New Roman"/>
                <w:b/>
                <w:bCs/>
                <w:spacing w:val="-1"/>
                <w:kern w:val="0"/>
                <w:sz w:val="24"/>
                <w:szCs w:val="24"/>
              </w:rPr>
              <w:t xml:space="preserve">TPI 1 </w:t>
            </w:r>
            <w:r>
              <w:rPr>
                <w:rFonts w:ascii="Times New Roman" w:eastAsia="Times New Roman" w:hAnsi="Times New Roman"/>
                <w:spacing w:val="-1"/>
                <w:kern w:val="0"/>
                <w:sz w:val="24"/>
                <w:szCs w:val="24"/>
              </w:rPr>
              <w:br/>
              <w:t>before (out of band), just in time (before), at the start - or time of collection, during collection and after collection</w:t>
            </w:r>
          </w:p>
        </w:tc>
        <w:tc>
          <w:tcPr>
            <w:tcW w:w="1413" w:type="dxa"/>
            <w:shd w:val="clear" w:color="auto" w:fill="auto"/>
            <w:tcMar>
              <w:top w:w="0" w:type="dxa"/>
              <w:left w:w="0" w:type="dxa"/>
              <w:bottom w:w="0" w:type="dxa"/>
              <w:right w:w="0" w:type="dxa"/>
            </w:tcMar>
          </w:tcPr>
          <w:p w14:paraId="09EF0A5E" w14:textId="77777777" w:rsidR="007C7EB5" w:rsidRDefault="00110E45">
            <w:pPr>
              <w:spacing w:after="0" w:line="240" w:lineRule="auto"/>
            </w:pPr>
            <w:r>
              <w:rPr>
                <w:rFonts w:ascii="Times New Roman" w:eastAsia="Times New Roman" w:hAnsi="Times New Roman"/>
                <w:b/>
                <w:bCs/>
                <w:spacing w:val="-1"/>
                <w:kern w:val="0"/>
                <w:sz w:val="24"/>
                <w:szCs w:val="24"/>
              </w:rPr>
              <w:t>TPI 2</w:t>
            </w:r>
            <w:r>
              <w:rPr>
                <w:rFonts w:ascii="Times New Roman" w:eastAsia="Times New Roman" w:hAnsi="Times New Roman"/>
                <w:spacing w:val="-1"/>
                <w:kern w:val="0"/>
                <w:sz w:val="24"/>
                <w:szCs w:val="24"/>
              </w:rPr>
              <w:br/>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Available</w:t>
            </w:r>
          </w:p>
          <w:p w14:paraId="326D6508" w14:textId="77777777" w:rsidR="007C7EB5" w:rsidRDefault="00110E45">
            <w:pPr>
              <w:spacing w:before="100" w:after="100" w:line="240" w:lineRule="auto"/>
            </w:pPr>
            <w:r>
              <w:rPr>
                <w:rFonts w:ascii="Times New Roman" w:eastAsia="Times New Roman" w:hAnsi="Times New Roman"/>
                <w:b/>
                <w:bCs/>
                <w:spacing w:val="-1"/>
                <w:kern w:val="0"/>
                <w:sz w:val="24"/>
                <w:szCs w:val="24"/>
              </w:rPr>
              <w:t>Not Available</w:t>
            </w:r>
          </w:p>
        </w:tc>
        <w:tc>
          <w:tcPr>
            <w:tcW w:w="579" w:type="dxa"/>
            <w:shd w:val="clear" w:color="auto" w:fill="auto"/>
            <w:tcMar>
              <w:top w:w="0" w:type="dxa"/>
              <w:left w:w="0" w:type="dxa"/>
              <w:bottom w:w="0" w:type="dxa"/>
              <w:right w:w="0" w:type="dxa"/>
            </w:tcMar>
          </w:tcPr>
          <w:p w14:paraId="29C9B62E" w14:textId="77777777" w:rsidR="007C7EB5" w:rsidRDefault="00110E45">
            <w:pPr>
              <w:spacing w:after="0" w:line="240" w:lineRule="auto"/>
            </w:pPr>
            <w:r>
              <w:rPr>
                <w:rFonts w:ascii="Times New Roman" w:eastAsia="Times New Roman" w:hAnsi="Times New Roman"/>
                <w:b/>
                <w:bCs/>
                <w:spacing w:val="-1"/>
                <w:kern w:val="0"/>
                <w:sz w:val="24"/>
                <w:szCs w:val="24"/>
              </w:rPr>
              <w:t>TPI 3</w:t>
            </w:r>
          </w:p>
          <w:p w14:paraId="3A5EC71F" w14:textId="77777777" w:rsidR="007C7EB5" w:rsidRDefault="00110E45">
            <w:pPr>
              <w:spacing w:before="100" w:after="100" w:line="240" w:lineRule="auto"/>
            </w:pPr>
            <w:r>
              <w:rPr>
                <w:rFonts w:ascii="Times New Roman" w:eastAsia="Times New Roman" w:hAnsi="Times New Roman"/>
                <w:b/>
                <w:bCs/>
                <w:spacing w:val="-1"/>
                <w:kern w:val="0"/>
                <w:sz w:val="24"/>
                <w:szCs w:val="24"/>
              </w:rPr>
              <w:t>Rate: +1, 0, -1, -3,</w:t>
            </w:r>
          </w:p>
        </w:tc>
        <w:tc>
          <w:tcPr>
            <w:tcW w:w="1258" w:type="dxa"/>
            <w:shd w:val="clear" w:color="auto" w:fill="auto"/>
            <w:tcMar>
              <w:top w:w="0" w:type="dxa"/>
              <w:left w:w="0" w:type="dxa"/>
              <w:bottom w:w="0" w:type="dxa"/>
              <w:right w:w="0" w:type="dxa"/>
            </w:tcMar>
          </w:tcPr>
          <w:p w14:paraId="6109C3E1" w14:textId="77777777" w:rsidR="007C7EB5" w:rsidRDefault="00110E45">
            <w:pPr>
              <w:spacing w:after="0" w:line="240" w:lineRule="auto"/>
            </w:pPr>
            <w:r>
              <w:rPr>
                <w:rFonts w:ascii="Times New Roman" w:eastAsia="Times New Roman" w:hAnsi="Times New Roman"/>
                <w:b/>
                <w:bCs/>
                <w:spacing w:val="-1"/>
                <w:kern w:val="0"/>
                <w:sz w:val="24"/>
                <w:szCs w:val="24"/>
              </w:rPr>
              <w:t>TPI 4</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Certificate or Key</w:t>
            </w:r>
            <w:r>
              <w:rPr>
                <w:rFonts w:ascii="Times New Roman" w:eastAsia="Times New Roman" w:hAnsi="Times New Roman"/>
                <w:spacing w:val="-1"/>
                <w:kern w:val="0"/>
                <w:sz w:val="24"/>
                <w:szCs w:val="24"/>
              </w:rPr>
              <w:br/>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CN-Matches</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OU – Match</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Jurisdiction – Match (optional)</w:t>
            </w:r>
          </w:p>
        </w:tc>
      </w:tr>
      <w:tr w:rsidR="007C7EB5" w14:paraId="4C4027E9" w14:textId="77777777">
        <w:tc>
          <w:tcPr>
            <w:tcW w:w="1270" w:type="dxa"/>
            <w:shd w:val="clear" w:color="auto" w:fill="auto"/>
            <w:tcMar>
              <w:top w:w="120" w:type="dxa"/>
              <w:left w:w="120" w:type="dxa"/>
              <w:bottom w:w="120" w:type="dxa"/>
              <w:right w:w="120" w:type="dxa"/>
            </w:tcMar>
          </w:tcPr>
          <w:p w14:paraId="4B4B185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Notice Location</w:t>
            </w:r>
          </w:p>
        </w:tc>
        <w:tc>
          <w:tcPr>
            <w:tcW w:w="1934" w:type="dxa"/>
            <w:shd w:val="clear" w:color="auto" w:fill="auto"/>
            <w:tcMar>
              <w:top w:w="120" w:type="dxa"/>
              <w:left w:w="120" w:type="dxa"/>
              <w:bottom w:w="120" w:type="dxa"/>
              <w:right w:w="120" w:type="dxa"/>
            </w:tcMar>
          </w:tcPr>
          <w:p w14:paraId="1AF27D4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 the notice was read/observed</w:t>
            </w:r>
          </w:p>
        </w:tc>
        <w:tc>
          <w:tcPr>
            <w:tcW w:w="1426" w:type="dxa"/>
            <w:shd w:val="clear" w:color="auto" w:fill="auto"/>
            <w:tcMar>
              <w:top w:w="120" w:type="dxa"/>
              <w:left w:w="120" w:type="dxa"/>
              <w:bottom w:w="120" w:type="dxa"/>
              <w:right w:w="120" w:type="dxa"/>
            </w:tcMar>
          </w:tcPr>
          <w:p w14:paraId="63BCF04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625B75D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before, during, after</w:t>
            </w:r>
          </w:p>
        </w:tc>
        <w:tc>
          <w:tcPr>
            <w:tcW w:w="1413" w:type="dxa"/>
            <w:shd w:val="clear" w:color="auto" w:fill="auto"/>
            <w:tcMar>
              <w:top w:w="120" w:type="dxa"/>
              <w:left w:w="120" w:type="dxa"/>
              <w:bottom w:w="120" w:type="dxa"/>
              <w:right w:w="120" w:type="dxa"/>
            </w:tcMar>
          </w:tcPr>
          <w:p w14:paraId="69C497F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3606B6E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3AA44D8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found</w:t>
            </w:r>
          </w:p>
        </w:tc>
      </w:tr>
      <w:tr w:rsidR="007C7EB5" w14:paraId="7CDDEE95" w14:textId="77777777">
        <w:tc>
          <w:tcPr>
            <w:tcW w:w="1270" w:type="dxa"/>
            <w:shd w:val="clear" w:color="auto" w:fill="auto"/>
            <w:tcMar>
              <w:top w:w="120" w:type="dxa"/>
              <w:left w:w="120" w:type="dxa"/>
              <w:bottom w:w="120" w:type="dxa"/>
              <w:right w:w="120" w:type="dxa"/>
            </w:tcMar>
          </w:tcPr>
          <w:p w14:paraId="544801F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Name</w:t>
            </w:r>
          </w:p>
        </w:tc>
        <w:tc>
          <w:tcPr>
            <w:tcW w:w="1934" w:type="dxa"/>
            <w:shd w:val="clear" w:color="auto" w:fill="auto"/>
            <w:tcMar>
              <w:top w:w="120" w:type="dxa"/>
              <w:left w:w="120" w:type="dxa"/>
              <w:bottom w:w="120" w:type="dxa"/>
              <w:right w:w="120" w:type="dxa"/>
            </w:tcMar>
          </w:tcPr>
          <w:p w14:paraId="698139C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Name of presented organization</w:t>
            </w:r>
          </w:p>
        </w:tc>
        <w:tc>
          <w:tcPr>
            <w:tcW w:w="1426" w:type="dxa"/>
            <w:shd w:val="clear" w:color="auto" w:fill="auto"/>
            <w:tcMar>
              <w:top w:w="120" w:type="dxa"/>
              <w:left w:w="120" w:type="dxa"/>
              <w:bottom w:w="120" w:type="dxa"/>
              <w:right w:w="120" w:type="dxa"/>
            </w:tcMar>
          </w:tcPr>
          <w:p w14:paraId="1D924C3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10832B1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1319831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54C648B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w:t>
            </w:r>
          </w:p>
        </w:tc>
        <w:tc>
          <w:tcPr>
            <w:tcW w:w="1258" w:type="dxa"/>
            <w:shd w:val="clear" w:color="auto" w:fill="auto"/>
            <w:tcMar>
              <w:top w:w="120" w:type="dxa"/>
              <w:left w:w="120" w:type="dxa"/>
              <w:bottom w:w="120" w:type="dxa"/>
              <w:right w:w="120" w:type="dxa"/>
            </w:tcMar>
          </w:tcPr>
          <w:p w14:paraId="55DF918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Match</w:t>
            </w:r>
          </w:p>
        </w:tc>
      </w:tr>
      <w:tr w:rsidR="007C7EB5" w14:paraId="462185FD" w14:textId="77777777">
        <w:tc>
          <w:tcPr>
            <w:tcW w:w="1270" w:type="dxa"/>
            <w:shd w:val="clear" w:color="auto" w:fill="auto"/>
            <w:tcMar>
              <w:top w:w="120" w:type="dxa"/>
              <w:left w:w="120" w:type="dxa"/>
              <w:bottom w:w="120" w:type="dxa"/>
              <w:right w:w="120" w:type="dxa"/>
            </w:tcMar>
          </w:tcPr>
          <w:p w14:paraId="6916B97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Address</w:t>
            </w:r>
          </w:p>
        </w:tc>
        <w:tc>
          <w:tcPr>
            <w:tcW w:w="1934" w:type="dxa"/>
            <w:shd w:val="clear" w:color="auto" w:fill="auto"/>
            <w:tcMar>
              <w:top w:w="120" w:type="dxa"/>
              <w:left w:w="120" w:type="dxa"/>
              <w:bottom w:w="120" w:type="dxa"/>
              <w:right w:w="120" w:type="dxa"/>
            </w:tcMar>
          </w:tcPr>
          <w:p w14:paraId="27D62D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Physical organization Address</w:t>
            </w:r>
          </w:p>
        </w:tc>
        <w:tc>
          <w:tcPr>
            <w:tcW w:w="1426" w:type="dxa"/>
            <w:shd w:val="clear" w:color="auto" w:fill="auto"/>
            <w:tcMar>
              <w:top w:w="120" w:type="dxa"/>
              <w:left w:w="120" w:type="dxa"/>
              <w:bottom w:w="120" w:type="dxa"/>
              <w:right w:w="120" w:type="dxa"/>
            </w:tcMar>
          </w:tcPr>
          <w:p w14:paraId="5EA7D8F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683AED6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37B3077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6A32927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w:t>
            </w:r>
          </w:p>
        </w:tc>
        <w:tc>
          <w:tcPr>
            <w:tcW w:w="1258" w:type="dxa"/>
            <w:shd w:val="clear" w:color="auto" w:fill="auto"/>
            <w:tcMar>
              <w:top w:w="120" w:type="dxa"/>
              <w:left w:w="120" w:type="dxa"/>
              <w:bottom w:w="120" w:type="dxa"/>
              <w:right w:w="120" w:type="dxa"/>
            </w:tcMar>
          </w:tcPr>
          <w:p w14:paraId="312A7D9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 match</w:t>
            </w:r>
          </w:p>
        </w:tc>
      </w:tr>
      <w:tr w:rsidR="007C7EB5" w14:paraId="21BD5557" w14:textId="77777777">
        <w:tc>
          <w:tcPr>
            <w:tcW w:w="1270" w:type="dxa"/>
            <w:shd w:val="clear" w:color="auto" w:fill="auto"/>
            <w:tcMar>
              <w:top w:w="120" w:type="dxa"/>
              <w:left w:w="120" w:type="dxa"/>
              <w:bottom w:w="120" w:type="dxa"/>
              <w:right w:w="120" w:type="dxa"/>
            </w:tcMar>
          </w:tcPr>
          <w:p w14:paraId="0F1E1D3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Point</w:t>
            </w:r>
          </w:p>
        </w:tc>
        <w:tc>
          <w:tcPr>
            <w:tcW w:w="1934" w:type="dxa"/>
            <w:shd w:val="clear" w:color="auto" w:fill="auto"/>
            <w:tcMar>
              <w:top w:w="120" w:type="dxa"/>
              <w:left w:w="120" w:type="dxa"/>
              <w:bottom w:w="120" w:type="dxa"/>
              <w:right w:w="120" w:type="dxa"/>
            </w:tcMar>
          </w:tcPr>
          <w:p w14:paraId="1153ACD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Location/address of Contact Point</w:t>
            </w:r>
          </w:p>
        </w:tc>
        <w:tc>
          <w:tcPr>
            <w:tcW w:w="1426" w:type="dxa"/>
            <w:shd w:val="clear" w:color="auto" w:fill="auto"/>
            <w:tcMar>
              <w:top w:w="120" w:type="dxa"/>
              <w:left w:w="120" w:type="dxa"/>
              <w:bottom w:w="120" w:type="dxa"/>
              <w:right w:w="120" w:type="dxa"/>
            </w:tcMar>
          </w:tcPr>
          <w:p w14:paraId="52195545"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30E90A4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773B90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4315B32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3287E0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Not match </w:t>
            </w:r>
          </w:p>
        </w:tc>
      </w:tr>
      <w:tr w:rsidR="007C7EB5" w14:paraId="773FC4E8" w14:textId="77777777">
        <w:tc>
          <w:tcPr>
            <w:tcW w:w="1270" w:type="dxa"/>
            <w:shd w:val="clear" w:color="auto" w:fill="auto"/>
            <w:tcMar>
              <w:top w:w="120" w:type="dxa"/>
              <w:left w:w="120" w:type="dxa"/>
              <w:bottom w:w="120" w:type="dxa"/>
              <w:right w:w="120" w:type="dxa"/>
            </w:tcMar>
          </w:tcPr>
          <w:p w14:paraId="777FAA3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Method</w:t>
            </w:r>
          </w:p>
        </w:tc>
        <w:tc>
          <w:tcPr>
            <w:tcW w:w="1934" w:type="dxa"/>
            <w:shd w:val="clear" w:color="auto" w:fill="auto"/>
            <w:tcMar>
              <w:top w:w="120" w:type="dxa"/>
              <w:left w:w="120" w:type="dxa"/>
              <w:bottom w:w="120" w:type="dxa"/>
              <w:right w:w="120" w:type="dxa"/>
            </w:tcMar>
          </w:tcPr>
          <w:p w14:paraId="77B2085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Contact method for correspondence with PII Controller</w:t>
            </w:r>
          </w:p>
        </w:tc>
        <w:tc>
          <w:tcPr>
            <w:tcW w:w="1426" w:type="dxa"/>
            <w:shd w:val="clear" w:color="auto" w:fill="auto"/>
            <w:tcMar>
              <w:top w:w="120" w:type="dxa"/>
              <w:left w:w="120" w:type="dxa"/>
              <w:bottom w:w="120" w:type="dxa"/>
              <w:right w:w="120" w:type="dxa"/>
            </w:tcMar>
          </w:tcPr>
          <w:p w14:paraId="03F72EA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3CC57AE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7F09FA7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3CDB7B2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4B11719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 Match</w:t>
            </w:r>
          </w:p>
        </w:tc>
      </w:tr>
      <w:tr w:rsidR="007C7EB5" w14:paraId="3C5E68C9" w14:textId="77777777">
        <w:tc>
          <w:tcPr>
            <w:tcW w:w="1270" w:type="dxa"/>
            <w:shd w:val="clear" w:color="auto" w:fill="auto"/>
            <w:tcMar>
              <w:top w:w="120" w:type="dxa"/>
              <w:left w:w="120" w:type="dxa"/>
              <w:bottom w:w="120" w:type="dxa"/>
              <w:right w:w="120" w:type="dxa"/>
            </w:tcMar>
          </w:tcPr>
          <w:p w14:paraId="6471FFA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Session key or Certificate</w:t>
            </w:r>
          </w:p>
        </w:tc>
        <w:tc>
          <w:tcPr>
            <w:tcW w:w="1934" w:type="dxa"/>
            <w:shd w:val="clear" w:color="auto" w:fill="auto"/>
            <w:tcMar>
              <w:top w:w="120" w:type="dxa"/>
              <w:left w:w="120" w:type="dxa"/>
              <w:bottom w:w="120" w:type="dxa"/>
              <w:right w:w="120" w:type="dxa"/>
            </w:tcMar>
          </w:tcPr>
          <w:p w14:paraId="046A726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A certificate for monitored practice </w:t>
            </w:r>
          </w:p>
        </w:tc>
        <w:tc>
          <w:tcPr>
            <w:tcW w:w="1426" w:type="dxa"/>
            <w:shd w:val="clear" w:color="auto" w:fill="auto"/>
            <w:tcMar>
              <w:top w:w="120" w:type="dxa"/>
              <w:left w:w="120" w:type="dxa"/>
              <w:bottom w:w="120" w:type="dxa"/>
              <w:right w:w="120" w:type="dxa"/>
            </w:tcMar>
          </w:tcPr>
          <w:p w14:paraId="02B2C79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1FA0736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6977238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Present (or </w:t>
            </w:r>
            <w:proofErr w:type="gramStart"/>
            <w:r>
              <w:rPr>
                <w:rFonts w:ascii="Times New Roman" w:eastAsia="Times New Roman" w:hAnsi="Times New Roman"/>
                <w:spacing w:val="-1"/>
                <w:kern w:val="0"/>
                <w:sz w:val="24"/>
                <w:szCs w:val="24"/>
              </w:rPr>
              <w:t>Not-found</w:t>
            </w:r>
            <w:proofErr w:type="gramEnd"/>
            <w:r>
              <w:rPr>
                <w:rFonts w:ascii="Times New Roman" w:eastAsia="Times New Roman" w:hAnsi="Times New Roman"/>
                <w:spacing w:val="-1"/>
                <w:kern w:val="0"/>
                <w:sz w:val="24"/>
                <w:szCs w:val="24"/>
              </w:rPr>
              <w:t>)</w:t>
            </w:r>
          </w:p>
        </w:tc>
        <w:tc>
          <w:tcPr>
            <w:tcW w:w="579" w:type="dxa"/>
            <w:shd w:val="clear" w:color="auto" w:fill="auto"/>
            <w:tcMar>
              <w:top w:w="120" w:type="dxa"/>
              <w:left w:w="120" w:type="dxa"/>
              <w:bottom w:w="120" w:type="dxa"/>
              <w:right w:w="120" w:type="dxa"/>
            </w:tcMar>
          </w:tcPr>
          <w:p w14:paraId="1A9C153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(or –</w:t>
            </w:r>
            <w:proofErr w:type="gramStart"/>
            <w:r>
              <w:rPr>
                <w:rFonts w:ascii="Times New Roman" w:eastAsia="Times New Roman" w:hAnsi="Times New Roman"/>
                <w:spacing w:val="-1"/>
                <w:kern w:val="0"/>
                <w:sz w:val="24"/>
                <w:szCs w:val="24"/>
              </w:rPr>
              <w:t>3 )</w:t>
            </w:r>
            <w:proofErr w:type="gramEnd"/>
          </w:p>
        </w:tc>
        <w:tc>
          <w:tcPr>
            <w:tcW w:w="1258" w:type="dxa"/>
            <w:shd w:val="clear" w:color="auto" w:fill="auto"/>
            <w:tcMar>
              <w:top w:w="120" w:type="dxa"/>
              <w:left w:w="120" w:type="dxa"/>
              <w:bottom w:w="120" w:type="dxa"/>
              <w:right w:w="120" w:type="dxa"/>
            </w:tcMar>
          </w:tcPr>
          <w:p w14:paraId="70E5D66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 (or No Security Detected)</w:t>
            </w:r>
          </w:p>
        </w:tc>
      </w:tr>
    </w:tbl>
    <w:p w14:paraId="0CE6B22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094E22F2"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 xml:space="preserve">Summary </w:t>
      </w:r>
    </w:p>
    <w:p w14:paraId="159F530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summary, Transparency Performance Indicators, TPI’s are specified here for people to use depending on context, location, security, and other out of session elements. TPI’s are used to determine with one's own </w:t>
      </w:r>
      <w:proofErr w:type="spellStart"/>
      <w:r>
        <w:rPr>
          <w:rFonts w:ascii="Segoe UI" w:eastAsia="Times New Roman" w:hAnsi="Segoe UI" w:cs="Segoe UI"/>
          <w:color w:val="172B4D"/>
          <w:spacing w:val="-1"/>
          <w:kern w:val="0"/>
          <w:sz w:val="24"/>
          <w:szCs w:val="24"/>
        </w:rPr>
        <w:t>soverign</w:t>
      </w:r>
      <w:proofErr w:type="spellEnd"/>
      <w:r>
        <w:rPr>
          <w:rFonts w:ascii="Segoe UI" w:eastAsia="Times New Roman" w:hAnsi="Segoe UI" w:cs="Segoe UI"/>
          <w:color w:val="172B4D"/>
          <w:spacing w:val="-1"/>
          <w:kern w:val="0"/>
          <w:sz w:val="24"/>
          <w:szCs w:val="24"/>
        </w:rPr>
        <w:t xml:space="preserve"> reasoning whether to trust a service, not an external framing, opinion or forced default.</w:t>
      </w:r>
    </w:p>
    <w:p w14:paraId="1C41782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TPI’s use open standards, with an open license specified for people to be able to use and create records they can own and keep across and independently of service providers. </w:t>
      </w:r>
    </w:p>
    <w:p w14:paraId="16AB61F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1 is a measure of trust, so that when asked, “Do you trust (accept) a service”, you necessarily know who is processing your data before, during or after.” </w:t>
      </w:r>
      <w:proofErr w:type="spellStart"/>
      <w:r>
        <w:rPr>
          <w:rFonts w:ascii="Segoe UI" w:eastAsia="Times New Roman" w:hAnsi="Segoe UI" w:cs="Segoe UI"/>
          <w:color w:val="172B4D"/>
          <w:spacing w:val="-1"/>
          <w:kern w:val="0"/>
          <w:sz w:val="24"/>
          <w:szCs w:val="24"/>
        </w:rPr>
        <w:t>Overwhelimingly</w:t>
      </w:r>
      <w:proofErr w:type="spellEnd"/>
      <w:r>
        <w:rPr>
          <w:rFonts w:ascii="Segoe UI" w:eastAsia="Times New Roman" w:hAnsi="Segoe UI" w:cs="Segoe UI"/>
          <w:color w:val="172B4D"/>
          <w:spacing w:val="-1"/>
          <w:kern w:val="0"/>
          <w:sz w:val="24"/>
          <w:szCs w:val="24"/>
        </w:rPr>
        <w:t xml:space="preserve"> people indicate trust would be higher. if notified prior to data capture, which only makes sense.</w:t>
      </w:r>
    </w:p>
    <w:p w14:paraId="47DAD70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2 is the legally required information, is it present, and then used as </w:t>
      </w:r>
      <w:proofErr w:type="gramStart"/>
      <w:r>
        <w:rPr>
          <w:rFonts w:ascii="Segoe UI" w:eastAsia="Times New Roman" w:hAnsi="Segoe UI" w:cs="Segoe UI"/>
          <w:color w:val="172B4D"/>
          <w:spacing w:val="-1"/>
          <w:kern w:val="0"/>
          <w:sz w:val="24"/>
          <w:szCs w:val="24"/>
        </w:rPr>
        <w:t>a,</w:t>
      </w:r>
      <w:proofErr w:type="gramEnd"/>
      <w:r>
        <w:rPr>
          <w:rFonts w:ascii="Segoe UI" w:eastAsia="Times New Roman" w:hAnsi="Segoe UI" w:cs="Segoe UI"/>
          <w:color w:val="172B4D"/>
          <w:spacing w:val="-1"/>
          <w:kern w:val="0"/>
          <w:sz w:val="24"/>
          <w:szCs w:val="24"/>
        </w:rPr>
        <w:t xml:space="preserve"> generally available, standardized, and open metric for compliance. </w:t>
      </w:r>
    </w:p>
    <w:p w14:paraId="31777F75"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3 is an indicator for how accessible and inclusive </w:t>
      </w:r>
      <w:proofErr w:type="gramStart"/>
      <w:r>
        <w:rPr>
          <w:rFonts w:ascii="Segoe UI" w:eastAsia="Times New Roman" w:hAnsi="Segoe UI" w:cs="Segoe UI"/>
          <w:color w:val="172B4D"/>
          <w:spacing w:val="-1"/>
          <w:kern w:val="0"/>
          <w:sz w:val="24"/>
          <w:szCs w:val="24"/>
        </w:rPr>
        <w:t>is digital transparency</w:t>
      </w:r>
      <w:proofErr w:type="gramEnd"/>
      <w:r>
        <w:rPr>
          <w:rFonts w:ascii="Segoe UI" w:eastAsia="Times New Roman" w:hAnsi="Segoe UI" w:cs="Segoe UI"/>
          <w:color w:val="172B4D"/>
          <w:spacing w:val="-1"/>
          <w:kern w:val="0"/>
          <w:sz w:val="24"/>
          <w:szCs w:val="24"/>
        </w:rPr>
        <w:t>.</w:t>
      </w:r>
    </w:p>
    <w:p w14:paraId="50617E8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4 validates for the individual if security “adds up” for </w:t>
      </w:r>
      <w:proofErr w:type="gramStart"/>
      <w:r>
        <w:rPr>
          <w:rFonts w:ascii="Segoe UI" w:eastAsia="Times New Roman" w:hAnsi="Segoe UI" w:cs="Segoe UI"/>
          <w:color w:val="172B4D"/>
          <w:spacing w:val="-1"/>
          <w:kern w:val="0"/>
          <w:sz w:val="24"/>
          <w:szCs w:val="24"/>
        </w:rPr>
        <w:t>the them</w:t>
      </w:r>
      <w:proofErr w:type="gramEnd"/>
      <w:r>
        <w:rPr>
          <w:rFonts w:ascii="Segoe UI" w:eastAsia="Times New Roman" w:hAnsi="Segoe UI" w:cs="Segoe UI"/>
          <w:color w:val="172B4D"/>
          <w:spacing w:val="-1"/>
          <w:kern w:val="0"/>
          <w:sz w:val="24"/>
          <w:szCs w:val="24"/>
        </w:rPr>
        <w:t xml:space="preserve"> and in doing so addresses a critical security gap widely overlooked today. </w:t>
      </w:r>
    </w:p>
    <w:p w14:paraId="473FBE6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737892EA"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Roadmap</w:t>
      </w:r>
    </w:p>
    <w:p w14:paraId="73A913DD"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 xml:space="preserve">References </w:t>
      </w:r>
    </w:p>
    <w:p w14:paraId="386C050A"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230A1EEF"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t>Appendix A: Notice Record Schema</w:t>
      </w:r>
    </w:p>
    <w:p w14:paraId="5651898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this appendix, here is a notice record template to fill out when recording a rating, along with a rating template, and analysis results format. </w:t>
      </w:r>
    </w:p>
    <w:p w14:paraId="111687B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Notice Record Schema </w:t>
      </w:r>
      <w:proofErr w:type="gramStart"/>
      <w:r>
        <w:rPr>
          <w:rFonts w:ascii="Segoe UI" w:eastAsia="Times New Roman" w:hAnsi="Segoe UI" w:cs="Segoe UI"/>
          <w:color w:val="172B4D"/>
          <w:spacing w:val="-1"/>
          <w:kern w:val="0"/>
          <w:sz w:val="24"/>
          <w:szCs w:val="24"/>
        </w:rPr>
        <w:t>&amp; ,</w:t>
      </w:r>
      <w:proofErr w:type="gramEnd"/>
      <w:r>
        <w:rPr>
          <w:rFonts w:ascii="Segoe UI" w:eastAsia="Times New Roman" w:hAnsi="Segoe UI" w:cs="Segoe UI"/>
          <w:color w:val="172B4D"/>
          <w:spacing w:val="-1"/>
          <w:kern w:val="0"/>
          <w:sz w:val="24"/>
          <w:szCs w:val="24"/>
        </w:rPr>
        <w:t xml:space="preserve"> Notice Record and Report - Template and Example</w:t>
      </w:r>
    </w:p>
    <w:p w14:paraId="286158BD"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r>
        <w:rPr>
          <w:rFonts w:ascii="Segoe UI" w:eastAsia="Times New Roman" w:hAnsi="Segoe UI" w:cs="Segoe UI"/>
          <w:color w:val="172B4D"/>
          <w:spacing w:val="-2"/>
          <w:kern w:val="0"/>
          <w:sz w:val="34"/>
          <w:szCs w:val="34"/>
        </w:rPr>
        <w:t>1.2.    TABLE1: NOTICE RECORD SCHEMA</w:t>
      </w:r>
      <w:r>
        <w:rPr>
          <w:rFonts w:ascii="Segoe UI" w:eastAsia="Times New Roman" w:hAnsi="Segoe UI" w:cs="Segoe UI"/>
          <w:color w:val="172B4D"/>
          <w:spacing w:val="-2"/>
          <w:kern w:val="0"/>
          <w:sz w:val="34"/>
          <w:szCs w:val="34"/>
        </w:rPr>
        <w:br/>
      </w:r>
      <w:r>
        <w:rPr>
          <w:rFonts w:ascii="Segoe UI" w:eastAsia="Times New Roman" w:hAnsi="Segoe UI" w:cs="Segoe UI"/>
          <w:color w:val="172B4D"/>
          <w:spacing w:val="-2"/>
          <w:kern w:val="0"/>
          <w:sz w:val="34"/>
          <w:szCs w:val="34"/>
        </w:rPr>
        <w:br/>
      </w:r>
      <w:r>
        <w:rPr>
          <w:rFonts w:ascii="Segoe UI" w:eastAsia="Times New Roman" w:hAnsi="Segoe UI" w:cs="Segoe UI"/>
          <w:color w:val="172B4D"/>
          <w:spacing w:val="-2"/>
          <w:kern w:val="0"/>
          <w:sz w:val="34"/>
          <w:szCs w:val="34"/>
        </w:rPr>
        <w:br/>
      </w: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C7EB5" w14:paraId="4E7455A8" w14:textId="77777777">
        <w:trPr>
          <w:trHeight w:val="1488"/>
        </w:trPr>
        <w:tc>
          <w:tcPr>
            <w:tcW w:w="1987" w:type="dxa"/>
            <w:shd w:val="clear" w:color="auto" w:fill="F2F2F2"/>
            <w:tcMar>
              <w:top w:w="120" w:type="dxa"/>
              <w:left w:w="120" w:type="dxa"/>
              <w:bottom w:w="120" w:type="dxa"/>
              <w:right w:w="120" w:type="dxa"/>
            </w:tcMar>
          </w:tcPr>
          <w:p w14:paraId="39961BA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NAME</w:t>
            </w:r>
          </w:p>
        </w:tc>
        <w:tc>
          <w:tcPr>
            <w:tcW w:w="2243" w:type="dxa"/>
            <w:shd w:val="clear" w:color="auto" w:fill="F2F2F2"/>
            <w:tcMar>
              <w:top w:w="120" w:type="dxa"/>
              <w:left w:w="120" w:type="dxa"/>
              <w:bottom w:w="120" w:type="dxa"/>
              <w:right w:w="120" w:type="dxa"/>
            </w:tcMar>
          </w:tcPr>
          <w:p w14:paraId="4EAFE36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DESCRIPTION</w:t>
            </w:r>
          </w:p>
        </w:tc>
        <w:tc>
          <w:tcPr>
            <w:tcW w:w="2223" w:type="dxa"/>
            <w:shd w:val="clear" w:color="auto" w:fill="F2F2F2"/>
            <w:tcMar>
              <w:top w:w="120" w:type="dxa"/>
              <w:left w:w="120" w:type="dxa"/>
              <w:bottom w:w="120" w:type="dxa"/>
              <w:right w:w="120" w:type="dxa"/>
            </w:tcMar>
          </w:tcPr>
          <w:p w14:paraId="4CB4E64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REQUIREMENT: MUST, SHALL, MAY</w:t>
            </w:r>
          </w:p>
        </w:tc>
        <w:tc>
          <w:tcPr>
            <w:tcW w:w="2620" w:type="dxa"/>
            <w:shd w:val="clear" w:color="auto" w:fill="F2F2F2"/>
            <w:tcMar>
              <w:top w:w="120" w:type="dxa"/>
              <w:left w:w="120" w:type="dxa"/>
              <w:bottom w:w="120" w:type="dxa"/>
              <w:right w:w="120" w:type="dxa"/>
            </w:tcMar>
          </w:tcPr>
          <w:p w14:paraId="52F2FA2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DATA EXAMPLE</w:t>
            </w:r>
          </w:p>
        </w:tc>
      </w:tr>
      <w:tr w:rsidR="007C7EB5" w14:paraId="5C49E713" w14:textId="77777777">
        <w:tc>
          <w:tcPr>
            <w:tcW w:w="1987" w:type="dxa"/>
            <w:shd w:val="clear" w:color="auto" w:fill="auto"/>
            <w:tcMar>
              <w:top w:w="120" w:type="dxa"/>
              <w:left w:w="120" w:type="dxa"/>
              <w:bottom w:w="120" w:type="dxa"/>
              <w:right w:w="120" w:type="dxa"/>
            </w:tcMar>
          </w:tcPr>
          <w:p w14:paraId="6006E88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Notice Location</w:t>
            </w:r>
          </w:p>
        </w:tc>
        <w:tc>
          <w:tcPr>
            <w:tcW w:w="2243" w:type="dxa"/>
            <w:shd w:val="clear" w:color="auto" w:fill="auto"/>
            <w:tcMar>
              <w:top w:w="120" w:type="dxa"/>
              <w:left w:w="120" w:type="dxa"/>
              <w:bottom w:w="120" w:type="dxa"/>
              <w:right w:w="120" w:type="dxa"/>
            </w:tcMar>
          </w:tcPr>
          <w:p w14:paraId="041406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 the notice was read/observed</w:t>
            </w:r>
          </w:p>
        </w:tc>
        <w:tc>
          <w:tcPr>
            <w:tcW w:w="2223" w:type="dxa"/>
            <w:shd w:val="clear" w:color="auto" w:fill="auto"/>
            <w:tcMar>
              <w:top w:w="120" w:type="dxa"/>
              <w:left w:w="120" w:type="dxa"/>
              <w:bottom w:w="120" w:type="dxa"/>
              <w:right w:w="120" w:type="dxa"/>
            </w:tcMar>
          </w:tcPr>
          <w:p w14:paraId="0F4AF6F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49F1CCC8" w14:textId="77777777" w:rsidR="007C7EB5" w:rsidRDefault="00035957">
            <w:pPr>
              <w:spacing w:after="0" w:line="240" w:lineRule="auto"/>
            </w:pPr>
            <w:hyperlink r:id="rId18" w:history="1">
              <w:r w:rsidR="000C4D5C">
                <w:rPr>
                  <w:noProof/>
                </w:rPr>
                <mc:AlternateContent>
                  <mc:Choice Requires="wps">
                    <w:drawing>
                      <wp:inline distT="0" distB="0" distL="0" distR="0" wp14:anchorId="653D3D45" wp14:editId="79646BE3">
                        <wp:extent cx="302260" cy="3022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6BF8ADC8"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" filled="f" stroked="f">
                        <v:textbox inset="0,0,0,0"/>
                        <w10:anchorlock/>
                      </v:rect>
                    </w:pict>
                  </mc:Fallback>
                </mc:AlternateContent>
              </w:r>
              <w:r w:rsidR="00110E45">
                <w:rPr>
                  <w:rFonts w:ascii="Times New Roman" w:eastAsia="Times New Roman" w:hAnsi="Times New Roman"/>
                  <w:color w:val="0000FF"/>
                  <w:spacing w:val="-1"/>
                  <w:kern w:val="0"/>
                  <w:sz w:val="24"/>
                  <w:szCs w:val="24"/>
                </w:rPr>
                <w:t>Walmart.com | Save Money. Live Better</w:t>
              </w:r>
            </w:hyperlink>
          </w:p>
        </w:tc>
      </w:tr>
      <w:tr w:rsidR="007C7EB5" w14:paraId="72B924D7" w14:textId="77777777">
        <w:tc>
          <w:tcPr>
            <w:tcW w:w="1987" w:type="dxa"/>
            <w:shd w:val="clear" w:color="auto" w:fill="auto"/>
            <w:tcMar>
              <w:top w:w="120" w:type="dxa"/>
              <w:left w:w="120" w:type="dxa"/>
              <w:bottom w:w="120" w:type="dxa"/>
              <w:right w:w="120" w:type="dxa"/>
            </w:tcMar>
          </w:tcPr>
          <w:p w14:paraId="1A32BC9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Name</w:t>
            </w:r>
          </w:p>
        </w:tc>
        <w:tc>
          <w:tcPr>
            <w:tcW w:w="2243" w:type="dxa"/>
            <w:shd w:val="clear" w:color="auto" w:fill="auto"/>
            <w:tcMar>
              <w:top w:w="120" w:type="dxa"/>
              <w:left w:w="120" w:type="dxa"/>
              <w:bottom w:w="120" w:type="dxa"/>
              <w:right w:w="120" w:type="dxa"/>
            </w:tcMar>
          </w:tcPr>
          <w:p w14:paraId="277A9E6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Name of presented business</w:t>
            </w:r>
          </w:p>
        </w:tc>
        <w:tc>
          <w:tcPr>
            <w:tcW w:w="2223" w:type="dxa"/>
            <w:shd w:val="clear" w:color="auto" w:fill="auto"/>
            <w:tcMar>
              <w:top w:w="120" w:type="dxa"/>
              <w:left w:w="120" w:type="dxa"/>
              <w:bottom w:w="120" w:type="dxa"/>
              <w:right w:w="120" w:type="dxa"/>
            </w:tcMar>
          </w:tcPr>
          <w:p w14:paraId="261C180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1ED1D3D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Walmart</w:t>
            </w:r>
          </w:p>
        </w:tc>
      </w:tr>
      <w:tr w:rsidR="007C7EB5" w14:paraId="267DDEBA" w14:textId="77777777">
        <w:tc>
          <w:tcPr>
            <w:tcW w:w="1987" w:type="dxa"/>
            <w:shd w:val="clear" w:color="auto" w:fill="auto"/>
            <w:tcMar>
              <w:top w:w="120" w:type="dxa"/>
              <w:left w:w="120" w:type="dxa"/>
              <w:bottom w:w="120" w:type="dxa"/>
              <w:right w:w="120" w:type="dxa"/>
            </w:tcMar>
          </w:tcPr>
          <w:p w14:paraId="43C7335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Address</w:t>
            </w:r>
          </w:p>
        </w:tc>
        <w:tc>
          <w:tcPr>
            <w:tcW w:w="2243" w:type="dxa"/>
            <w:shd w:val="clear" w:color="auto" w:fill="auto"/>
            <w:tcMar>
              <w:top w:w="120" w:type="dxa"/>
              <w:left w:w="120" w:type="dxa"/>
              <w:bottom w:w="120" w:type="dxa"/>
              <w:right w:w="120" w:type="dxa"/>
            </w:tcMar>
          </w:tcPr>
          <w:p w14:paraId="4C0A0F9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The physical address of controller and/or accountable person</w:t>
            </w:r>
          </w:p>
        </w:tc>
        <w:tc>
          <w:tcPr>
            <w:tcW w:w="2223" w:type="dxa"/>
            <w:shd w:val="clear" w:color="auto" w:fill="auto"/>
            <w:tcMar>
              <w:top w:w="120" w:type="dxa"/>
              <w:left w:w="120" w:type="dxa"/>
              <w:bottom w:w="120" w:type="dxa"/>
              <w:right w:w="120" w:type="dxa"/>
            </w:tcMar>
          </w:tcPr>
          <w:p w14:paraId="3904CC0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0814F16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1940 Argentina Road Mississauga, Ontario L5N 1P9</w:t>
            </w:r>
          </w:p>
        </w:tc>
      </w:tr>
      <w:tr w:rsidR="007C7EB5" w14:paraId="41335089" w14:textId="77777777">
        <w:tc>
          <w:tcPr>
            <w:tcW w:w="1987" w:type="dxa"/>
            <w:shd w:val="clear" w:color="auto" w:fill="auto"/>
            <w:tcMar>
              <w:top w:w="120" w:type="dxa"/>
              <w:left w:w="120" w:type="dxa"/>
              <w:bottom w:w="120" w:type="dxa"/>
              <w:right w:w="120" w:type="dxa"/>
            </w:tcMar>
          </w:tcPr>
          <w:p w14:paraId="45D6450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Contact Type</w:t>
            </w:r>
          </w:p>
        </w:tc>
        <w:tc>
          <w:tcPr>
            <w:tcW w:w="2243" w:type="dxa"/>
            <w:shd w:val="clear" w:color="auto" w:fill="auto"/>
            <w:tcMar>
              <w:top w:w="120" w:type="dxa"/>
              <w:left w:w="120" w:type="dxa"/>
              <w:bottom w:w="120" w:type="dxa"/>
              <w:right w:w="120" w:type="dxa"/>
            </w:tcMar>
          </w:tcPr>
          <w:p w14:paraId="48233E5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Contact method for correspondence with PII Controller</w:t>
            </w:r>
          </w:p>
        </w:tc>
        <w:tc>
          <w:tcPr>
            <w:tcW w:w="2223" w:type="dxa"/>
            <w:shd w:val="clear" w:color="auto" w:fill="auto"/>
            <w:tcMar>
              <w:top w:w="120" w:type="dxa"/>
              <w:left w:w="120" w:type="dxa"/>
              <w:bottom w:w="120" w:type="dxa"/>
              <w:right w:w="120" w:type="dxa"/>
            </w:tcMar>
          </w:tcPr>
          <w:p w14:paraId="0B1B61C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3483D94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Email, phone</w:t>
            </w:r>
          </w:p>
        </w:tc>
      </w:tr>
      <w:tr w:rsidR="007C7EB5" w14:paraId="4B7B1B9A" w14:textId="77777777">
        <w:tc>
          <w:tcPr>
            <w:tcW w:w="1987" w:type="dxa"/>
            <w:shd w:val="clear" w:color="auto" w:fill="auto"/>
            <w:tcMar>
              <w:top w:w="120" w:type="dxa"/>
              <w:left w:w="120" w:type="dxa"/>
              <w:bottom w:w="120" w:type="dxa"/>
              <w:right w:w="120" w:type="dxa"/>
            </w:tcMar>
          </w:tcPr>
          <w:p w14:paraId="68A566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Controller-Correspondence Contact</w:t>
            </w:r>
          </w:p>
        </w:tc>
        <w:tc>
          <w:tcPr>
            <w:tcW w:w="2243" w:type="dxa"/>
            <w:shd w:val="clear" w:color="auto" w:fill="auto"/>
            <w:tcMar>
              <w:top w:w="120" w:type="dxa"/>
              <w:left w:w="120" w:type="dxa"/>
              <w:bottom w:w="120" w:type="dxa"/>
              <w:right w:w="120" w:type="dxa"/>
            </w:tcMar>
          </w:tcPr>
          <w:p w14:paraId="2C4C732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General contact point</w:t>
            </w:r>
          </w:p>
        </w:tc>
        <w:tc>
          <w:tcPr>
            <w:tcW w:w="2223" w:type="dxa"/>
            <w:shd w:val="clear" w:color="auto" w:fill="auto"/>
            <w:tcMar>
              <w:top w:w="120" w:type="dxa"/>
              <w:left w:w="120" w:type="dxa"/>
              <w:bottom w:w="120" w:type="dxa"/>
              <w:right w:w="120" w:type="dxa"/>
            </w:tcMar>
          </w:tcPr>
          <w:p w14:paraId="0BE9A31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SHALL</w:t>
            </w:r>
          </w:p>
        </w:tc>
        <w:tc>
          <w:tcPr>
            <w:tcW w:w="2620" w:type="dxa"/>
            <w:shd w:val="clear" w:color="auto" w:fill="auto"/>
            <w:tcMar>
              <w:top w:w="120" w:type="dxa"/>
              <w:left w:w="120" w:type="dxa"/>
              <w:bottom w:w="120" w:type="dxa"/>
              <w:right w:w="120" w:type="dxa"/>
            </w:tcMar>
          </w:tcPr>
          <w:p w14:paraId="1D2264A0" w14:textId="77777777" w:rsidR="007C7EB5" w:rsidRDefault="00035957">
            <w:pPr>
              <w:spacing w:after="0" w:line="240" w:lineRule="auto"/>
            </w:pPr>
            <w:hyperlink r:id="rId19" w:tooltip="mailto:Privacy@org.com" w:history="1">
              <w:r w:rsidR="00110E45">
                <w:rPr>
                  <w:rFonts w:ascii="Times New Roman" w:eastAsia="Times New Roman" w:hAnsi="Times New Roman"/>
                  <w:color w:val="0000FF"/>
                  <w:spacing w:val="-1"/>
                  <w:kern w:val="0"/>
                  <w:sz w:val="24"/>
                  <w:szCs w:val="24"/>
                  <w:u w:val="single"/>
                </w:rPr>
                <w:t>Privacy@org.com</w:t>
              </w:r>
            </w:hyperlink>
          </w:p>
        </w:tc>
      </w:tr>
      <w:tr w:rsidR="007C7EB5" w14:paraId="66B23942" w14:textId="77777777">
        <w:tc>
          <w:tcPr>
            <w:tcW w:w="1987" w:type="dxa"/>
            <w:shd w:val="clear" w:color="auto" w:fill="auto"/>
            <w:tcMar>
              <w:top w:w="120" w:type="dxa"/>
              <w:left w:w="120" w:type="dxa"/>
              <w:bottom w:w="120" w:type="dxa"/>
              <w:right w:w="120" w:type="dxa"/>
            </w:tcMar>
          </w:tcPr>
          <w:p w14:paraId="4CDEB5B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Type</w:t>
            </w:r>
          </w:p>
        </w:tc>
        <w:tc>
          <w:tcPr>
            <w:tcW w:w="2243" w:type="dxa"/>
            <w:shd w:val="clear" w:color="auto" w:fill="auto"/>
            <w:tcMar>
              <w:top w:w="120" w:type="dxa"/>
              <w:left w:w="120" w:type="dxa"/>
              <w:bottom w:w="120" w:type="dxa"/>
              <w:right w:w="120" w:type="dxa"/>
            </w:tcMar>
          </w:tcPr>
          <w:p w14:paraId="16EF08D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The Contact method provided for access to privacy contact</w:t>
            </w:r>
          </w:p>
        </w:tc>
        <w:tc>
          <w:tcPr>
            <w:tcW w:w="2223" w:type="dxa"/>
            <w:shd w:val="clear" w:color="auto" w:fill="auto"/>
            <w:tcMar>
              <w:top w:w="120" w:type="dxa"/>
              <w:left w:w="120" w:type="dxa"/>
              <w:bottom w:w="120" w:type="dxa"/>
              <w:right w:w="120" w:type="dxa"/>
            </w:tcMar>
          </w:tcPr>
          <w:p w14:paraId="6B3349F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29A9807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email</w:t>
            </w:r>
          </w:p>
        </w:tc>
      </w:tr>
      <w:tr w:rsidR="007C7EB5" w14:paraId="51724C05" w14:textId="77777777">
        <w:tc>
          <w:tcPr>
            <w:tcW w:w="1987" w:type="dxa"/>
            <w:shd w:val="clear" w:color="auto" w:fill="auto"/>
            <w:tcMar>
              <w:top w:w="120" w:type="dxa"/>
              <w:left w:w="120" w:type="dxa"/>
              <w:bottom w:w="120" w:type="dxa"/>
              <w:right w:w="120" w:type="dxa"/>
            </w:tcMar>
          </w:tcPr>
          <w:p w14:paraId="5E4B859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Point</w:t>
            </w:r>
          </w:p>
        </w:tc>
        <w:tc>
          <w:tcPr>
            <w:tcW w:w="2243" w:type="dxa"/>
            <w:shd w:val="clear" w:color="auto" w:fill="auto"/>
            <w:tcMar>
              <w:top w:w="120" w:type="dxa"/>
              <w:left w:w="120" w:type="dxa"/>
              <w:bottom w:w="120" w:type="dxa"/>
              <w:right w:w="120" w:type="dxa"/>
            </w:tcMar>
          </w:tcPr>
          <w:p w14:paraId="12520D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Location/address of Contact Point</w:t>
            </w:r>
          </w:p>
        </w:tc>
        <w:tc>
          <w:tcPr>
            <w:tcW w:w="2223" w:type="dxa"/>
            <w:shd w:val="clear" w:color="auto" w:fill="auto"/>
            <w:tcMar>
              <w:top w:w="120" w:type="dxa"/>
              <w:left w:w="120" w:type="dxa"/>
              <w:bottom w:w="120" w:type="dxa"/>
              <w:right w:w="120" w:type="dxa"/>
            </w:tcMar>
          </w:tcPr>
          <w:p w14:paraId="70CED2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496F6494" w14:textId="77777777" w:rsidR="007C7EB5" w:rsidRDefault="00035957">
            <w:pPr>
              <w:spacing w:after="0" w:line="240" w:lineRule="auto"/>
            </w:pPr>
            <w:hyperlink r:id="rId20" w:tooltip="http://Org.com/privacy.html" w:history="1">
              <w:r w:rsidR="00110E45">
                <w:rPr>
                  <w:rFonts w:ascii="Times New Roman" w:eastAsia="Times New Roman" w:hAnsi="Times New Roman"/>
                  <w:color w:val="0000FF"/>
                  <w:spacing w:val="-1"/>
                  <w:kern w:val="0"/>
                  <w:sz w:val="24"/>
                  <w:szCs w:val="24"/>
                  <w:u w:val="single"/>
                </w:rPr>
                <w:t>Org.com/privacy.html</w:t>
              </w:r>
            </w:hyperlink>
          </w:p>
        </w:tc>
      </w:tr>
      <w:tr w:rsidR="007C7EB5" w14:paraId="0AC43AF7" w14:textId="77777777">
        <w:tc>
          <w:tcPr>
            <w:tcW w:w="1987" w:type="dxa"/>
            <w:shd w:val="clear" w:color="auto" w:fill="auto"/>
            <w:tcMar>
              <w:top w:w="120" w:type="dxa"/>
              <w:left w:w="120" w:type="dxa"/>
              <w:bottom w:w="120" w:type="dxa"/>
              <w:right w:w="120" w:type="dxa"/>
            </w:tcMar>
          </w:tcPr>
          <w:p w14:paraId="28DB35E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Session Certificate</w:t>
            </w:r>
          </w:p>
        </w:tc>
        <w:tc>
          <w:tcPr>
            <w:tcW w:w="2243" w:type="dxa"/>
            <w:shd w:val="clear" w:color="auto" w:fill="auto"/>
            <w:tcMar>
              <w:top w:w="120" w:type="dxa"/>
              <w:left w:w="120" w:type="dxa"/>
              <w:bottom w:w="120" w:type="dxa"/>
              <w:right w:w="120" w:type="dxa"/>
            </w:tcMar>
          </w:tcPr>
          <w:p w14:paraId="7CAEDF5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 certificate for monitored practice</w:t>
            </w:r>
          </w:p>
        </w:tc>
        <w:tc>
          <w:tcPr>
            <w:tcW w:w="2223" w:type="dxa"/>
            <w:shd w:val="clear" w:color="auto" w:fill="auto"/>
            <w:tcMar>
              <w:top w:w="120" w:type="dxa"/>
              <w:left w:w="120" w:type="dxa"/>
              <w:bottom w:w="120" w:type="dxa"/>
              <w:right w:w="120" w:type="dxa"/>
            </w:tcMar>
          </w:tcPr>
          <w:p w14:paraId="5BB9F37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Optional</w:t>
            </w:r>
          </w:p>
        </w:tc>
        <w:tc>
          <w:tcPr>
            <w:tcW w:w="2620" w:type="dxa"/>
            <w:shd w:val="clear" w:color="auto" w:fill="auto"/>
            <w:tcMar>
              <w:top w:w="120" w:type="dxa"/>
              <w:left w:w="120" w:type="dxa"/>
              <w:bottom w:w="120" w:type="dxa"/>
              <w:right w:w="120" w:type="dxa"/>
            </w:tcMar>
          </w:tcPr>
          <w:p w14:paraId="07BD787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SSL Certificate Security (TLS) and Transparency</w:t>
            </w:r>
          </w:p>
        </w:tc>
      </w:tr>
    </w:tbl>
    <w:p w14:paraId="2516CA42"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r>
        <w:rPr>
          <w:rFonts w:ascii="Segoe UI" w:eastAsia="Times New Roman" w:hAnsi="Segoe UI" w:cs="Segoe UI"/>
          <w:color w:val="172B4D"/>
          <w:spacing w:val="-2"/>
          <w:sz w:val="41"/>
          <w:szCs w:val="41"/>
        </w:rPr>
        <w:lastRenderedPageBreak/>
        <w:t>Endnotes</w:t>
      </w:r>
    </w:p>
    <w:p w14:paraId="765A061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76A972F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5DABF48C"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vertAlign w:val="superscript"/>
        </w:rPr>
        <w:t>1</w:t>
      </w:r>
      <w:r>
        <w:rPr>
          <w:rFonts w:ascii="Segoe UI" w:eastAsia="Times New Roman" w:hAnsi="Segoe UI" w:cs="Segoe UI"/>
          <w:color w:val="172B4D"/>
          <w:spacing w:val="-1"/>
          <w:kern w:val="0"/>
          <w:sz w:val="24"/>
          <w:szCs w:val="24"/>
        </w:rPr>
        <w:t xml:space="preserve"> Lizar, M, Pandit, H, Jesus, V, “Privacy as expected Consent Gateway”, Next Generation Internet (NGI) Grant [Access July 4] privacy-as-expected.org/</w:t>
      </w:r>
    </w:p>
    <w:p w14:paraId="28D18D15" w14:textId="77777777" w:rsidR="007C7EB5" w:rsidRDefault="007C7EB5"/>
    <w:sectPr w:rsidR="007C7EB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izar" w:date="2023-08-15T12:55:00Z" w:initials="ML">
    <w:p w14:paraId="1C8BCBEB" w14:textId="77777777" w:rsidR="00502E0C" w:rsidRDefault="00502E0C">
      <w:pPr>
        <w:pStyle w:val="CommentText"/>
      </w:pPr>
      <w:r>
        <w:rPr>
          <w:rStyle w:val="CommentReference"/>
        </w:rPr>
        <w:annotationRef/>
      </w:r>
      <w:r>
        <w:t xml:space="preserve">International Repo would be ideal for framework, provided via receipt, when reading this first factor sign or notice. </w:t>
      </w:r>
    </w:p>
  </w:comment>
  <w:comment w:id="1" w:author="Mark Lizar" w:date="2023-08-15T12:57:00Z" w:initials="ML">
    <w:p w14:paraId="3A1AB1F1" w14:textId="77777777" w:rsidR="00502E0C" w:rsidRDefault="00502E0C">
      <w:pPr>
        <w:pStyle w:val="CommentText"/>
      </w:pPr>
      <w:r>
        <w:rPr>
          <w:rStyle w:val="CommentReference"/>
        </w:rPr>
        <w:annotationRef/>
      </w:r>
      <w:r>
        <w:t xml:space="preserve">This is a second factor notice must be linked to the first notice receipt/record </w:t>
      </w:r>
    </w:p>
  </w:comment>
  <w:comment w:id="2" w:author="Mark Lizar" w:date="2023-08-15T12:51:00Z" w:initials="ML">
    <w:p w14:paraId="2D292D8A" w14:textId="77777777" w:rsidR="00502E0C" w:rsidRDefault="00502E0C">
      <w:pPr>
        <w:pStyle w:val="CommentText"/>
      </w:pPr>
      <w:r>
        <w:rPr>
          <w:rStyle w:val="CommentReference"/>
        </w:rPr>
        <w:annotationRef/>
      </w:r>
      <w:r>
        <w:t>Confidentiality statement in Quebec</w:t>
      </w:r>
    </w:p>
  </w:comment>
  <w:comment w:id="3" w:author="Mark Lizar" w:date="2023-08-15T12:35:00Z" w:initials="ML">
    <w:p w14:paraId="1FC4C972" w14:textId="77777777" w:rsidR="00502E0C" w:rsidRDefault="00502E0C">
      <w:pPr>
        <w:pStyle w:val="CommentText"/>
      </w:pPr>
      <w:r>
        <w:rPr>
          <w:rStyle w:val="CommentReference"/>
        </w:rPr>
        <w:annotationRef/>
      </w:r>
      <w:r>
        <w:t xml:space="preserve">This is missing from </w:t>
      </w:r>
      <w:proofErr w:type="spellStart"/>
      <w:r>
        <w:t>CoE</w:t>
      </w:r>
      <w:proofErr w:type="spellEnd"/>
      <w:r>
        <w:t xml:space="preserve"> 108+ - but in the </w:t>
      </w:r>
      <w:proofErr w:type="gramStart"/>
      <w:r>
        <w:t>editors</w:t>
      </w:r>
      <w:proofErr w:type="gramEnd"/>
      <w:r>
        <w:t xml:space="preserve"> opinion a required element to add to Code of Conduct and raised appropriately. </w:t>
      </w:r>
    </w:p>
  </w:comment>
  <w:comment w:id="4" w:author="Mark Lizar" w:date="2023-08-15T12:41:00Z" w:initials="ML">
    <w:p w14:paraId="5B70EABC" w14:textId="77777777" w:rsidR="00502E0C" w:rsidRDefault="00502E0C" w:rsidP="00502E0C">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Style w:val="CommentReference"/>
        </w:rPr>
        <w:annotationRef/>
      </w:r>
      <w:r>
        <w:rPr>
          <w:rFonts w:ascii="Segoe UI" w:eastAsia="Times New Roman" w:hAnsi="Segoe UI" w:cs="Segoe UI"/>
          <w:color w:val="172B4D"/>
          <w:spacing w:val="-1"/>
          <w:kern w:val="0"/>
          <w:sz w:val="24"/>
          <w:szCs w:val="24"/>
        </w:rPr>
        <w:t>(</w:t>
      </w:r>
      <w:proofErr w:type="gramStart"/>
      <w:r>
        <w:rPr>
          <w:rFonts w:ascii="Segoe UI" w:eastAsia="Times New Roman" w:hAnsi="Segoe UI" w:cs="Segoe UI"/>
          <w:color w:val="172B4D"/>
          <w:spacing w:val="-1"/>
          <w:kern w:val="0"/>
          <w:sz w:val="24"/>
          <w:szCs w:val="24"/>
        </w:rPr>
        <w:t>which</w:t>
      </w:r>
      <w:proofErr w:type="gramEnd"/>
      <w:r>
        <w:rPr>
          <w:rFonts w:ascii="Segoe UI" w:eastAsia="Times New Roman" w:hAnsi="Segoe UI" w:cs="Segoe UI"/>
          <w:color w:val="172B4D"/>
          <w:spacing w:val="-1"/>
          <w:kern w:val="0"/>
          <w:sz w:val="24"/>
          <w:szCs w:val="24"/>
        </w:rPr>
        <w:t xml:space="preserve"> is captured in an ANCR record, and can be automatically provided with Notice Receipt.)</w:t>
      </w:r>
    </w:p>
    <w:p w14:paraId="15EA23B6" w14:textId="77777777" w:rsidR="00502E0C" w:rsidRDefault="00502E0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8BCBEB" w15:done="0"/>
  <w15:commentEx w15:paraId="3A1AB1F1" w15:done="0"/>
  <w15:commentEx w15:paraId="2D292D8A" w15:done="0"/>
  <w15:commentEx w15:paraId="1FC4C972" w15:done="0"/>
  <w15:commentEx w15:paraId="15EA2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8BCBEB" w16cid:durableId="2885F7C0"/>
  <w16cid:commentId w16cid:paraId="3A1AB1F1" w16cid:durableId="2885F7C1"/>
  <w16cid:commentId w16cid:paraId="2D292D8A" w16cid:durableId="2885F7C2"/>
  <w16cid:commentId w16cid:paraId="1FC4C972" w16cid:durableId="2885F7C3"/>
  <w16cid:commentId w16cid:paraId="15EA23B6" w16cid:durableId="2885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EBBAA" w14:textId="77777777" w:rsidR="00035957" w:rsidRDefault="00035957">
      <w:pPr>
        <w:spacing w:after="0" w:line="240" w:lineRule="auto"/>
      </w:pPr>
      <w:r>
        <w:separator/>
      </w:r>
    </w:p>
  </w:endnote>
  <w:endnote w:type="continuationSeparator" w:id="0">
    <w:p w14:paraId="1BFF1133" w14:textId="77777777" w:rsidR="00035957" w:rsidRDefault="0003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EUAlbertina-Regu-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249F7" w14:textId="77777777" w:rsidR="00035957" w:rsidRDefault="00035957">
      <w:pPr>
        <w:spacing w:after="0" w:line="240" w:lineRule="auto"/>
      </w:pPr>
      <w:r>
        <w:rPr>
          <w:color w:val="000000"/>
        </w:rPr>
        <w:separator/>
      </w:r>
    </w:p>
  </w:footnote>
  <w:footnote w:type="continuationSeparator" w:id="0">
    <w:p w14:paraId="52D61F13" w14:textId="77777777" w:rsidR="00035957" w:rsidRDefault="00035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37C7A"/>
    <w:multiLevelType w:val="multilevel"/>
    <w:tmpl w:val="61A8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46B41"/>
    <w:multiLevelType w:val="hybridMultilevel"/>
    <w:tmpl w:val="930E2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izar">
    <w15:presenceInfo w15:providerId="AD" w15:userId="S::mark@openconsent.com::6681b259-124d-42ad-b790-bdeb6186f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B5"/>
    <w:rsid w:val="00035957"/>
    <w:rsid w:val="000C4D5C"/>
    <w:rsid w:val="00110E45"/>
    <w:rsid w:val="00217F31"/>
    <w:rsid w:val="003224FF"/>
    <w:rsid w:val="004E6659"/>
    <w:rsid w:val="00502E0C"/>
    <w:rsid w:val="007C7EB5"/>
    <w:rsid w:val="00AC2185"/>
    <w:rsid w:val="00AF284F"/>
    <w:rsid w:val="00B144CE"/>
    <w:rsid w:val="00B83B66"/>
    <w:rsid w:val="00F40C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04FD"/>
  <w15:docId w15:val="{8DC74054-56CF-8940-B2C2-E34B0F3B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Yu Mincho" w:hAnsi="Calibri" w:cs="Times New Roman"/>
        <w:lang w:val="en-C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56" w:lineRule="auto"/>
    </w:pPr>
    <w:rPr>
      <w:kern w:val="3"/>
      <w:sz w:val="22"/>
      <w:szCs w:val="22"/>
      <w:lang w:val="en-US" w:eastAsia="ja-JP"/>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sz w:val="48"/>
      <w:szCs w:val="48"/>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kern w:val="0"/>
      <w:sz w:val="36"/>
      <w:szCs w:val="36"/>
    </w:r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b/>
      <w:bCs/>
      <w:kern w:val="0"/>
      <w:sz w:val="27"/>
      <w:szCs w:val="27"/>
    </w:rPr>
  </w:style>
  <w:style w:type="paragraph" w:styleId="Heading6">
    <w:name w:val="heading 6"/>
    <w:basedOn w:val="Normal"/>
    <w:uiPriority w:val="9"/>
    <w:semiHidden/>
    <w:unhideWhenUsed/>
    <w:qFormat/>
    <w:pPr>
      <w:spacing w:before="100" w:after="100" w:line="240" w:lineRule="auto"/>
      <w:outlineLvl w:val="5"/>
    </w:pPr>
    <w:rPr>
      <w:rFonts w:ascii="Times New Roman" w:eastAsia="Times New Roman" w:hAnsi="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bCs/>
      <w:kern w:val="3"/>
      <w:sz w:val="48"/>
      <w:szCs w:val="48"/>
    </w:rPr>
  </w:style>
  <w:style w:type="character" w:customStyle="1" w:styleId="Heading2Char">
    <w:name w:val="Heading 2 Char"/>
    <w:rPr>
      <w:rFonts w:ascii="Times New Roman" w:eastAsia="Times New Roman" w:hAnsi="Times New Roman" w:cs="Times New Roman"/>
      <w:b/>
      <w:bCs/>
      <w:kern w:val="0"/>
      <w:sz w:val="36"/>
      <w:szCs w:val="36"/>
    </w:rPr>
  </w:style>
  <w:style w:type="character" w:customStyle="1" w:styleId="Heading3Char">
    <w:name w:val="Heading 3 Char"/>
    <w:rPr>
      <w:rFonts w:ascii="Times New Roman" w:eastAsia="Times New Roman" w:hAnsi="Times New Roman" w:cs="Times New Roman"/>
      <w:b/>
      <w:bCs/>
      <w:kern w:val="0"/>
      <w:sz w:val="27"/>
      <w:szCs w:val="27"/>
    </w:rPr>
  </w:style>
  <w:style w:type="character" w:customStyle="1" w:styleId="Heading6Char">
    <w:name w:val="Heading 6 Char"/>
    <w:rPr>
      <w:rFonts w:ascii="Times New Roman" w:eastAsia="Times New Roman" w:hAnsi="Times New Roman" w:cs="Times New Roman"/>
      <w:b/>
      <w:bCs/>
      <w:kern w:val="0"/>
      <w:sz w:val="15"/>
      <w:szCs w:val="15"/>
    </w:rPr>
  </w:style>
  <w:style w:type="paragraph" w:styleId="NormalWeb">
    <w:name w:val="Normal (Web)"/>
    <w:basedOn w:val="Normal"/>
    <w:uiPriority w:val="99"/>
    <w:pPr>
      <w:spacing w:before="100" w:after="100" w:line="240" w:lineRule="auto"/>
    </w:pPr>
    <w:rPr>
      <w:rFonts w:ascii="Times New Roman" w:eastAsia="Times New Roman" w:hAnsi="Times New Roman"/>
      <w:kern w:val="0"/>
      <w:sz w:val="24"/>
      <w:szCs w:val="24"/>
    </w:rPr>
  </w:style>
  <w:style w:type="character" w:styleId="Strong">
    <w:name w:val="Strong"/>
    <w:rPr>
      <w:b/>
      <w:bCs/>
    </w:rPr>
  </w:style>
  <w:style w:type="character" w:customStyle="1" w:styleId="loader-wrapper">
    <w:name w:val="loader-wrapper"/>
    <w:basedOn w:val="DefaultParagraphFont"/>
  </w:style>
  <w:style w:type="character" w:styleId="Hyperlink">
    <w:name w:val="Hyperlink"/>
    <w:rPr>
      <w:color w:val="0000FF"/>
      <w:u w:val="single"/>
    </w:rPr>
  </w:style>
  <w:style w:type="character" w:customStyle="1" w:styleId="smart-link-title-wrapper">
    <w:name w:val="smart-link-title-wrapper"/>
    <w:basedOn w:val="DefaultParagraphFont"/>
  </w:style>
  <w:style w:type="character" w:customStyle="1" w:styleId="inline-highlight">
    <w:name w:val="inline-highlight"/>
    <w:basedOn w:val="DefaultParagraphFont"/>
  </w:style>
  <w:style w:type="paragraph" w:styleId="ListParagraph">
    <w:name w:val="List Paragraph"/>
    <w:basedOn w:val="Normal"/>
    <w:uiPriority w:val="34"/>
    <w:qFormat/>
    <w:rsid w:val="00502E0C"/>
    <w:pPr>
      <w:ind w:left="720"/>
      <w:contextualSpacing/>
    </w:pPr>
  </w:style>
  <w:style w:type="paragraph" w:styleId="Quote">
    <w:name w:val="Quote"/>
    <w:basedOn w:val="Normal"/>
    <w:next w:val="Normal"/>
    <w:link w:val="QuoteChar"/>
    <w:uiPriority w:val="29"/>
    <w:qFormat/>
    <w:rsid w:val="00502E0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2E0C"/>
    <w:rPr>
      <w:i/>
      <w:iCs/>
      <w:color w:val="404040" w:themeColor="text1" w:themeTint="BF"/>
      <w:kern w:val="3"/>
      <w:sz w:val="22"/>
      <w:szCs w:val="22"/>
      <w:lang w:val="en-US" w:eastAsia="ja-JP"/>
    </w:rPr>
  </w:style>
  <w:style w:type="character" w:styleId="CommentReference">
    <w:name w:val="annotation reference"/>
    <w:basedOn w:val="DefaultParagraphFont"/>
    <w:uiPriority w:val="99"/>
    <w:semiHidden/>
    <w:unhideWhenUsed/>
    <w:rsid w:val="00502E0C"/>
    <w:rPr>
      <w:sz w:val="16"/>
      <w:szCs w:val="16"/>
    </w:rPr>
  </w:style>
  <w:style w:type="paragraph" w:styleId="CommentText">
    <w:name w:val="annotation text"/>
    <w:basedOn w:val="Normal"/>
    <w:link w:val="CommentTextChar"/>
    <w:uiPriority w:val="99"/>
    <w:semiHidden/>
    <w:unhideWhenUsed/>
    <w:rsid w:val="00502E0C"/>
    <w:pPr>
      <w:spacing w:line="240" w:lineRule="auto"/>
    </w:pPr>
    <w:rPr>
      <w:sz w:val="20"/>
      <w:szCs w:val="20"/>
    </w:rPr>
  </w:style>
  <w:style w:type="character" w:customStyle="1" w:styleId="CommentTextChar">
    <w:name w:val="Comment Text Char"/>
    <w:basedOn w:val="DefaultParagraphFont"/>
    <w:link w:val="CommentText"/>
    <w:uiPriority w:val="99"/>
    <w:semiHidden/>
    <w:rsid w:val="00502E0C"/>
    <w:rPr>
      <w:kern w:val="3"/>
      <w:lang w:val="en-US" w:eastAsia="ja-JP"/>
    </w:rPr>
  </w:style>
  <w:style w:type="paragraph" w:styleId="CommentSubject">
    <w:name w:val="annotation subject"/>
    <w:basedOn w:val="CommentText"/>
    <w:next w:val="CommentText"/>
    <w:link w:val="CommentSubjectChar"/>
    <w:uiPriority w:val="99"/>
    <w:semiHidden/>
    <w:unhideWhenUsed/>
    <w:rsid w:val="00502E0C"/>
    <w:rPr>
      <w:b/>
      <w:bCs/>
    </w:rPr>
  </w:style>
  <w:style w:type="character" w:customStyle="1" w:styleId="CommentSubjectChar">
    <w:name w:val="Comment Subject Char"/>
    <w:basedOn w:val="CommentTextChar"/>
    <w:link w:val="CommentSubject"/>
    <w:uiPriority w:val="99"/>
    <w:semiHidden/>
    <w:rsid w:val="00502E0C"/>
    <w:rPr>
      <w:b/>
      <w:bCs/>
      <w:kern w:val="3"/>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421575">
      <w:bodyDiv w:val="1"/>
      <w:marLeft w:val="0"/>
      <w:marRight w:val="0"/>
      <w:marTop w:val="0"/>
      <w:marBottom w:val="0"/>
      <w:divBdr>
        <w:top w:val="none" w:sz="0" w:space="0" w:color="auto"/>
        <w:left w:val="none" w:sz="0" w:space="0" w:color="auto"/>
        <w:bottom w:val="none" w:sz="0" w:space="0" w:color="auto"/>
        <w:right w:val="none" w:sz="0" w:space="0" w:color="auto"/>
      </w:divBdr>
      <w:divsChild>
        <w:div w:id="2120756099">
          <w:marLeft w:val="0"/>
          <w:marRight w:val="0"/>
          <w:marTop w:val="0"/>
          <w:marBottom w:val="0"/>
          <w:divBdr>
            <w:top w:val="none" w:sz="0" w:space="0" w:color="auto"/>
            <w:left w:val="none" w:sz="0" w:space="0" w:color="auto"/>
            <w:bottom w:val="none" w:sz="0" w:space="0" w:color="auto"/>
            <w:right w:val="none" w:sz="0" w:space="0" w:color="auto"/>
          </w:divBdr>
          <w:divsChild>
            <w:div w:id="1054622351">
              <w:marLeft w:val="0"/>
              <w:marRight w:val="0"/>
              <w:marTop w:val="0"/>
              <w:marBottom w:val="0"/>
              <w:divBdr>
                <w:top w:val="none" w:sz="0" w:space="0" w:color="auto"/>
                <w:left w:val="none" w:sz="0" w:space="0" w:color="auto"/>
                <w:bottom w:val="none" w:sz="0" w:space="0" w:color="auto"/>
                <w:right w:val="none" w:sz="0" w:space="0" w:color="auto"/>
              </w:divBdr>
              <w:divsChild>
                <w:div w:id="12480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www.walmar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kantarainitiative.org/" TargetMode="External"/><Relationship Id="rId12" Type="http://schemas.openxmlformats.org/officeDocument/2006/relationships/comments" Target="comments.xml"/><Relationship Id="rId17" Type="http://schemas.openxmlformats.org/officeDocument/2006/relationships/hyperlink" Target="https://certificate.transparency.dev/" TargetMode="External"/><Relationship Id="rId2" Type="http://schemas.openxmlformats.org/officeDocument/2006/relationships/styles" Target="styles.xml"/><Relationship Id="rId16" Type="http://schemas.openxmlformats.org/officeDocument/2006/relationships/hyperlink" Target="https://datatracker.ietf.org/group/jose/about/" TargetMode="External"/><Relationship Id="rId20" Type="http://schemas.openxmlformats.org/officeDocument/2006/relationships/hyperlink" Target="http://org.com/privac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ntara.atlassian.net/wiki/spaces/WA/pages/2916489/Auxiliary+Reference+Documents?search_id=d979240f-f5c8-42e3-8c8c-5dbd2dd748d0" TargetMode="External"/><Relationship Id="rId5" Type="http://schemas.openxmlformats.org/officeDocument/2006/relationships/footnotes" Target="footnotes.xml"/><Relationship Id="rId15" Type="http://schemas.openxmlformats.org/officeDocument/2006/relationships/hyperlink" Target="https://datatracker.ietf.org/doc/rfc8446/" TargetMode="External"/><Relationship Id="rId23" Type="http://schemas.openxmlformats.org/officeDocument/2006/relationships/theme" Target="theme/theme1.xml"/><Relationship Id="rId10" Type="http://schemas.openxmlformats.org/officeDocument/2006/relationships/hyperlink" Target="https://kantarainitiative.org/groups/isi-work-group/" TargetMode="External"/><Relationship Id="rId19" Type="http://schemas.openxmlformats.org/officeDocument/2006/relationships/hyperlink" Target="mailto:Privacy@org.com" TargetMode="External"/><Relationship Id="rId4" Type="http://schemas.openxmlformats.org/officeDocument/2006/relationships/webSettings" Target="webSettings.xml"/><Relationship Id="rId9" Type="http://schemas.openxmlformats.org/officeDocument/2006/relationships/hyperlink" Target="https://kantarainitiative.org/membership/"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Links>
    <vt:vector size="72" baseType="variant">
      <vt:variant>
        <vt:i4>2687016</vt:i4>
      </vt:variant>
      <vt:variant>
        <vt:i4>39</vt:i4>
      </vt:variant>
      <vt:variant>
        <vt:i4>0</vt:i4>
      </vt:variant>
      <vt:variant>
        <vt:i4>5</vt:i4>
      </vt:variant>
      <vt:variant>
        <vt:lpwstr>http://org.com/privacy.html</vt:lpwstr>
      </vt:variant>
      <vt:variant>
        <vt:lpwstr/>
      </vt:variant>
      <vt:variant>
        <vt:i4>6619230</vt:i4>
      </vt:variant>
      <vt:variant>
        <vt:i4>36</vt:i4>
      </vt:variant>
      <vt:variant>
        <vt:i4>0</vt:i4>
      </vt:variant>
      <vt:variant>
        <vt:i4>5</vt:i4>
      </vt:variant>
      <vt:variant>
        <vt:lpwstr>mailto:Privacy@org.com</vt:lpwstr>
      </vt:variant>
      <vt:variant>
        <vt:lpwstr/>
      </vt:variant>
      <vt:variant>
        <vt:i4>2818159</vt:i4>
      </vt:variant>
      <vt:variant>
        <vt:i4>30</vt:i4>
      </vt:variant>
      <vt:variant>
        <vt:i4>0</vt:i4>
      </vt:variant>
      <vt:variant>
        <vt:i4>5</vt:i4>
      </vt:variant>
      <vt:variant>
        <vt:lpwstr>http://www.walmart.com/</vt:lpwstr>
      </vt:variant>
      <vt:variant>
        <vt:lpwstr/>
      </vt:variant>
      <vt:variant>
        <vt:i4>4456479</vt:i4>
      </vt:variant>
      <vt:variant>
        <vt:i4>27</vt:i4>
      </vt:variant>
      <vt:variant>
        <vt:i4>0</vt:i4>
      </vt:variant>
      <vt:variant>
        <vt:i4>5</vt:i4>
      </vt:variant>
      <vt:variant>
        <vt:lpwstr>https://certificate.transparency.dev/</vt:lpwstr>
      </vt:variant>
      <vt:variant>
        <vt:lpwstr/>
      </vt:variant>
      <vt:variant>
        <vt:i4>3539050</vt:i4>
      </vt:variant>
      <vt:variant>
        <vt:i4>24</vt:i4>
      </vt:variant>
      <vt:variant>
        <vt:i4>0</vt:i4>
      </vt:variant>
      <vt:variant>
        <vt:i4>5</vt:i4>
      </vt:variant>
      <vt:variant>
        <vt:lpwstr>https://datatracker.ietf.org/group/jose/about/</vt:lpwstr>
      </vt:variant>
      <vt:variant>
        <vt:lpwstr/>
      </vt:variant>
      <vt:variant>
        <vt:i4>5505048</vt:i4>
      </vt:variant>
      <vt:variant>
        <vt:i4>21</vt:i4>
      </vt:variant>
      <vt:variant>
        <vt:i4>0</vt:i4>
      </vt:variant>
      <vt:variant>
        <vt:i4>5</vt:i4>
      </vt:variant>
      <vt:variant>
        <vt:lpwstr>https://datatracker.ietf.org/doc/rfc8446/</vt:lpwstr>
      </vt:variant>
      <vt:variant>
        <vt:lpwstr/>
      </vt:variant>
      <vt:variant>
        <vt:i4>589885</vt:i4>
      </vt:variant>
      <vt:variant>
        <vt:i4>18</vt:i4>
      </vt:variant>
      <vt:variant>
        <vt:i4>0</vt:i4>
      </vt:variant>
      <vt:variant>
        <vt:i4>5</vt:i4>
      </vt:variant>
      <vt:variant>
        <vt:lpwstr>https://kantara.atlassian.net/wiki/spaces/WA/pages/2916489/Auxiliary+Reference+Documents?search_id=d979240f-f5c8-42e3-8c8c-5dbd2dd748d0</vt:lpwstr>
      </vt:variant>
      <vt:variant>
        <vt:lpwstr/>
      </vt:variant>
      <vt:variant>
        <vt:i4>4980736</vt:i4>
      </vt:variant>
      <vt:variant>
        <vt:i4>15</vt:i4>
      </vt:variant>
      <vt:variant>
        <vt:i4>0</vt:i4>
      </vt:variant>
      <vt:variant>
        <vt:i4>5</vt:i4>
      </vt:variant>
      <vt:variant>
        <vt:lpwstr>https://kantarainitiative.org/download/7902/</vt:lpwstr>
      </vt:variant>
      <vt:variant>
        <vt:lpwstr/>
      </vt:variant>
      <vt:variant>
        <vt:i4>8323140</vt:i4>
      </vt:variant>
      <vt:variant>
        <vt:i4>12</vt:i4>
      </vt:variant>
      <vt:variant>
        <vt:i4>0</vt:i4>
      </vt:variant>
      <vt:variant>
        <vt:i4>5</vt:i4>
      </vt:variant>
      <vt:variant>
        <vt:lpwstr>https://standards.iso.org/ittf/PubliclyAvailableStandards/c073722_ISO_IEC 29100_2011_Amd 1_2018 (EN).zip</vt:lpwstr>
      </vt:variant>
      <vt:variant>
        <vt:lpwstr/>
      </vt:variant>
      <vt:variant>
        <vt:i4>1704015</vt:i4>
      </vt:variant>
      <vt:variant>
        <vt:i4>6</vt:i4>
      </vt:variant>
      <vt:variant>
        <vt:i4>0</vt:i4>
      </vt:variant>
      <vt:variant>
        <vt:i4>5</vt:i4>
      </vt:variant>
      <vt:variant>
        <vt:lpwstr>https://kantarainitiative.org/groups/isi-work-group/</vt:lpwstr>
      </vt:variant>
      <vt:variant>
        <vt:lpwstr/>
      </vt:variant>
      <vt:variant>
        <vt:i4>196677</vt:i4>
      </vt:variant>
      <vt:variant>
        <vt:i4>3</vt:i4>
      </vt:variant>
      <vt:variant>
        <vt:i4>0</vt:i4>
      </vt:variant>
      <vt:variant>
        <vt:i4>5</vt:i4>
      </vt:variant>
      <vt:variant>
        <vt:lpwstr>https://kantarainitiative.org/membership/</vt:lpwstr>
      </vt:variant>
      <vt:variant>
        <vt:lpwstr/>
      </vt:variant>
      <vt:variant>
        <vt:i4>5308416</vt:i4>
      </vt:variant>
      <vt:variant>
        <vt:i4>0</vt:i4>
      </vt:variant>
      <vt:variant>
        <vt:i4>0</vt:i4>
      </vt:variant>
      <vt:variant>
        <vt:i4>5</vt:i4>
      </vt:variant>
      <vt:variant>
        <vt:lpwstr>http://www.kantarainitiative.org/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D'Agostino</dc:creator>
  <dc:description/>
  <cp:lastModifiedBy>Mark Lizar</cp:lastModifiedBy>
  <cp:revision>3</cp:revision>
  <dcterms:created xsi:type="dcterms:W3CDTF">2023-08-15T17:11:00Z</dcterms:created>
  <dcterms:modified xsi:type="dcterms:W3CDTF">2023-08-15T17:11:00Z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0x01010032165E2BA7999146A8881D3DE4B1D88A</vt:lpwstr>
  </property>
</Properties>
</file>