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BFC4F">
      <w:pPr>
        <w:spacing w:before="1440" w:after="240"/>
      </w:pPr>
      <w:r>
        <w:rPr>
          <w:rFonts w:ascii="Arial" w:hAnsi="Arial" w:eastAsia="Arial" w:cs="Arial"/>
          <w:b/>
          <w:bCs/>
          <w:color w:val="1F4E79"/>
          <w:sz w:val="64"/>
          <w:szCs w:val="64"/>
        </w:rPr>
        <w:t>SRS Review Agent</w:t>
      </w:r>
    </w:p>
    <w:p w14:paraId="6661F132">
      <w:pPr>
        <w:spacing w:before="0" w:after="120"/>
      </w:pPr>
      <w:r>
        <w:rPr>
          <w:rFonts w:ascii="Arial" w:hAnsi="Arial" w:eastAsia="Arial" w:cs="Arial"/>
          <w:color w:val="2E75B6"/>
          <w:sz w:val="40"/>
          <w:szCs w:val="40"/>
        </w:rPr>
        <w:t>Use Case ROI &amp; Prioritization</w:t>
      </w:r>
    </w:p>
    <w:p w14:paraId="5C039049">
      <w:pPr>
        <w:spacing w:before="480" w:after="80"/>
      </w:pPr>
      <w:r>
        <w:rPr>
          <w:rFonts w:ascii="Arial" w:hAnsi="Arial" w:eastAsia="Arial" w:cs="Arial"/>
          <w:color w:val="666666"/>
          <w:sz w:val="22"/>
          <w:szCs w:val="22"/>
        </w:rPr>
        <w:t>Working draft v2.0  •  March 2026</w:t>
      </w:r>
    </w:p>
    <w:p w14:paraId="3660F10E">
      <w:pPr>
        <w:spacing w:before="40" w:after="40"/>
      </w:pPr>
      <w:r>
        <w:rPr>
          <w:rFonts w:ascii="Arial" w:hAnsi="Arial" w:eastAsia="Arial" w:cs="Arial"/>
          <w:color w:val="666666"/>
          <w:sz w:val="22"/>
          <w:szCs w:val="22"/>
        </w:rPr>
        <w:t>Owner: Product Management</w:t>
      </w:r>
    </w:p>
    <w:p w14:paraId="21E76ACC">
      <w:pPr>
        <w:spacing w:before="40" w:after="40"/>
      </w:pPr>
      <w:r>
        <w:rPr>
          <w:rFonts w:ascii="Arial" w:hAnsi="Arial" w:eastAsia="Arial" w:cs="Arial"/>
          <w:color w:val="666666"/>
          <w:sz w:val="22"/>
          <w:szCs w:val="22"/>
        </w:rPr>
        <w:t>Audience: PM, AI Architect, regulatory/quality consultants, advisors, future team members</w:t>
      </w:r>
    </w:p>
    <w:p w14:paraId="7ED42ED6">
      <w:pPr>
        <w:spacing w:before="40" w:after="80"/>
      </w:pPr>
      <w:r>
        <w:rPr>
          <w:rFonts w:ascii="Arial" w:hAnsi="Arial" w:eastAsia="Arial" w:cs="Arial"/>
          <w:b/>
          <w:bCs/>
          <w:color w:val="1F4E79"/>
          <w:sz w:val="22"/>
          <w:szCs w:val="22"/>
        </w:rPr>
        <w:t>Regulatory scope: EU MDR 2017/745  •  FDA 21 CFR 820 / QMS Regulation</w:t>
      </w:r>
    </w:p>
    <w:p w14:paraId="2796BE89">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59A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2E75B6"/>
            <w:tcMar>
              <w:top w:w="60" w:type="dxa"/>
              <w:left w:w="160" w:type="dxa"/>
              <w:bottom w:w="60" w:type="dxa"/>
              <w:right w:w="160" w:type="dxa"/>
            </w:tcMar>
          </w:tcPr>
          <w:p w14:paraId="04BDC6F8">
            <w:r>
              <w:rPr>
                <w:rFonts w:ascii="Arial" w:hAnsi="Arial" w:eastAsia="Arial" w:cs="Arial"/>
                <w:b/>
                <w:bCs/>
                <w:color w:val="FFFFFF"/>
                <w:sz w:val="18"/>
                <w:szCs w:val="18"/>
              </w:rPr>
              <w:t>How to use this document</w:t>
            </w:r>
          </w:p>
        </w:tc>
      </w:tr>
      <w:tr w14:paraId="452CD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0"/>
            <w:tcMar>
              <w:top w:w="100" w:type="dxa"/>
              <w:left w:w="160" w:type="dxa"/>
              <w:bottom w:w="100" w:type="dxa"/>
              <w:right w:w="160" w:type="dxa"/>
            </w:tcMar>
          </w:tcPr>
          <w:p w14:paraId="3773C484">
            <w:pPr>
              <w:rPr>
                <w:rFonts w:ascii="Arial" w:hAnsi="Arial" w:eastAsia="Arial" w:cs="Arial"/>
                <w:color w:val="1A1A1A"/>
                <w:sz w:val="20"/>
                <w:szCs w:val="20"/>
              </w:rPr>
            </w:pPr>
            <w:r>
              <w:rPr>
                <w:rFonts w:ascii="Arial" w:hAnsi="Arial" w:eastAsia="Arial" w:cs="Arial"/>
                <w:b/>
                <w:bCs/>
                <w:color w:val="1A1A1A"/>
                <w:sz w:val="20"/>
                <w:szCs w:val="20"/>
              </w:rPr>
              <w:t>Decision-makers:</w:t>
            </w:r>
            <w:r>
              <w:rPr>
                <w:rFonts w:ascii="Arial" w:hAnsi="Arial" w:eastAsia="Arial" w:cs="Arial"/>
                <w:color w:val="1A1A1A"/>
                <w:sz w:val="20"/>
                <w:szCs w:val="20"/>
              </w:rPr>
              <w:t xml:space="preserve"> read </w:t>
            </w:r>
            <w:r>
              <w:rPr>
                <w:rFonts w:cs="Arial"/>
                <w:color w:val="1A1A1A"/>
                <w:sz w:val="20"/>
                <w:szCs w:val="20"/>
                <w:lang w:val="en-US"/>
              </w:rPr>
              <w:t>Sections</w:t>
            </w:r>
            <w:r>
              <w:rPr>
                <w:rFonts w:ascii="Arial" w:hAnsi="Arial" w:eastAsia="Arial" w:cs="Arial"/>
                <w:color w:val="1A1A1A"/>
                <w:sz w:val="20"/>
                <w:szCs w:val="20"/>
              </w:rPr>
              <w:t xml:space="preserve"> 1, 2, 6, 7. </w:t>
            </w:r>
          </w:p>
          <w:p w14:paraId="67B4D599">
            <w:pPr>
              <w:rPr>
                <w:rFonts w:ascii="Arial" w:hAnsi="Arial" w:eastAsia="Arial" w:cs="Arial"/>
                <w:color w:val="1A1A1A"/>
                <w:sz w:val="20"/>
                <w:szCs w:val="20"/>
              </w:rPr>
            </w:pPr>
            <w:r>
              <w:rPr>
                <w:rFonts w:ascii="Arial" w:hAnsi="Arial" w:eastAsia="Arial" w:cs="Arial"/>
                <w:b/>
                <w:bCs/>
                <w:color w:val="1A1A1A"/>
                <w:sz w:val="20"/>
                <w:szCs w:val="20"/>
              </w:rPr>
              <w:t xml:space="preserve">AI </w:t>
            </w:r>
            <w:r>
              <w:rPr>
                <w:rFonts w:cs="Arial"/>
                <w:b/>
                <w:bCs/>
                <w:color w:val="1A1A1A"/>
                <w:sz w:val="20"/>
                <w:szCs w:val="20"/>
                <w:lang w:val="en-US"/>
              </w:rPr>
              <w:t>architect</w:t>
            </w:r>
            <w:r>
              <w:rPr>
                <w:rFonts w:ascii="Arial" w:hAnsi="Arial" w:eastAsia="Arial" w:cs="Arial"/>
                <w:b/>
                <w:bCs/>
                <w:color w:val="1A1A1A"/>
                <w:sz w:val="20"/>
                <w:szCs w:val="20"/>
              </w:rPr>
              <w:t xml:space="preserve"> scoping a</w:t>
            </w:r>
            <w:r>
              <w:rPr>
                <w:rFonts w:hint="default" w:cs="Arial"/>
                <w:b/>
                <w:bCs/>
                <w:color w:val="1A1A1A"/>
                <w:sz w:val="20"/>
                <w:szCs w:val="20"/>
                <w:lang w:val="en-US"/>
              </w:rPr>
              <w:t xml:space="preserve"> </w:t>
            </w:r>
            <w:r>
              <w:rPr>
                <w:rFonts w:cs="Arial"/>
                <w:b/>
                <w:bCs/>
                <w:color w:val="1A1A1A"/>
                <w:sz w:val="20"/>
                <w:szCs w:val="20"/>
                <w:lang w:val="en-US"/>
              </w:rPr>
              <w:t>release:</w:t>
            </w:r>
            <w:r>
              <w:rPr>
                <w:rFonts w:cs="Arial"/>
                <w:color w:val="1A1A1A"/>
                <w:sz w:val="20"/>
                <w:szCs w:val="20"/>
                <w:lang w:val="en-US"/>
              </w:rPr>
              <w:t xml:space="preserve"> read </w:t>
            </w:r>
            <w:r>
              <w:rPr>
                <w:rFonts w:ascii="Arial" w:hAnsi="Arial" w:eastAsia="Arial" w:cs="Arial"/>
                <w:color w:val="1A1A1A"/>
                <w:sz w:val="20"/>
                <w:szCs w:val="20"/>
              </w:rPr>
              <w:t xml:space="preserve"> sections 3, 4, and the relevant use case in section 5. </w:t>
            </w:r>
            <w:r>
              <w:rPr>
                <w:rFonts w:ascii="Arial" w:hAnsi="Arial" w:eastAsia="Arial" w:cs="Arial"/>
                <w:b/>
                <w:bCs/>
                <w:color w:val="1A1A1A"/>
                <w:sz w:val="20"/>
                <w:szCs w:val="20"/>
              </w:rPr>
              <w:t>Regulatory/quality consultants:</w:t>
            </w:r>
            <w:r>
              <w:rPr>
                <w:rFonts w:ascii="Arial" w:hAnsi="Arial" w:eastAsia="Arial" w:cs="Arial"/>
                <w:color w:val="1A1A1A"/>
                <w:sz w:val="20"/>
                <w:szCs w:val="20"/>
              </w:rPr>
              <w:t xml:space="preserve"> sections 2, 4, 8. </w:t>
            </w:r>
          </w:p>
          <w:p w14:paraId="7A0875DE">
            <w:pPr>
              <w:rPr>
                <w:rFonts w:ascii="Arial" w:hAnsi="Arial" w:eastAsia="Arial" w:cs="Arial"/>
                <w:color w:val="1A1A1A"/>
                <w:sz w:val="20"/>
                <w:szCs w:val="20"/>
              </w:rPr>
            </w:pPr>
            <w:r>
              <w:rPr>
                <w:rFonts w:ascii="Arial" w:hAnsi="Arial" w:eastAsia="Arial" w:cs="Arial"/>
                <w:b/>
                <w:bCs/>
                <w:color w:val="1A1A1A"/>
                <w:sz w:val="20"/>
                <w:szCs w:val="20"/>
              </w:rPr>
              <w:t>New team members:</w:t>
            </w:r>
            <w:r>
              <w:rPr>
                <w:rFonts w:ascii="Arial" w:hAnsi="Arial" w:eastAsia="Arial" w:cs="Arial"/>
                <w:color w:val="1A1A1A"/>
                <w:sz w:val="20"/>
                <w:szCs w:val="20"/>
              </w:rPr>
              <w:t xml:space="preserve"> read in full. </w:t>
            </w:r>
          </w:p>
          <w:p w14:paraId="1C4C1974">
            <w:r>
              <w:rPr>
                <w:rFonts w:ascii="Arial" w:hAnsi="Arial" w:eastAsia="Arial" w:cs="Arial"/>
                <w:b/>
                <w:bCs/>
                <w:color w:val="1A1A1A"/>
                <w:sz w:val="20"/>
                <w:szCs w:val="20"/>
              </w:rPr>
              <w:t>To challenge a score:</w:t>
            </w:r>
            <w:r>
              <w:rPr>
                <w:rFonts w:ascii="Arial" w:hAnsi="Arial" w:eastAsia="Arial" w:cs="Arial"/>
                <w:color w:val="1A1A1A"/>
                <w:sz w:val="20"/>
                <w:szCs w:val="20"/>
              </w:rPr>
              <w:t xml:space="preserve"> go to section 4, identify the parameter, change the </w:t>
            </w:r>
            <w:r>
              <w:rPr>
                <w:rFonts w:cs="Arial"/>
                <w:color w:val="1A1A1A"/>
                <w:sz w:val="20"/>
                <w:szCs w:val="20"/>
                <w:lang w:val="en-US"/>
              </w:rPr>
              <w:t xml:space="preserve">assumption, and </w:t>
            </w:r>
            <w:r>
              <w:rPr>
                <w:rFonts w:ascii="Arial" w:hAnsi="Arial" w:eastAsia="Arial" w:cs="Arial"/>
                <w:color w:val="1A1A1A"/>
                <w:sz w:val="20"/>
                <w:szCs w:val="20"/>
              </w:rPr>
              <w:t>re-run the formula.</w:t>
            </w:r>
          </w:p>
        </w:tc>
      </w:tr>
    </w:tbl>
    <w:p w14:paraId="1C33A1E4">
      <w:r>
        <w:br w:type="page"/>
      </w:r>
    </w:p>
    <w:p w14:paraId="53B183B8">
      <w:pPr>
        <w:pStyle w:val="2"/>
        <w:pBdr>
          <w:bottom w:val="single" w:color="2E75B6" w:sz="8" w:space="4"/>
        </w:pBdr>
        <w:spacing w:before="400" w:after="160"/>
      </w:pPr>
      <w:r>
        <w:rPr>
          <w:rFonts w:ascii="Arial" w:hAnsi="Arial" w:eastAsia="Arial" w:cs="Arial"/>
          <w:b/>
          <w:bCs/>
          <w:color w:val="1F4E79"/>
          <w:sz w:val="32"/>
          <w:szCs w:val="32"/>
        </w:rPr>
        <w:t>Glossary of key terms</w:t>
      </w:r>
    </w:p>
    <w:p w14:paraId="46138725">
      <w:pPr>
        <w:spacing w:before="80" w:after="80"/>
      </w:pPr>
      <w:r>
        <w:rPr>
          <w:rFonts w:ascii="Arial" w:hAnsi="Arial" w:eastAsia="Arial" w:cs="Arial"/>
          <w:sz w:val="22"/>
          <w:szCs w:val="22"/>
        </w:rPr>
        <w:t>All terms are defined here for reference. Terms also appear as cal</w:t>
      </w:r>
      <w:bookmarkStart w:id="0" w:name="_GoBack"/>
      <w:bookmarkEnd w:id="0"/>
      <w:r>
        <w:rPr>
          <w:rFonts w:ascii="Arial" w:hAnsi="Arial" w:eastAsia="Arial" w:cs="Arial"/>
          <w:sz w:val="22"/>
          <w:szCs w:val="22"/>
        </w:rPr>
        <w:t>lout boxes on first use within the document.</w:t>
      </w:r>
    </w:p>
    <w:p w14:paraId="57364DB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7200"/>
      </w:tblGrid>
      <w:tr w14:paraId="4841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4B749933">
            <w:pPr>
              <w:jc w:val="left"/>
            </w:pPr>
            <w:r>
              <w:rPr>
                <w:rFonts w:ascii="Arial" w:hAnsi="Arial" w:eastAsia="Arial" w:cs="Arial"/>
                <w:b/>
                <w:bCs/>
                <w:color w:val="FFFFFF"/>
                <w:sz w:val="20"/>
                <w:szCs w:val="20"/>
              </w:rPr>
              <w:t>Term</w:t>
            </w:r>
          </w:p>
        </w:tc>
        <w:tc>
          <w:tcPr>
            <w:tcW w:w="7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7116742A">
            <w:pPr>
              <w:jc w:val="left"/>
            </w:pPr>
            <w:r>
              <w:rPr>
                <w:rFonts w:ascii="Arial" w:hAnsi="Arial" w:eastAsia="Arial" w:cs="Arial"/>
                <w:b/>
                <w:bCs/>
                <w:color w:val="FFFFFF"/>
                <w:sz w:val="20"/>
                <w:szCs w:val="20"/>
              </w:rPr>
              <w:t>Definition</w:t>
            </w:r>
          </w:p>
        </w:tc>
      </w:tr>
      <w:tr w14:paraId="4FD5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EBBE27E">
            <w:pPr>
              <w:jc w:val="left"/>
            </w:pPr>
            <w:r>
              <w:rPr>
                <w:rFonts w:ascii="Arial" w:hAnsi="Arial" w:eastAsia="Arial" w:cs="Arial"/>
                <w:b w:val="0"/>
                <w:bCs w:val="0"/>
                <w:color w:val="1A1A1A"/>
                <w:sz w:val="20"/>
                <w:szCs w:val="20"/>
              </w:rPr>
              <w:t>SaMD</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8DA133A">
            <w:pPr>
              <w:jc w:val="left"/>
            </w:pPr>
            <w:r>
              <w:rPr>
                <w:rFonts w:ascii="Arial" w:hAnsi="Arial" w:eastAsia="Arial" w:cs="Arial"/>
                <w:b w:val="0"/>
                <w:bCs w:val="0"/>
                <w:color w:val="1A1A1A"/>
                <w:sz w:val="20"/>
                <w:szCs w:val="20"/>
              </w:rPr>
              <w:t>Software as a Medical Device. Software that performs a medical function without being part of a hardware medical device. Subject to regulatory oversight in all major markets.</w:t>
            </w:r>
          </w:p>
        </w:tc>
      </w:tr>
      <w:tr w14:paraId="64E0C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BDF11E4">
            <w:pPr>
              <w:jc w:val="left"/>
            </w:pPr>
            <w:r>
              <w:rPr>
                <w:rFonts w:ascii="Arial" w:hAnsi="Arial" w:eastAsia="Arial" w:cs="Arial"/>
                <w:b w:val="0"/>
                <w:bCs w:val="0"/>
                <w:color w:val="1A1A1A"/>
                <w:sz w:val="20"/>
                <w:szCs w:val="20"/>
              </w:rPr>
              <w:t>SRS</w:t>
            </w:r>
          </w:p>
        </w:tc>
        <w:tc>
          <w:tcPr>
            <w:tcW w:w="7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F7B1748">
            <w:pPr>
              <w:jc w:val="left"/>
            </w:pPr>
            <w:r>
              <w:rPr>
                <w:rFonts w:ascii="Arial" w:hAnsi="Arial" w:eastAsia="Arial" w:cs="Arial"/>
                <w:b w:val="0"/>
                <w:bCs w:val="0"/>
                <w:color w:val="1A1A1A"/>
                <w:sz w:val="20"/>
                <w:szCs w:val="20"/>
              </w:rPr>
              <w:t>Software Requirements Specification. The controlled document defining what the software must do. Central artifact in the IEC 62304 software lifecycle.</w:t>
            </w:r>
          </w:p>
        </w:tc>
      </w:tr>
      <w:tr w14:paraId="14D6C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1BE6703">
            <w:pPr>
              <w:jc w:val="left"/>
            </w:pPr>
            <w:r>
              <w:rPr>
                <w:rFonts w:ascii="Arial" w:hAnsi="Arial" w:eastAsia="Arial" w:cs="Arial"/>
                <w:b w:val="0"/>
                <w:bCs w:val="0"/>
                <w:color w:val="1A1A1A"/>
                <w:sz w:val="20"/>
                <w:szCs w:val="20"/>
              </w:rPr>
              <w:t>Regulatory reviewer</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BCEADAC">
            <w:pPr>
              <w:jc w:val="left"/>
            </w:pPr>
            <w:r>
              <w:rPr>
                <w:rFonts w:ascii="Arial" w:hAnsi="Arial" w:eastAsia="Arial" w:cs="Arial"/>
                <w:b w:val="0"/>
                <w:bCs w:val="0"/>
                <w:color w:val="1A1A1A"/>
                <w:sz w:val="20"/>
                <w:szCs w:val="20"/>
              </w:rPr>
              <w:t>The authority assessing a submission or change. In the EU: a Notified Body (NB) — an accredited third-party organisation. In the US: the FDA. Other markets have equivalent national authorities.</w:t>
            </w:r>
          </w:p>
        </w:tc>
      </w:tr>
      <w:tr w14:paraId="2983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D23D879">
            <w:pPr>
              <w:jc w:val="left"/>
            </w:pPr>
            <w:r>
              <w:rPr>
                <w:rFonts w:ascii="Arial" w:hAnsi="Arial" w:eastAsia="Arial" w:cs="Arial"/>
                <w:b w:val="0"/>
                <w:bCs w:val="0"/>
                <w:color w:val="1A1A1A"/>
                <w:sz w:val="20"/>
                <w:szCs w:val="20"/>
              </w:rPr>
              <w:t>Submission</w:t>
            </w:r>
          </w:p>
        </w:tc>
        <w:tc>
          <w:tcPr>
            <w:tcW w:w="7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8CC46E6">
            <w:pPr>
              <w:jc w:val="left"/>
            </w:pPr>
            <w:r>
              <w:rPr>
                <w:rFonts w:ascii="Arial" w:hAnsi="Arial" w:eastAsia="Arial" w:cs="Arial"/>
                <w:b w:val="0"/>
                <w:bCs w:val="0"/>
                <w:color w:val="1A1A1A"/>
                <w:sz w:val="20"/>
                <w:szCs w:val="20"/>
              </w:rPr>
              <w:t>A formal application to a regulatory authority to place a device on the market or register a significant change. Examples: 510(k) or De Novo (FDA); CE marking application under MDR (EU).</w:t>
            </w:r>
          </w:p>
        </w:tc>
      </w:tr>
      <w:tr w14:paraId="52564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70FB1F1">
            <w:pPr>
              <w:jc w:val="left"/>
            </w:pPr>
            <w:r>
              <w:rPr>
                <w:rFonts w:ascii="Arial" w:hAnsi="Arial" w:eastAsia="Arial" w:cs="Arial"/>
                <w:b w:val="0"/>
                <w:bCs w:val="0"/>
                <w:color w:val="1A1A1A"/>
                <w:sz w:val="20"/>
                <w:szCs w:val="20"/>
              </w:rPr>
              <w:t>Significant change</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1E627FB">
            <w:pPr>
              <w:jc w:val="left"/>
            </w:pPr>
            <w:r>
              <w:rPr>
                <w:rFonts w:ascii="Arial" w:hAnsi="Arial" w:eastAsia="Arial" w:cs="Arial"/>
                <w:b w:val="0"/>
                <w:bCs w:val="0"/>
                <w:color w:val="1A1A1A"/>
                <w:sz w:val="20"/>
                <w:szCs w:val="20"/>
              </w:rPr>
              <w:t>A change that, under applicable regulations, requires a new or updated submission before implementation. Criteria differ by jurisdiction.</w:t>
            </w:r>
          </w:p>
        </w:tc>
      </w:tr>
      <w:tr w14:paraId="49050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4BA15A23">
            <w:pPr>
              <w:jc w:val="left"/>
            </w:pPr>
            <w:r>
              <w:rPr>
                <w:rFonts w:ascii="Arial" w:hAnsi="Arial" w:eastAsia="Arial" w:cs="Arial"/>
                <w:b w:val="0"/>
                <w:bCs w:val="0"/>
                <w:color w:val="1A1A1A"/>
                <w:sz w:val="20"/>
                <w:szCs w:val="20"/>
              </w:rPr>
              <w:t>Deficiency / deficiency round</w:t>
            </w:r>
          </w:p>
        </w:tc>
        <w:tc>
          <w:tcPr>
            <w:tcW w:w="7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1E22A26">
            <w:pPr>
              <w:jc w:val="left"/>
            </w:pPr>
            <w:r>
              <w:rPr>
                <w:rFonts w:ascii="Arial" w:hAnsi="Arial" w:eastAsia="Arial" w:cs="Arial"/>
                <w:b w:val="0"/>
                <w:bCs w:val="0"/>
                <w:color w:val="1A1A1A"/>
                <w:sz w:val="20"/>
                <w:szCs w:val="20"/>
              </w:rPr>
              <w:t>When a regulatory reviewer identifies gaps in a submission, they issue a list of deficiencies. Each round adds cost and delay. Known as an 'additional information request' at FDA; 'list of outstanding issues' at EU notified bodies.</w:t>
            </w:r>
          </w:p>
        </w:tc>
      </w:tr>
      <w:tr w14:paraId="0320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51FEDBE">
            <w:pPr>
              <w:jc w:val="left"/>
            </w:pPr>
            <w:r>
              <w:rPr>
                <w:rFonts w:ascii="Arial" w:hAnsi="Arial" w:eastAsia="Arial" w:cs="Arial"/>
                <w:b w:val="0"/>
                <w:bCs w:val="0"/>
                <w:color w:val="1A1A1A"/>
                <w:sz w:val="20"/>
                <w:szCs w:val="20"/>
              </w:rPr>
              <w:t>Technical File / DHF</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3880ED8">
            <w:pPr>
              <w:jc w:val="left"/>
            </w:pPr>
            <w:r>
              <w:rPr>
                <w:rFonts w:ascii="Arial" w:hAnsi="Arial" w:eastAsia="Arial" w:cs="Arial"/>
                <w:b w:val="0"/>
                <w:bCs w:val="0"/>
                <w:color w:val="1A1A1A"/>
                <w:sz w:val="20"/>
                <w:szCs w:val="20"/>
              </w:rPr>
              <w:t>Technical File (EU MDR) or Design History File (FDA): the complete record of evidence supporting the device. Must remain current throughout the lifecycle.</w:t>
            </w:r>
          </w:p>
        </w:tc>
      </w:tr>
      <w:tr w14:paraId="3FCD3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33DD8AB6">
            <w:pPr>
              <w:jc w:val="left"/>
            </w:pPr>
            <w:r>
              <w:rPr>
                <w:rFonts w:ascii="Arial" w:hAnsi="Arial" w:eastAsia="Arial" w:cs="Arial"/>
                <w:b w:val="0"/>
                <w:bCs w:val="0"/>
                <w:color w:val="1A1A1A"/>
                <w:sz w:val="20"/>
                <w:szCs w:val="20"/>
              </w:rPr>
              <w:t>IEC 62304</w:t>
            </w:r>
          </w:p>
        </w:tc>
        <w:tc>
          <w:tcPr>
            <w:tcW w:w="7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AF1F7DB">
            <w:pPr>
              <w:jc w:val="left"/>
            </w:pPr>
            <w:r>
              <w:rPr>
                <w:rFonts w:ascii="Arial" w:hAnsi="Arial" w:eastAsia="Arial" w:cs="Arial"/>
                <w:b w:val="0"/>
                <w:bCs w:val="0"/>
                <w:color w:val="1A1A1A"/>
                <w:sz w:val="20"/>
                <w:szCs w:val="20"/>
              </w:rPr>
              <w:t>International standard for the software lifecycle of medical device software. Defines requirements for development, testing, maintenance, and change management.</w:t>
            </w:r>
          </w:p>
        </w:tc>
      </w:tr>
      <w:tr w14:paraId="3F26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7775FF2">
            <w:pPr>
              <w:jc w:val="left"/>
            </w:pPr>
            <w:r>
              <w:rPr>
                <w:rFonts w:ascii="Arial" w:hAnsi="Arial" w:eastAsia="Arial" w:cs="Arial"/>
                <w:b w:val="0"/>
                <w:bCs w:val="0"/>
                <w:color w:val="1A1A1A"/>
                <w:sz w:val="20"/>
                <w:szCs w:val="20"/>
              </w:rPr>
              <w:t>ISO 14971</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F982785">
            <w:pPr>
              <w:jc w:val="left"/>
            </w:pPr>
            <w:r>
              <w:rPr>
                <w:rFonts w:ascii="Arial" w:hAnsi="Arial" w:eastAsia="Arial" w:cs="Arial"/>
                <w:b w:val="0"/>
                <w:bCs w:val="0"/>
                <w:color w:val="1A1A1A"/>
                <w:sz w:val="20"/>
                <w:szCs w:val="20"/>
              </w:rPr>
              <w:t>International standard for risk management for medical devices. Defines the process for identifying hazards, estimating risks, and implementing risk controls.</w:t>
            </w:r>
          </w:p>
        </w:tc>
      </w:tr>
      <w:tr w14:paraId="192AA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CB88718">
            <w:pPr>
              <w:jc w:val="left"/>
            </w:pPr>
            <w:r>
              <w:rPr>
                <w:rFonts w:ascii="Arial" w:hAnsi="Arial" w:eastAsia="Arial" w:cs="Arial"/>
                <w:b w:val="0"/>
                <w:bCs w:val="0"/>
                <w:color w:val="1A1A1A"/>
                <w:sz w:val="20"/>
                <w:szCs w:val="20"/>
              </w:rPr>
              <w:t>Risk control</w:t>
            </w:r>
          </w:p>
        </w:tc>
        <w:tc>
          <w:tcPr>
            <w:tcW w:w="7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ADC7F13">
            <w:pPr>
              <w:jc w:val="left"/>
            </w:pPr>
            <w:r>
              <w:rPr>
                <w:rFonts w:ascii="Arial" w:hAnsi="Arial" w:eastAsia="Arial" w:cs="Arial"/>
                <w:b w:val="0"/>
                <w:bCs w:val="0"/>
                <w:color w:val="1A1A1A"/>
                <w:sz w:val="20"/>
                <w:szCs w:val="20"/>
              </w:rPr>
              <w:t>A measure reducing the probability or severity of a harm. Risk controls must be implemented as verifiable requirements in the SRS and traced throughout the technical file.</w:t>
            </w:r>
          </w:p>
        </w:tc>
      </w:tr>
      <w:tr w14:paraId="32B1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2D0B1DD">
            <w:pPr>
              <w:jc w:val="left"/>
            </w:pPr>
            <w:r>
              <w:rPr>
                <w:rFonts w:ascii="Arial" w:hAnsi="Arial" w:eastAsia="Arial" w:cs="Arial"/>
                <w:b w:val="0"/>
                <w:bCs w:val="0"/>
                <w:color w:val="1A1A1A"/>
                <w:sz w:val="20"/>
                <w:szCs w:val="20"/>
              </w:rPr>
              <w:t>MDR</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09397AA">
            <w:pPr>
              <w:jc w:val="left"/>
            </w:pPr>
            <w:r>
              <w:rPr>
                <w:rFonts w:ascii="Arial" w:hAnsi="Arial" w:eastAsia="Arial" w:cs="Arial"/>
                <w:b w:val="0"/>
                <w:bCs w:val="0"/>
                <w:color w:val="1A1A1A"/>
                <w:sz w:val="20"/>
                <w:szCs w:val="20"/>
              </w:rPr>
              <w:t>EU Medical Device Regulation 2017/745. Primary EU regulatory framework for medical devices.</w:t>
            </w:r>
          </w:p>
        </w:tc>
      </w:tr>
      <w:tr w14:paraId="6D44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61EA33A">
            <w:pPr>
              <w:jc w:val="left"/>
            </w:pPr>
            <w:r>
              <w:rPr>
                <w:rFonts w:ascii="Arial" w:hAnsi="Arial" w:eastAsia="Arial" w:cs="Arial"/>
                <w:b w:val="0"/>
                <w:bCs w:val="0"/>
                <w:color w:val="1A1A1A"/>
                <w:sz w:val="20"/>
                <w:szCs w:val="20"/>
              </w:rPr>
              <w:t>FDA</w:t>
            </w:r>
          </w:p>
        </w:tc>
        <w:tc>
          <w:tcPr>
            <w:tcW w:w="7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4AF20F4">
            <w:pPr>
              <w:jc w:val="left"/>
            </w:pPr>
            <w:r>
              <w:rPr>
                <w:rFonts w:ascii="Arial" w:hAnsi="Arial" w:eastAsia="Arial" w:cs="Arial"/>
                <w:b w:val="0"/>
                <w:bCs w:val="0"/>
                <w:color w:val="1A1A1A"/>
                <w:sz w:val="20"/>
                <w:szCs w:val="20"/>
              </w:rPr>
              <w:t>US Food and Drug Administration. US federal agency regulating medical devices.</w:t>
            </w:r>
          </w:p>
        </w:tc>
      </w:tr>
      <w:tr w14:paraId="470F5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5A57341">
            <w:pPr>
              <w:jc w:val="left"/>
            </w:pPr>
            <w:r>
              <w:rPr>
                <w:rFonts w:ascii="Arial" w:hAnsi="Arial" w:eastAsia="Arial" w:cs="Arial"/>
                <w:b w:val="0"/>
                <w:bCs w:val="0"/>
                <w:color w:val="1A1A1A"/>
                <w:sz w:val="20"/>
                <w:szCs w:val="20"/>
              </w:rPr>
              <w:t>PCCP / Article 83</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0509429">
            <w:pPr>
              <w:jc w:val="left"/>
            </w:pPr>
            <w:r>
              <w:rPr>
                <w:rFonts w:ascii="Arial" w:hAnsi="Arial" w:eastAsia="Arial" w:cs="Arial"/>
                <w:b w:val="0"/>
                <w:bCs w:val="0"/>
                <w:color w:val="1A1A1A"/>
                <w:sz w:val="20"/>
                <w:szCs w:val="20"/>
              </w:rPr>
              <w:t>Predetermined Change Control Plan (FDA) or Article 83 of the EU AI Act (EU). Mechanisms allowing manufacturers of AI/ML devices to pre-specify types of changes that do not require a new submission.</w:t>
            </w:r>
          </w:p>
        </w:tc>
      </w:tr>
      <w:tr w14:paraId="79614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41D5A53C">
            <w:pPr>
              <w:jc w:val="left"/>
            </w:pPr>
            <w:r>
              <w:rPr>
                <w:rFonts w:ascii="Arial" w:hAnsi="Arial" w:eastAsia="Arial" w:cs="Arial"/>
                <w:b w:val="0"/>
                <w:bCs w:val="0"/>
                <w:color w:val="1A1A1A"/>
                <w:sz w:val="20"/>
                <w:szCs w:val="20"/>
              </w:rPr>
              <w:t>OWASP / ASVS</w:t>
            </w:r>
          </w:p>
        </w:tc>
        <w:tc>
          <w:tcPr>
            <w:tcW w:w="7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6AD9633">
            <w:pPr>
              <w:jc w:val="left"/>
            </w:pPr>
            <w:r>
              <w:rPr>
                <w:rFonts w:ascii="Arial" w:hAnsi="Arial" w:eastAsia="Arial" w:cs="Arial"/>
                <w:b w:val="0"/>
                <w:bCs w:val="0"/>
                <w:color w:val="1A1A1A"/>
                <w:sz w:val="20"/>
                <w:szCs w:val="20"/>
              </w:rPr>
              <w:t>Open Web Application Security Project / Application Security Verification Standard. Freely available framework of security requirements for assessing software security.</w:t>
            </w:r>
          </w:p>
        </w:tc>
      </w:tr>
      <w:tr w14:paraId="70F0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16BB169">
            <w:pPr>
              <w:jc w:val="left"/>
            </w:pPr>
            <w:r>
              <w:rPr>
                <w:rFonts w:ascii="Arial" w:hAnsi="Arial" w:eastAsia="Arial" w:cs="Arial"/>
                <w:b w:val="0"/>
                <w:bCs w:val="0"/>
                <w:color w:val="1A1A1A"/>
                <w:sz w:val="20"/>
                <w:szCs w:val="20"/>
              </w:rPr>
              <w:t>IEC 81001-5-1</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5AEB742">
            <w:pPr>
              <w:jc w:val="left"/>
            </w:pPr>
            <w:r>
              <w:rPr>
                <w:rFonts w:ascii="Arial" w:hAnsi="Arial" w:eastAsia="Arial" w:cs="Arial"/>
                <w:b w:val="0"/>
                <w:bCs w:val="0"/>
                <w:color w:val="1A1A1A"/>
                <w:sz w:val="20"/>
                <w:szCs w:val="20"/>
              </w:rPr>
              <w:t>International standard for cybersecurity activities in the health software lifecycle. Referenced in both FDA cybersecurity guidance and EU MDR Annex I.</w:t>
            </w:r>
          </w:p>
        </w:tc>
      </w:tr>
      <w:tr w14:paraId="28D2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935D159">
            <w:pPr>
              <w:jc w:val="left"/>
            </w:pPr>
            <w:r>
              <w:rPr>
                <w:rFonts w:ascii="Arial" w:hAnsi="Arial" w:eastAsia="Arial" w:cs="Arial"/>
                <w:b w:val="0"/>
                <w:bCs w:val="0"/>
                <w:color w:val="1A1A1A"/>
                <w:sz w:val="20"/>
                <w:szCs w:val="20"/>
              </w:rPr>
              <w:t>QMS</w:t>
            </w:r>
          </w:p>
        </w:tc>
        <w:tc>
          <w:tcPr>
            <w:tcW w:w="7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4AFE975">
            <w:pPr>
              <w:jc w:val="left"/>
            </w:pPr>
            <w:r>
              <w:rPr>
                <w:rFonts w:ascii="Arial" w:hAnsi="Arial" w:eastAsia="Arial" w:cs="Arial"/>
                <w:b w:val="0"/>
                <w:bCs w:val="0"/>
                <w:color w:val="1A1A1A"/>
                <w:sz w:val="20"/>
                <w:szCs w:val="20"/>
              </w:rPr>
              <w:t>Quality Management System. The processes, procedures, and controls ensuring consistent product quality and regulatory compliance. Often aligned with ISO 13485.</w:t>
            </w:r>
          </w:p>
        </w:tc>
      </w:tr>
      <w:tr w14:paraId="72660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E7F2FBE">
            <w:pPr>
              <w:jc w:val="left"/>
            </w:pPr>
            <w:r>
              <w:rPr>
                <w:rFonts w:ascii="Arial" w:hAnsi="Arial" w:eastAsia="Arial" w:cs="Arial"/>
                <w:b w:val="0"/>
                <w:bCs w:val="0"/>
                <w:color w:val="1A1A1A"/>
                <w:sz w:val="20"/>
                <w:szCs w:val="20"/>
              </w:rPr>
              <w:t>RAG</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1DCB67E">
            <w:pPr>
              <w:jc w:val="left"/>
            </w:pPr>
            <w:r>
              <w:rPr>
                <w:rFonts w:ascii="Arial" w:hAnsi="Arial" w:eastAsia="Arial" w:cs="Arial"/>
                <w:b w:val="0"/>
                <w:bCs w:val="0"/>
                <w:color w:val="1A1A1A"/>
                <w:sz w:val="20"/>
                <w:szCs w:val="20"/>
              </w:rPr>
              <w:t>Retrieval-Augmented Generation. An AI architecture in which a language model retrieves relevant context from a document index before generating a response. Used in this agent to provide citation-backed findings.</w:t>
            </w:r>
          </w:p>
        </w:tc>
      </w:tr>
      <w:tr w14:paraId="404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D5822DC">
            <w:pPr>
              <w:jc w:val="left"/>
            </w:pPr>
            <w:r>
              <w:rPr>
                <w:rFonts w:ascii="Arial" w:hAnsi="Arial" w:eastAsia="Arial" w:cs="Arial"/>
                <w:b w:val="0"/>
                <w:bCs w:val="0"/>
                <w:color w:val="1A1A1A"/>
                <w:sz w:val="20"/>
                <w:szCs w:val="20"/>
              </w:rPr>
              <w:t>RICE</w:t>
            </w:r>
          </w:p>
        </w:tc>
        <w:tc>
          <w:tcPr>
            <w:tcW w:w="7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2A8C870">
            <w:pPr>
              <w:jc w:val="left"/>
            </w:pPr>
            <w:r>
              <w:rPr>
                <w:rFonts w:ascii="Arial" w:hAnsi="Arial" w:eastAsia="Arial" w:cs="Arial"/>
                <w:b w:val="0"/>
                <w:bCs w:val="0"/>
                <w:color w:val="1A1A1A"/>
                <w:sz w:val="20"/>
                <w:szCs w:val="20"/>
              </w:rPr>
              <w:t>A product prioritisation framework (Reach × Impact × Confidence / Effort). Adapted in this document — see section 3.</w:t>
            </w:r>
          </w:p>
        </w:tc>
      </w:tr>
      <w:tr w14:paraId="1807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397E94E">
            <w:pPr>
              <w:jc w:val="left"/>
            </w:pPr>
            <w:r>
              <w:rPr>
                <w:rFonts w:ascii="Arial" w:hAnsi="Arial" w:eastAsia="Arial" w:cs="Arial"/>
                <w:b w:val="0"/>
                <w:bCs w:val="0"/>
                <w:color w:val="1A1A1A"/>
                <w:sz w:val="20"/>
                <w:szCs w:val="20"/>
              </w:rPr>
              <w:t>V-model</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7C16ECA">
            <w:pPr>
              <w:jc w:val="left"/>
            </w:pPr>
            <w:r>
              <w:rPr>
                <w:rFonts w:ascii="Arial" w:hAnsi="Arial" w:eastAsia="Arial" w:cs="Arial"/>
                <w:b w:val="0"/>
                <w:bCs w:val="0"/>
                <w:color w:val="1A1A1A"/>
                <w:sz w:val="20"/>
                <w:szCs w:val="20"/>
              </w:rPr>
              <w:t>A software development model where each development phase has a corresponding verification or validation phase. Standard in regulated medical device development.</w:t>
            </w:r>
          </w:p>
        </w:tc>
      </w:tr>
      <w:tr w14:paraId="4BF6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716037C">
            <w:pPr>
              <w:jc w:val="left"/>
            </w:pPr>
            <w:r>
              <w:rPr>
                <w:rFonts w:ascii="Arial" w:hAnsi="Arial" w:eastAsia="Arial" w:cs="Arial"/>
                <w:b w:val="0"/>
                <w:bCs w:val="0"/>
                <w:color w:val="1A1A1A"/>
                <w:sz w:val="20"/>
                <w:szCs w:val="20"/>
              </w:rPr>
              <w:t>PRRC</w:t>
            </w:r>
          </w:p>
        </w:tc>
        <w:tc>
          <w:tcPr>
            <w:tcW w:w="7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419BABFB">
            <w:pPr>
              <w:jc w:val="left"/>
            </w:pPr>
            <w:r>
              <w:rPr>
                <w:rFonts w:ascii="Arial" w:hAnsi="Arial" w:eastAsia="Arial" w:cs="Arial"/>
                <w:b w:val="0"/>
                <w:bCs w:val="0"/>
                <w:color w:val="1A1A1A"/>
                <w:sz w:val="20"/>
                <w:szCs w:val="20"/>
              </w:rPr>
              <w:t>Person Responsible for Regulatory Compliance. A mandatory role under EU MDR Article 15, responsible for ensuring regulatory obligations are met.</w:t>
            </w:r>
          </w:p>
        </w:tc>
      </w:tr>
    </w:tbl>
    <w:p w14:paraId="758CBACA">
      <w:r>
        <w:br w:type="page"/>
      </w:r>
    </w:p>
    <w:p w14:paraId="5AF67A5D">
      <w:pPr>
        <w:pStyle w:val="2"/>
        <w:pBdr>
          <w:bottom w:val="single" w:color="2E75B6" w:sz="8" w:space="4"/>
        </w:pBdr>
        <w:spacing w:before="400" w:after="160"/>
      </w:pPr>
      <w:r>
        <w:rPr>
          <w:rFonts w:ascii="Arial" w:hAnsi="Arial" w:eastAsia="Arial" w:cs="Arial"/>
          <w:b/>
          <w:bCs/>
          <w:color w:val="1F4E79"/>
          <w:sz w:val="32"/>
          <w:szCs w:val="32"/>
        </w:rPr>
        <w:t>1. Purpose and how to use this document</w:t>
      </w:r>
    </w:p>
    <w:p w14:paraId="20C8E568">
      <w:pPr>
        <w:spacing w:before="80" w:after="80"/>
      </w:pPr>
      <w:r>
        <w:rPr>
          <w:rFonts w:ascii="Arial" w:hAnsi="Arial" w:eastAsia="Arial" w:cs="Arial"/>
          <w:sz w:val="22"/>
          <w:szCs w:val="22"/>
        </w:rPr>
        <w:t xml:space="preserve">This document answers one question clearly: </w:t>
      </w:r>
      <w:r>
        <w:rPr>
          <w:rFonts w:ascii="Arial" w:hAnsi="Arial" w:eastAsia="Arial" w:cs="Arial"/>
          <w:b/>
          <w:bCs/>
          <w:sz w:val="22"/>
          <w:szCs w:val="22"/>
        </w:rPr>
        <w:t>which use cases of the SRS Review Agent should be built first, and why?</w:t>
      </w:r>
    </w:p>
    <w:p w14:paraId="3E458F12">
      <w:pPr>
        <w:spacing w:before="80" w:after="80"/>
      </w:pPr>
    </w:p>
    <w:p w14:paraId="21F43446">
      <w:pPr>
        <w:spacing w:before="80" w:after="80"/>
      </w:pPr>
      <w:r>
        <w:rPr>
          <w:rFonts w:ascii="Arial" w:hAnsi="Arial" w:eastAsia="Arial" w:cs="Arial"/>
          <w:sz w:val="22"/>
          <w:szCs w:val="22"/>
        </w:rPr>
        <w:t>It is addressed to anyone who joins this project — whether as a technical contributor, a regulatory consultant, an advisor, or a new team member. No prior context is assumed. The document stands alone.</w:t>
      </w:r>
    </w:p>
    <w:p w14:paraId="49CCF23D">
      <w:pPr>
        <w:spacing w:before="80" w:after="80"/>
      </w:pPr>
    </w:p>
    <w:p w14:paraId="041E81C4">
      <w:pPr>
        <w:spacing w:before="80" w:after="80"/>
      </w:pPr>
      <w:r>
        <w:rPr>
          <w:rFonts w:ascii="Arial" w:hAnsi="Arial" w:eastAsia="Arial" w:cs="Arial"/>
          <w:sz w:val="22"/>
          <w:szCs w:val="22"/>
        </w:rPr>
        <w:t>It serves three related purposes. First, it documents the reasoning behind the release roadmap so that decisions are traceable rather than implicit. Second, it provides a structured basis for challenging estimates. Third, it gives the AI Architect a concrete input for scoping each release.</w:t>
      </w:r>
    </w:p>
    <w:p w14:paraId="6E20968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76C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48F3DF5C">
            <w:pPr>
              <w:jc w:val="left"/>
            </w:pPr>
            <w:r>
              <w:rPr>
                <w:rFonts w:ascii="Arial" w:hAnsi="Arial" w:eastAsia="Arial" w:cs="Arial"/>
                <w:b/>
                <w:bCs/>
                <w:color w:val="FFFFFF"/>
                <w:sz w:val="20"/>
                <w:szCs w:val="20"/>
              </w:rPr>
              <w:t>If you are</w:t>
            </w:r>
          </w:p>
        </w:tc>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3C06DB04">
            <w:pPr>
              <w:jc w:val="left"/>
            </w:pPr>
            <w:r>
              <w:rPr>
                <w:rFonts w:ascii="Arial" w:hAnsi="Arial" w:eastAsia="Arial" w:cs="Arial"/>
                <w:b/>
                <w:bCs/>
                <w:color w:val="FFFFFF"/>
                <w:sz w:val="20"/>
                <w:szCs w:val="20"/>
              </w:rPr>
              <w:t>Read</w:t>
            </w:r>
          </w:p>
        </w:tc>
      </w:tr>
      <w:tr w14:paraId="671E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2CF5EBB">
            <w:pPr>
              <w:jc w:val="left"/>
            </w:pPr>
            <w:r>
              <w:rPr>
                <w:rFonts w:ascii="Arial" w:hAnsi="Arial" w:eastAsia="Arial" w:cs="Arial"/>
                <w:b w:val="0"/>
                <w:bCs w:val="0"/>
                <w:color w:val="1A1A1A"/>
                <w:sz w:val="20"/>
                <w:szCs w:val="20"/>
              </w:rPr>
              <w:t>A decision-maker reviewing the roadmap</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7FD8AE2">
            <w:pPr>
              <w:jc w:val="left"/>
            </w:pPr>
            <w:r>
              <w:rPr>
                <w:rFonts w:ascii="Arial" w:hAnsi="Arial" w:eastAsia="Arial" w:cs="Arial"/>
                <w:b w:val="0"/>
                <w:bCs w:val="0"/>
                <w:color w:val="1A1A1A"/>
                <w:sz w:val="20"/>
                <w:szCs w:val="20"/>
              </w:rPr>
              <w:t>Sections 1, 2, 6, and 7</w:t>
            </w:r>
          </w:p>
        </w:tc>
      </w:tr>
      <w:tr w14:paraId="2C301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5532363">
            <w:pPr>
              <w:jc w:val="left"/>
            </w:pPr>
            <w:r>
              <w:rPr>
                <w:rFonts w:ascii="Arial" w:hAnsi="Arial" w:eastAsia="Arial" w:cs="Arial"/>
                <w:b w:val="0"/>
                <w:bCs w:val="0"/>
                <w:color w:val="1A1A1A"/>
                <w:sz w:val="20"/>
                <w:szCs w:val="20"/>
              </w:rPr>
              <w:t>An AI Architect scoping a release</w:t>
            </w:r>
          </w:p>
        </w:tc>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5F01B63">
            <w:pPr>
              <w:jc w:val="left"/>
            </w:pPr>
            <w:r>
              <w:rPr>
                <w:rFonts w:ascii="Arial" w:hAnsi="Arial" w:eastAsia="Arial" w:cs="Arial"/>
                <w:b w:val="0"/>
                <w:bCs w:val="0"/>
                <w:color w:val="1A1A1A"/>
                <w:sz w:val="20"/>
                <w:szCs w:val="20"/>
              </w:rPr>
              <w:t>Sections 3, 4, and the relevant use case in section 5</w:t>
            </w:r>
          </w:p>
        </w:tc>
      </w:tr>
      <w:tr w14:paraId="69384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5F818C4">
            <w:pPr>
              <w:jc w:val="left"/>
            </w:pPr>
            <w:r>
              <w:rPr>
                <w:rFonts w:ascii="Arial" w:hAnsi="Arial" w:eastAsia="Arial" w:cs="Arial"/>
                <w:b w:val="0"/>
                <w:bCs w:val="0"/>
                <w:color w:val="1A1A1A"/>
                <w:sz w:val="20"/>
                <w:szCs w:val="20"/>
              </w:rPr>
              <w:t>A regulatory or quality consultant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597073E">
            <w:pPr>
              <w:jc w:val="left"/>
            </w:pPr>
            <w:r>
              <w:rPr>
                <w:rFonts w:ascii="Arial" w:hAnsi="Arial" w:eastAsia="Arial" w:cs="Arial"/>
                <w:b w:val="0"/>
                <w:bCs w:val="0"/>
                <w:color w:val="1A1A1A"/>
                <w:sz w:val="20"/>
                <w:szCs w:val="20"/>
              </w:rPr>
              <w:t>Sections 2, 4, and 8</w:t>
            </w:r>
          </w:p>
        </w:tc>
      </w:tr>
      <w:tr w14:paraId="730F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11BFC2F">
            <w:pPr>
              <w:jc w:val="left"/>
            </w:pPr>
            <w:r>
              <w:rPr>
                <w:rFonts w:ascii="Arial" w:hAnsi="Arial" w:eastAsia="Arial" w:cs="Arial"/>
                <w:b w:val="0"/>
                <w:bCs w:val="0"/>
                <w:color w:val="1A1A1A"/>
                <w:sz w:val="20"/>
                <w:szCs w:val="20"/>
              </w:rPr>
              <w:t>A new team member</w:t>
            </w:r>
          </w:p>
        </w:tc>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2BD510B">
            <w:pPr>
              <w:jc w:val="left"/>
            </w:pPr>
            <w:r>
              <w:rPr>
                <w:rFonts w:ascii="Arial" w:hAnsi="Arial" w:eastAsia="Arial" w:cs="Arial"/>
                <w:b w:val="0"/>
                <w:bCs w:val="0"/>
                <w:color w:val="1A1A1A"/>
                <w:sz w:val="20"/>
                <w:szCs w:val="20"/>
              </w:rPr>
              <w:t>The full document in order</w:t>
            </w:r>
          </w:p>
        </w:tc>
      </w:tr>
    </w:tbl>
    <w:p w14:paraId="16BFCAA7">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FD2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7B4F00"/>
            <w:tcMar>
              <w:top w:w="60" w:type="dxa"/>
              <w:left w:w="160" w:type="dxa"/>
              <w:bottom w:w="60" w:type="dxa"/>
              <w:right w:w="160" w:type="dxa"/>
            </w:tcMar>
          </w:tcPr>
          <w:p w14:paraId="739225B1">
            <w:r>
              <w:rPr>
                <w:rFonts w:ascii="Arial" w:hAnsi="Arial" w:eastAsia="Arial" w:cs="Arial"/>
                <w:b/>
                <w:bCs/>
                <w:color w:val="FFFFFF"/>
                <w:sz w:val="18"/>
                <w:szCs w:val="18"/>
              </w:rPr>
              <w:t>How to challenge this document</w:t>
            </w:r>
          </w:p>
        </w:tc>
      </w:tr>
      <w:tr w14:paraId="0526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FFF3CD"/>
            <w:tcMar>
              <w:top w:w="100" w:type="dxa"/>
              <w:left w:w="160" w:type="dxa"/>
              <w:bottom w:w="100" w:type="dxa"/>
              <w:right w:w="160" w:type="dxa"/>
            </w:tcMar>
          </w:tcPr>
          <w:p w14:paraId="4D726568">
            <w:r>
              <w:rPr>
                <w:rFonts w:ascii="Arial" w:hAnsi="Arial" w:eastAsia="Arial" w:cs="Arial"/>
                <w:color w:val="1A1A1A"/>
                <w:sz w:val="20"/>
                <w:szCs w:val="20"/>
              </w:rPr>
              <w:t xml:space="preserve">The scores are estimates built on explicit assumptions. Every assumption is named in </w:t>
            </w:r>
            <w:r>
              <w:rPr>
                <w:rFonts w:cs="Arial"/>
                <w:color w:val="1A1A1A"/>
                <w:sz w:val="20"/>
                <w:szCs w:val="20"/>
                <w:lang w:val="en-US"/>
              </w:rPr>
              <w:t>Section</w:t>
            </w:r>
            <w:r>
              <w:rPr>
                <w:rFonts w:ascii="Arial" w:hAnsi="Arial" w:eastAsia="Arial" w:cs="Arial"/>
                <w:color w:val="1A1A1A"/>
                <w:sz w:val="20"/>
                <w:szCs w:val="20"/>
              </w:rPr>
              <w:t xml:space="preserve"> 4. If a figure seems wrong, identify which parameter you would change, by how much, and why — then re-run the formula from section 3. The roadmap may shift with the scores. That is the intended behaviour.</w:t>
            </w:r>
          </w:p>
        </w:tc>
      </w:tr>
    </w:tbl>
    <w:p w14:paraId="6C9FC182">
      <w:r>
        <w:br w:type="page"/>
      </w:r>
    </w:p>
    <w:p w14:paraId="0056CBF0">
      <w:pPr>
        <w:pStyle w:val="2"/>
        <w:pBdr>
          <w:bottom w:val="single" w:color="2E75B6" w:sz="8" w:space="4"/>
        </w:pBdr>
        <w:spacing w:before="400" w:after="160"/>
      </w:pPr>
      <w:r>
        <w:rPr>
          <w:rFonts w:ascii="Arial" w:hAnsi="Arial" w:eastAsia="Arial" w:cs="Arial"/>
          <w:b/>
          <w:bCs/>
          <w:color w:val="1F4E79"/>
          <w:sz w:val="32"/>
          <w:szCs w:val="32"/>
        </w:rPr>
        <w:t>2. Context and framing</w:t>
      </w:r>
    </w:p>
    <w:p w14:paraId="677E81D0">
      <w:pPr>
        <w:pStyle w:val="3"/>
        <w:spacing w:before="280" w:after="120"/>
      </w:pPr>
      <w:r>
        <w:rPr>
          <w:rFonts w:ascii="Arial" w:hAnsi="Arial" w:eastAsia="Arial" w:cs="Arial"/>
          <w:b/>
          <w:bCs/>
          <w:color w:val="2E75B6"/>
          <w:sz w:val="26"/>
          <w:szCs w:val="26"/>
        </w:rPr>
        <w:t>What the SRS Review Agent is</w:t>
      </w:r>
    </w:p>
    <w:p w14:paraId="46444206">
      <w:pPr>
        <w:spacing w:before="80" w:after="80"/>
      </w:pPr>
      <w:r>
        <w:rPr>
          <w:rFonts w:ascii="Arial" w:hAnsi="Arial" w:eastAsia="Arial" w:cs="Arial"/>
          <w:sz w:val="22"/>
          <w:szCs w:val="22"/>
        </w:rPr>
        <w:t>The SRS Review Agent is an AI decision-support tool that integrates into the document management and change control workflow of a SaMD team. When an SRS or related controlled document is modified, the agent analyses the change against applicable regulatory standards, generates proposed findings with citations, and routes them to the relevant document owner for review and disposition.</w:t>
      </w:r>
    </w:p>
    <w:p w14:paraId="286E314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0C9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6E6E"/>
            <w:tcMar>
              <w:top w:w="60" w:type="dxa"/>
              <w:left w:w="160" w:type="dxa"/>
              <w:bottom w:w="60" w:type="dxa"/>
              <w:right w:w="160" w:type="dxa"/>
            </w:tcMar>
          </w:tcPr>
          <w:p w14:paraId="17B696C0">
            <w:r>
              <w:rPr>
                <w:rFonts w:ascii="Arial" w:hAnsi="Arial" w:eastAsia="Arial" w:cs="Arial"/>
                <w:b/>
                <w:bCs/>
                <w:color w:val="FFFFFF"/>
                <w:sz w:val="18"/>
                <w:szCs w:val="18"/>
              </w:rPr>
              <w:t>Key term — SaMD</w:t>
            </w:r>
          </w:p>
        </w:tc>
      </w:tr>
      <w:tr w14:paraId="2438F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FEF"/>
            <w:tcMar>
              <w:top w:w="100" w:type="dxa"/>
              <w:left w:w="160" w:type="dxa"/>
              <w:bottom w:w="100" w:type="dxa"/>
              <w:right w:w="160" w:type="dxa"/>
            </w:tcMar>
          </w:tcPr>
          <w:p w14:paraId="27A151C2">
            <w:r>
              <w:rPr>
                <w:rFonts w:ascii="Arial" w:hAnsi="Arial" w:eastAsia="Arial" w:cs="Arial"/>
                <w:color w:val="1A1A1A"/>
                <w:sz w:val="20"/>
                <w:szCs w:val="20"/>
              </w:rPr>
              <w:t>Software as a Medical Device. Software that performs a medical function without being part of a hardware medical device. Subject to regulatory oversight in all major markets — including EU MDR, US FDA, Health Canada, TGA (Australia), and others.</w:t>
            </w:r>
          </w:p>
        </w:tc>
      </w:tr>
    </w:tbl>
    <w:p w14:paraId="3ED0672E">
      <w:pPr>
        <w:spacing w:before="80" w:after="80"/>
      </w:pPr>
    </w:p>
    <w:p w14:paraId="36296772">
      <w:pPr>
        <w:spacing w:before="80" w:after="80"/>
      </w:pPr>
      <w:r>
        <w:rPr>
          <w:rFonts w:ascii="Arial" w:hAnsi="Arial" w:eastAsia="Arial" w:cs="Arial"/>
          <w:sz w:val="22"/>
          <w:szCs w:val="22"/>
        </w:rPr>
        <w:t>All findings are non-binding. Human reviewers retain full accountability for all regulatory decisions.</w:t>
      </w:r>
    </w:p>
    <w:p w14:paraId="098A36AD">
      <w:pPr>
        <w:spacing w:before="80" w:after="80"/>
      </w:pPr>
    </w:p>
    <w:p w14:paraId="40302847">
      <w:pPr>
        <w:pStyle w:val="3"/>
        <w:spacing w:before="280" w:after="120"/>
      </w:pPr>
      <w:r>
        <w:rPr>
          <w:rFonts w:ascii="Arial" w:hAnsi="Arial" w:eastAsia="Arial" w:cs="Arial"/>
          <w:b/>
          <w:bCs/>
          <w:color w:val="2E75B6"/>
          <w:sz w:val="26"/>
          <w:szCs w:val="26"/>
        </w:rPr>
        <w:t>Regulatory applicability</w:t>
      </w:r>
    </w:p>
    <w:p w14:paraId="14FADF8A">
      <w:pPr>
        <w:spacing w:before="80" w:after="80"/>
      </w:pPr>
      <w:r>
        <w:rPr>
          <w:rFonts w:ascii="Arial" w:hAnsi="Arial" w:eastAsia="Arial" w:cs="Arial"/>
          <w:sz w:val="22"/>
          <w:szCs w:val="22"/>
        </w:rPr>
        <w:t>This document and all use cases it describes are applicable to both the EU regulatory framework (MDR 2017/745, harmonised standards IEC 62304 and ISO 14971) and the US regulatory framework (FDA Quality Management System Regulation, 21 CFR Part 820, FDA guidance on software functions and AI/ML-enabled devices).</w:t>
      </w:r>
    </w:p>
    <w:p w14:paraId="617AE55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4C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2E75B6"/>
            <w:tcMar>
              <w:top w:w="60" w:type="dxa"/>
              <w:left w:w="160" w:type="dxa"/>
              <w:bottom w:w="60" w:type="dxa"/>
              <w:right w:w="160" w:type="dxa"/>
            </w:tcMar>
          </w:tcPr>
          <w:p w14:paraId="43F19D03">
            <w:r>
              <w:rPr>
                <w:rFonts w:ascii="Arial" w:hAnsi="Arial" w:eastAsia="Arial" w:cs="Arial"/>
                <w:b/>
                <w:bCs/>
                <w:color w:val="FFFFFF"/>
                <w:sz w:val="18"/>
                <w:szCs w:val="18"/>
              </w:rPr>
              <w:t>Jurisdictional scope</w:t>
            </w:r>
          </w:p>
        </w:tc>
      </w:tr>
      <w:tr w14:paraId="5376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0"/>
            <w:tcMar>
              <w:top w:w="100" w:type="dxa"/>
              <w:left w:w="160" w:type="dxa"/>
              <w:bottom w:w="100" w:type="dxa"/>
              <w:right w:w="160" w:type="dxa"/>
            </w:tcMar>
          </w:tcPr>
          <w:p w14:paraId="7E74DCC7">
            <w:r>
              <w:rPr>
                <w:rFonts w:ascii="Arial" w:hAnsi="Arial" w:eastAsia="Arial" w:cs="Arial"/>
                <w:color w:val="1A1A1A"/>
                <w:sz w:val="20"/>
                <w:szCs w:val="20"/>
              </w:rPr>
              <w:t>Where requirements differ between EU and US, both are named explicitly. Where they are substantively equivalent, jurisdiction-neutral language is used. The underlying problem — manual, error-prone change impact assessment across controlled documents — is identical in both frameworks. The cost of getting it wrong is comparable in magnitude in both markets.</w:t>
            </w:r>
          </w:p>
        </w:tc>
      </w:tr>
    </w:tbl>
    <w:p w14:paraId="08FBDDF1">
      <w:pPr>
        <w:spacing w:before="80" w:after="80"/>
      </w:pPr>
    </w:p>
    <w:p w14:paraId="435EF7B9">
      <w:pPr>
        <w:pStyle w:val="3"/>
        <w:spacing w:before="280" w:after="120"/>
      </w:pPr>
      <w:r>
        <w:rPr>
          <w:rFonts w:ascii="Arial" w:hAnsi="Arial" w:eastAsia="Arial" w:cs="Arial"/>
          <w:b/>
          <w:bCs/>
          <w:color w:val="2E75B6"/>
          <w:sz w:val="26"/>
          <w:szCs w:val="26"/>
        </w:rPr>
        <w:t>Two phases of ROI</w:t>
      </w:r>
    </w:p>
    <w:p w14:paraId="2F3CC4B9">
      <w:pPr>
        <w:spacing w:before="80" w:after="80"/>
      </w:pPr>
      <w:r>
        <w:rPr>
          <w:rFonts w:ascii="Arial" w:hAnsi="Arial" w:eastAsia="Arial" w:cs="Arial"/>
          <w:sz w:val="22"/>
          <w:szCs w:val="22"/>
        </w:rPr>
        <w:t>The value delivered by this agent differs materially depending on whether a team is in initial development (building and submitting a device for the first time) or ongoing maintenance (managing changes to an approved device). Both phases are analysed throughout this document.</w:t>
      </w:r>
    </w:p>
    <w:p w14:paraId="79AB69F7">
      <w:pPr>
        <w:spacing w:before="80" w:after="80"/>
      </w:pPr>
    </w:p>
    <w:p w14:paraId="33C42BBD">
      <w:pPr>
        <w:pStyle w:val="4"/>
        <w:spacing w:before="200" w:after="100"/>
      </w:pPr>
      <w:r>
        <w:rPr>
          <w:rFonts w:ascii="Arial" w:hAnsi="Arial" w:eastAsia="Arial" w:cs="Arial"/>
          <w:b/>
          <w:bCs/>
          <w:color w:val="333333"/>
          <w:sz w:val="22"/>
          <w:szCs w:val="22"/>
        </w:rPr>
        <w:t>Phase 1 — Initial development and first submission</w:t>
      </w:r>
    </w:p>
    <w:p w14:paraId="44730544">
      <w:pPr>
        <w:spacing w:before="80" w:after="80"/>
      </w:pPr>
      <w:r>
        <w:rPr>
          <w:rFonts w:ascii="Arial" w:hAnsi="Arial" w:eastAsia="Arial" w:cs="Arial"/>
          <w:sz w:val="22"/>
          <w:szCs w:val="22"/>
        </w:rPr>
        <w:t>During initial development, the primary risk is submitting a technical file or design history file that contains gaps: requirements that do not trace to risk controls, risk controls not implemented in the SRS, missing security requirements, or clinical performance claims that exceed what the SRS supports.</w:t>
      </w:r>
    </w:p>
    <w:p w14:paraId="50AAA3F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49A8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530F7667">
            <w:pPr>
              <w:jc w:val="left"/>
            </w:pPr>
            <w:r>
              <w:rPr>
                <w:rFonts w:ascii="Arial" w:hAnsi="Arial" w:eastAsia="Arial" w:cs="Arial"/>
                <w:b/>
                <w:bCs/>
                <w:color w:val="FFFFFF"/>
                <w:sz w:val="20"/>
                <w:szCs w:val="20"/>
              </w:rPr>
              <w:t>Gap discovered when?</w:t>
            </w:r>
          </w:p>
        </w:tc>
        <w:tc>
          <w:tcPr>
            <w:tcW w:w="5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2D47AB7B">
            <w:pPr>
              <w:jc w:val="left"/>
            </w:pPr>
            <w:r>
              <w:rPr>
                <w:rFonts w:ascii="Arial" w:hAnsi="Arial" w:eastAsia="Arial" w:cs="Arial"/>
                <w:b/>
                <w:bCs/>
                <w:color w:val="FFFFFF"/>
                <w:sz w:val="20"/>
                <w:szCs w:val="20"/>
              </w:rPr>
              <w:t>Typical cost</w:t>
            </w:r>
          </w:p>
        </w:tc>
      </w:tr>
      <w:tr w14:paraId="40A7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F52E9B7">
            <w:pPr>
              <w:jc w:val="left"/>
            </w:pPr>
            <w:r>
              <w:rPr>
                <w:rFonts w:ascii="Arial" w:hAnsi="Arial" w:eastAsia="Arial" w:cs="Arial"/>
                <w:b w:val="0"/>
                <w:bCs w:val="0"/>
                <w:color w:val="1A1A1A"/>
                <w:sz w:val="20"/>
                <w:szCs w:val="20"/>
              </w:rPr>
              <w:t>Internally during design review (before submission)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805353E">
            <w:pPr>
              <w:jc w:val="left"/>
            </w:pPr>
            <w:r>
              <w:rPr>
                <w:rFonts w:ascii="Arial" w:hAnsi="Arial" w:eastAsia="Arial" w:cs="Arial"/>
                <w:b w:val="0"/>
                <w:bCs w:val="0"/>
                <w:color w:val="1A1A1A"/>
                <w:sz w:val="20"/>
                <w:szCs w:val="20"/>
              </w:rPr>
              <w:t>5–20k€ per significant gap (rework + review + knock-on V&amp;V effects)</w:t>
            </w:r>
          </w:p>
        </w:tc>
      </w:tr>
      <w:tr w14:paraId="559E2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289A838">
            <w:pPr>
              <w:jc w:val="left"/>
            </w:pPr>
            <w:r>
              <w:rPr>
                <w:rFonts w:ascii="Arial" w:hAnsi="Arial" w:eastAsia="Arial" w:cs="Arial"/>
                <w:b w:val="0"/>
                <w:bCs w:val="0"/>
                <w:color w:val="1A1A1A"/>
                <w:sz w:val="20"/>
                <w:szCs w:val="20"/>
              </w:rPr>
              <w:t>By the regulatory reviewer during submission assessment</w:t>
            </w:r>
          </w:p>
        </w:tc>
        <w:tc>
          <w:tcPr>
            <w:tcW w:w="5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71518DE">
            <w:pPr>
              <w:jc w:val="left"/>
            </w:pPr>
            <w:r>
              <w:rPr>
                <w:rFonts w:ascii="Arial" w:hAnsi="Arial" w:eastAsia="Arial" w:cs="Arial"/>
                <w:b w:val="0"/>
                <w:bCs w:val="0"/>
                <w:color w:val="1A1A1A"/>
                <w:sz w:val="20"/>
                <w:szCs w:val="20"/>
              </w:rPr>
              <w:t>10–40k€ per deficiency round + 4–12 weeks delay per round</w:t>
            </w:r>
          </w:p>
        </w:tc>
      </w:tr>
      <w:tr w14:paraId="3E92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3E21BF1">
            <w:pPr>
              <w:jc w:val="left"/>
            </w:pPr>
            <w:r>
              <w:rPr>
                <w:rFonts w:ascii="Arial" w:hAnsi="Arial" w:eastAsia="Arial" w:cs="Arial"/>
                <w:b w:val="0"/>
                <w:bCs w:val="0"/>
                <w:color w:val="1A1A1A"/>
                <w:sz w:val="20"/>
                <w:szCs w:val="20"/>
              </w:rPr>
              <w:t>Multiple deficiency rounds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53A50B6">
            <w:pPr>
              <w:jc w:val="left"/>
            </w:pPr>
            <w:r>
              <w:rPr>
                <w:rFonts w:ascii="Arial" w:hAnsi="Arial" w:eastAsia="Arial" w:cs="Arial"/>
                <w:b w:val="0"/>
                <w:bCs w:val="0"/>
                <w:color w:val="1A1A1A"/>
                <w:sz w:val="20"/>
                <w:szCs w:val="20"/>
              </w:rPr>
              <w:t>50–100k€ total cost when internal and external resources are included</w:t>
            </w:r>
          </w:p>
        </w:tc>
      </w:tr>
    </w:tbl>
    <w:p w14:paraId="1A5E62B7">
      <w:pPr>
        <w:spacing w:before="80" w:after="80"/>
      </w:pPr>
    </w:p>
    <w:p w14:paraId="69B4D2A9">
      <w:pPr>
        <w:spacing w:before="80" w:after="80"/>
      </w:pPr>
      <w:r>
        <w:rPr>
          <w:rFonts w:ascii="Arial" w:hAnsi="Arial" w:eastAsia="Arial" w:cs="Arial"/>
          <w:b/>
          <w:bCs/>
          <w:sz w:val="22"/>
          <w:szCs w:val="22"/>
        </w:rPr>
        <w:t>The agent’s value in Phase 1:</w:t>
      </w:r>
      <w:r>
        <w:rPr>
          <w:rFonts w:ascii="Arial" w:hAnsi="Arial" w:eastAsia="Arial" w:cs="Arial"/>
          <w:sz w:val="22"/>
          <w:szCs w:val="22"/>
        </w:rPr>
        <w:t xml:space="preserve"> catching gaps before they reach the regulatory reviewer. The earlier a gap is detected, the cheaper it is to fix.</w:t>
      </w:r>
    </w:p>
    <w:p w14:paraId="3B0ABDB3">
      <w:pPr>
        <w:spacing w:before="80" w:after="80"/>
      </w:pPr>
    </w:p>
    <w:p w14:paraId="48A49E12">
      <w:pPr>
        <w:pStyle w:val="4"/>
        <w:spacing w:before="200" w:after="100"/>
      </w:pPr>
      <w:r>
        <w:rPr>
          <w:rFonts w:ascii="Arial" w:hAnsi="Arial" w:eastAsia="Arial" w:cs="Arial"/>
          <w:b/>
          <w:bCs/>
          <w:color w:val="333333"/>
          <w:sz w:val="22"/>
          <w:szCs w:val="22"/>
        </w:rPr>
        <w:t>Phase 2 — Ongoing maintenance and change management</w:t>
      </w:r>
    </w:p>
    <w:p w14:paraId="2BCE782D">
      <w:pPr>
        <w:spacing w:before="80" w:after="80"/>
      </w:pPr>
      <w:r>
        <w:rPr>
          <w:rFonts w:ascii="Arial" w:hAnsi="Arial" w:eastAsia="Arial" w:cs="Arial"/>
          <w:sz w:val="22"/>
          <w:szCs w:val="22"/>
        </w:rPr>
        <w:t>After first approval, every change to the device — software updates, new integrations, algorithm modifications, security patches — must be assessed for regulatory impact. This is a recurring cost for the device lifetime.</w:t>
      </w:r>
    </w:p>
    <w:p w14:paraId="7A9EA04F">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47415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42102BB9">
            <w:pPr>
              <w:jc w:val="left"/>
            </w:pPr>
            <w:r>
              <w:rPr>
                <w:rFonts w:ascii="Arial" w:hAnsi="Arial" w:eastAsia="Arial" w:cs="Arial"/>
                <w:b/>
                <w:bCs/>
                <w:color w:val="FFFFFF"/>
                <w:sz w:val="20"/>
                <w:szCs w:val="20"/>
              </w:rPr>
              <w:t>Risk</w:t>
            </w:r>
          </w:p>
        </w:tc>
        <w:tc>
          <w:tcPr>
            <w:tcW w:w="5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08917D24">
            <w:pPr>
              <w:jc w:val="left"/>
            </w:pPr>
            <w:r>
              <w:rPr>
                <w:rFonts w:ascii="Arial" w:hAnsi="Arial" w:eastAsia="Arial" w:cs="Arial"/>
                <w:b/>
                <w:bCs/>
                <w:color w:val="FFFFFF"/>
                <w:sz w:val="20"/>
                <w:szCs w:val="20"/>
              </w:rPr>
              <w:t>Consequence</w:t>
            </w:r>
          </w:p>
        </w:tc>
      </w:tr>
      <w:tr w14:paraId="14D1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B0F33A6">
            <w:pPr>
              <w:jc w:val="left"/>
            </w:pPr>
            <w:r>
              <w:rPr>
                <w:rFonts w:ascii="Arial" w:hAnsi="Arial" w:eastAsia="Arial" w:cs="Arial"/>
                <w:b w:val="0"/>
                <w:bCs w:val="0"/>
                <w:color w:val="1A1A1A"/>
                <w:sz w:val="20"/>
                <w:szCs w:val="20"/>
              </w:rPr>
              <w:t>Change under-assessed (significant change not identified)</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BCDB9F9">
            <w:pPr>
              <w:jc w:val="left"/>
            </w:pPr>
            <w:r>
              <w:rPr>
                <w:rFonts w:ascii="Arial" w:hAnsi="Arial" w:eastAsia="Arial" w:cs="Arial"/>
                <w:b w:val="0"/>
                <w:bCs w:val="0"/>
                <w:color w:val="1A1A1A"/>
                <w:sz w:val="20"/>
                <w:szCs w:val="20"/>
              </w:rPr>
              <w:t>Regulatory enforcement risk if implemented without required submission</w:t>
            </w:r>
          </w:p>
        </w:tc>
      </w:tr>
      <w:tr w14:paraId="12035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027D61F">
            <w:pPr>
              <w:jc w:val="left"/>
            </w:pPr>
            <w:r>
              <w:rPr>
                <w:rFonts w:ascii="Arial" w:hAnsi="Arial" w:eastAsia="Arial" w:cs="Arial"/>
                <w:b w:val="0"/>
                <w:bCs w:val="0"/>
                <w:color w:val="1A1A1A"/>
                <w:sz w:val="20"/>
                <w:szCs w:val="20"/>
              </w:rPr>
              <w:t>Change over-assessed (non-significant treated as significant)</w:t>
            </w:r>
          </w:p>
        </w:tc>
        <w:tc>
          <w:tcPr>
            <w:tcW w:w="5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953D3EF">
            <w:pPr>
              <w:jc w:val="left"/>
            </w:pPr>
            <w:r>
              <w:rPr>
                <w:rFonts w:ascii="Arial" w:hAnsi="Arial" w:eastAsia="Arial" w:cs="Arial"/>
                <w:b w:val="0"/>
                <w:bCs w:val="0"/>
                <w:color w:val="1A1A1A"/>
                <w:sz w:val="20"/>
                <w:szCs w:val="20"/>
              </w:rPr>
              <w:t>Unnecessary submission effort; delay</w:t>
            </w:r>
          </w:p>
        </w:tc>
      </w:tr>
      <w:tr w14:paraId="57BD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71E7D56">
            <w:pPr>
              <w:jc w:val="left"/>
            </w:pPr>
            <w:r>
              <w:rPr>
                <w:rFonts w:ascii="Arial" w:hAnsi="Arial" w:eastAsia="Arial" w:cs="Arial"/>
                <w:b w:val="0"/>
                <w:bCs w:val="0"/>
                <w:color w:val="1A1A1A"/>
                <w:sz w:val="20"/>
                <w:szCs w:val="20"/>
              </w:rPr>
              <w:t>Routine change documentation (non-significant)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681A935">
            <w:pPr>
              <w:jc w:val="left"/>
            </w:pPr>
            <w:r>
              <w:rPr>
                <w:rFonts w:ascii="Arial" w:hAnsi="Arial" w:eastAsia="Arial" w:cs="Arial"/>
                <w:b w:val="0"/>
                <w:bCs w:val="0"/>
                <w:color w:val="1A1A1A"/>
                <w:sz w:val="20"/>
                <w:szCs w:val="20"/>
              </w:rPr>
              <w:t>8–43 hours of expert time per moderate change across 4–6 roles</w:t>
            </w:r>
          </w:p>
        </w:tc>
      </w:tr>
    </w:tbl>
    <w:p w14:paraId="2D68BAC8">
      <w:pPr>
        <w:spacing w:before="80" w:after="80"/>
      </w:pPr>
    </w:p>
    <w:p w14:paraId="7E7B3050">
      <w:pPr>
        <w:spacing w:before="80" w:after="80"/>
      </w:pPr>
      <w:r>
        <w:rPr>
          <w:rFonts w:ascii="Arial" w:hAnsi="Arial" w:eastAsia="Arial" w:cs="Arial"/>
          <w:b/>
          <w:bCs/>
          <w:sz w:val="22"/>
          <w:szCs w:val="22"/>
        </w:rPr>
        <w:t>The agent’s value in Phase 2:</w:t>
      </w:r>
      <w:r>
        <w:rPr>
          <w:rFonts w:ascii="Arial" w:hAnsi="Arial" w:eastAsia="Arial" w:cs="Arial"/>
          <w:sz w:val="22"/>
          <w:szCs w:val="22"/>
        </w:rPr>
        <w:t xml:space="preserve"> reducing manual effort per change and improving consistency of impact assessments.</w:t>
      </w:r>
    </w:p>
    <w:p w14:paraId="775B1399">
      <w:pPr>
        <w:spacing w:before="80" w:after="80"/>
      </w:pPr>
    </w:p>
    <w:p w14:paraId="4D2922A4">
      <w:pPr>
        <w:pStyle w:val="3"/>
        <w:spacing w:before="280" w:after="120"/>
      </w:pPr>
      <w:r>
        <w:rPr>
          <w:rFonts w:ascii="Arial" w:hAnsi="Arial" w:eastAsia="Arial" w:cs="Arial"/>
          <w:b/>
          <w:bCs/>
          <w:color w:val="2E75B6"/>
          <w:sz w:val="26"/>
          <w:szCs w:val="26"/>
        </w:rPr>
        <w:t>Why LLM operating cost is not the constraint</w:t>
      </w:r>
    </w:p>
    <w:p w14:paraId="16D3AFED">
      <w:pPr>
        <w:spacing w:before="80" w:after="80"/>
      </w:pPr>
      <w:r>
        <w:rPr>
          <w:rFonts w:ascii="Arial" w:hAnsi="Arial" w:eastAsia="Arial" w:cs="Arial"/>
          <w:sz w:val="22"/>
          <w:szCs w:val="22"/>
        </w:rPr>
        <w:t>The cost of running a language model to analyse an SRS change is in the order of cents per query. At the scale of a typical SaMD portfolio, annual LLM operating cost remains well below 1,000€. Expert staff time for equivalent manual analysis is 100–200€ per hour. The ROI of automation is dominated by staff time and regulatory risk avoidance, not by infrastructure cost.</w:t>
      </w:r>
    </w:p>
    <w:p w14:paraId="655A761E">
      <w:r>
        <w:br w:type="page"/>
      </w:r>
    </w:p>
    <w:p w14:paraId="47AE534B">
      <w:pPr>
        <w:pStyle w:val="2"/>
        <w:pBdr>
          <w:bottom w:val="single" w:color="2E75B6" w:sz="8" w:space="4"/>
        </w:pBdr>
        <w:spacing w:before="400" w:after="160"/>
      </w:pPr>
      <w:r>
        <w:rPr>
          <w:rFonts w:ascii="Arial" w:hAnsi="Arial" w:eastAsia="Arial" w:cs="Arial"/>
          <w:b/>
          <w:bCs/>
          <w:color w:val="1F4E79"/>
          <w:sz w:val="32"/>
          <w:szCs w:val="32"/>
        </w:rPr>
        <w:t>3. Scoring methodology</w:t>
      </w:r>
    </w:p>
    <w:p w14:paraId="0644BA94">
      <w:pPr>
        <w:pStyle w:val="3"/>
        <w:spacing w:before="280" w:after="120"/>
      </w:pPr>
      <w:r>
        <w:rPr>
          <w:rFonts w:ascii="Arial" w:hAnsi="Arial" w:eastAsia="Arial" w:cs="Arial"/>
          <w:b/>
          <w:bCs/>
          <w:color w:val="2E75B6"/>
          <w:sz w:val="26"/>
          <w:szCs w:val="26"/>
        </w:rPr>
        <w:t>Why standard RICE does not fit</w:t>
      </w:r>
    </w:p>
    <w:p w14:paraId="6CA24F83">
      <w:pPr>
        <w:spacing w:before="80" w:after="80"/>
      </w:pPr>
      <w:r>
        <w:rPr>
          <w:rFonts w:ascii="Arial" w:hAnsi="Arial" w:eastAsia="Arial" w:cs="Arial"/>
          <w:sz w:val="22"/>
          <w:szCs w:val="22"/>
        </w:rPr>
        <w:t xml:space="preserve">Standard RICE was designed for consumer product features where the primary value driver is user volume. For this product, the user base is small and fixed. The value driver is not how many people use a feature but </w:t>
      </w:r>
      <w:r>
        <w:rPr>
          <w:rFonts w:ascii="Arial" w:hAnsi="Arial" w:eastAsia="Arial" w:cs="Arial"/>
          <w:b/>
          <w:bCs/>
          <w:sz w:val="22"/>
          <w:szCs w:val="22"/>
        </w:rPr>
        <w:t>how much regulatory cost the feature prevents.</w:t>
      </w:r>
    </w:p>
    <w:p w14:paraId="7DA7550F">
      <w:pPr>
        <w:spacing w:before="80" w:after="80"/>
      </w:pPr>
    </w:p>
    <w:p w14:paraId="61E580C7">
      <w:pPr>
        <w:pStyle w:val="3"/>
        <w:spacing w:before="280" w:after="120"/>
      </w:pPr>
      <w:r>
        <w:rPr>
          <w:rFonts w:ascii="Arial" w:hAnsi="Arial" w:eastAsia="Arial" w:cs="Arial"/>
          <w:b/>
          <w:bCs/>
          <w:color w:val="2E75B6"/>
          <w:sz w:val="26"/>
          <w:szCs w:val="26"/>
        </w:rPr>
        <w:t>The adapted formula</w:t>
      </w:r>
    </w:p>
    <w:p w14:paraId="059E4EF1">
      <w:pPr>
        <w:spacing w:before="80" w:after="80"/>
      </w:pPr>
      <w:r>
        <w:rPr>
          <w:rFonts w:ascii="Arial" w:hAnsi="Arial" w:eastAsia="Arial" w:cs="Arial"/>
          <w:sz w:val="22"/>
          <w:szCs w:val="22"/>
        </w:rPr>
        <w:t xml:space="preserve">Reach is replaced by </w:t>
      </w:r>
      <w:r>
        <w:rPr>
          <w:rFonts w:ascii="Arial" w:hAnsi="Arial" w:eastAsia="Arial" w:cs="Arial"/>
          <w:b/>
          <w:bCs/>
          <w:sz w:val="22"/>
          <w:szCs w:val="22"/>
        </w:rPr>
        <w:t>Risk Savings</w:t>
      </w:r>
      <w:r>
        <w:rPr>
          <w:rFonts w:ascii="Arial" w:hAnsi="Arial" w:eastAsia="Arial" w:cs="Arial"/>
          <w:sz w:val="22"/>
          <w:szCs w:val="22"/>
        </w:rPr>
        <w:t xml:space="preserve"> — a parameter capturing regulatory cost avoidance potential:</w:t>
      </w:r>
    </w:p>
    <w:p w14:paraId="1C10510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BA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BF3FB"/>
            <w:tcMar>
              <w:top w:w="140" w:type="dxa"/>
              <w:left w:w="200" w:type="dxa"/>
              <w:bottom w:w="140" w:type="dxa"/>
              <w:right w:w="200" w:type="dxa"/>
            </w:tcMar>
          </w:tcPr>
          <w:p w14:paraId="20FA140F">
            <w:pPr>
              <w:jc w:val="center"/>
            </w:pPr>
            <w:r>
              <w:rPr>
                <w:rFonts w:ascii="Courier New" w:hAnsi="Courier New" w:eastAsia="Courier New" w:cs="Courier New"/>
                <w:b/>
                <w:bCs/>
                <w:color w:val="1F4E79"/>
                <w:sz w:val="22"/>
                <w:szCs w:val="22"/>
              </w:rPr>
              <w:t>RICE Score = (Risk Savings × Impact × Confidence) / Effort</w:t>
            </w:r>
          </w:p>
        </w:tc>
      </w:tr>
    </w:tbl>
    <w:p w14:paraId="24F0263F">
      <w:pPr>
        <w:spacing w:before="80" w:after="80"/>
      </w:pPr>
    </w:p>
    <w:p w14:paraId="26690C03">
      <w:pPr>
        <w:spacing w:before="80" w:after="80"/>
      </w:pPr>
      <w:r>
        <w:rPr>
          <w:rFonts w:ascii="Arial" w:hAnsi="Arial" w:eastAsia="Arial" w:cs="Arial"/>
          <w:sz w:val="22"/>
          <w:szCs w:val="22"/>
        </w:rPr>
        <w:t>Scores are multiplied by 10 for display readability. The result is a relative priority index within this product, not an absolute measure of value.</w:t>
      </w:r>
    </w:p>
    <w:p w14:paraId="099208AF">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440"/>
        <w:gridCol w:w="5760"/>
      </w:tblGrid>
      <w:tr w14:paraId="15B1C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73726D92">
            <w:pPr>
              <w:jc w:val="left"/>
            </w:pPr>
            <w:r>
              <w:rPr>
                <w:rFonts w:ascii="Arial" w:hAnsi="Arial" w:eastAsia="Arial" w:cs="Arial"/>
                <w:b/>
                <w:bCs/>
                <w:color w:val="FFFFFF"/>
                <w:sz w:val="20"/>
                <w:szCs w:val="20"/>
              </w:rPr>
              <w:t>Parameter</w:t>
            </w:r>
          </w:p>
        </w:tc>
        <w:tc>
          <w:tcPr>
            <w:tcW w:w="14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357AF842">
            <w:pPr>
              <w:jc w:val="left"/>
            </w:pPr>
            <w:r>
              <w:rPr>
                <w:rFonts w:ascii="Arial" w:hAnsi="Arial" w:eastAsia="Arial" w:cs="Arial"/>
                <w:b/>
                <w:bCs/>
                <w:color w:val="FFFFFF"/>
                <w:sz w:val="20"/>
                <w:szCs w:val="20"/>
              </w:rPr>
              <w:t>Scale</w:t>
            </w:r>
          </w:p>
        </w:tc>
        <w:tc>
          <w:tcPr>
            <w:tcW w:w="5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196CBC7B">
            <w:pPr>
              <w:jc w:val="left"/>
            </w:pPr>
            <w:r>
              <w:rPr>
                <w:rFonts w:ascii="Arial" w:hAnsi="Arial" w:eastAsia="Arial" w:cs="Arial"/>
                <w:b/>
                <w:bCs/>
                <w:color w:val="FFFFFF"/>
                <w:sz w:val="20"/>
                <w:szCs w:val="20"/>
              </w:rPr>
              <w:t>What it measures</w:t>
            </w:r>
          </w:p>
        </w:tc>
      </w:tr>
      <w:tr w14:paraId="0DD4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9C41D37">
            <w:pPr>
              <w:jc w:val="left"/>
            </w:pPr>
            <w:r>
              <w:rPr>
                <w:rFonts w:ascii="Arial" w:hAnsi="Arial" w:eastAsia="Arial" w:cs="Arial"/>
                <w:b w:val="0"/>
                <w:bCs w:val="0"/>
                <w:color w:val="1A1A1A"/>
                <w:sz w:val="20"/>
                <w:szCs w:val="20"/>
              </w:rPr>
              <w:t>Risk Savings</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4707BC3">
            <w:pPr>
              <w:jc w:val="left"/>
            </w:pPr>
            <w:r>
              <w:rPr>
                <w:rFonts w:ascii="Arial" w:hAnsi="Arial" w:eastAsia="Arial" w:cs="Arial"/>
                <w:b w:val="0"/>
                <w:bCs w:val="0"/>
                <w:color w:val="1A1A1A"/>
                <w:sz w:val="20"/>
                <w:szCs w:val="20"/>
              </w:rPr>
              <w:t>1–5</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08E2715">
            <w:pPr>
              <w:jc w:val="left"/>
            </w:pPr>
            <w:r>
              <w:rPr>
                <w:rFonts w:ascii="Arial" w:hAnsi="Arial" w:eastAsia="Arial" w:cs="Arial"/>
                <w:b w:val="0"/>
                <w:bCs w:val="0"/>
                <w:color w:val="1A1A1A"/>
                <w:sz w:val="20"/>
                <w:szCs w:val="20"/>
              </w:rPr>
              <w:t>Potential to reduce regulatory cost: deficiency rounds, unplanned submissions, inspection findings</w:t>
            </w:r>
          </w:p>
        </w:tc>
      </w:tr>
      <w:tr w14:paraId="47ED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182EF05">
            <w:pPr>
              <w:jc w:val="left"/>
            </w:pPr>
            <w:r>
              <w:rPr>
                <w:rFonts w:ascii="Arial" w:hAnsi="Arial" w:eastAsia="Arial" w:cs="Arial"/>
                <w:b w:val="0"/>
                <w:bCs w:val="0"/>
                <w:color w:val="1A1A1A"/>
                <w:sz w:val="20"/>
                <w:szCs w:val="20"/>
              </w:rPr>
              <w:t>Impact</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7B9BF9B">
            <w:pPr>
              <w:jc w:val="left"/>
            </w:pPr>
            <w:r>
              <w:rPr>
                <w:rFonts w:ascii="Arial" w:hAnsi="Arial" w:eastAsia="Arial" w:cs="Arial"/>
                <w:b w:val="0"/>
                <w:bCs w:val="0"/>
                <w:color w:val="1A1A1A"/>
                <w:sz w:val="20"/>
                <w:szCs w:val="20"/>
              </w:rPr>
              <w:t>1–5</w:t>
            </w:r>
          </w:p>
        </w:tc>
        <w:tc>
          <w:tcPr>
            <w:tcW w:w="5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02D2CCA">
            <w:pPr>
              <w:jc w:val="left"/>
            </w:pPr>
            <w:r>
              <w:rPr>
                <w:rFonts w:ascii="Arial" w:hAnsi="Arial" w:eastAsia="Arial" w:cs="Arial"/>
                <w:b w:val="0"/>
                <w:bCs w:val="0"/>
                <w:color w:val="1A1A1A"/>
                <w:sz w:val="20"/>
                <w:szCs w:val="20"/>
              </w:rPr>
              <w:t>Combined value of time saved for the team and quality of findings delivered to document owners</w:t>
            </w:r>
          </w:p>
        </w:tc>
      </w:tr>
      <w:tr w14:paraId="77E5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2859C38">
            <w:pPr>
              <w:jc w:val="left"/>
            </w:pPr>
            <w:r>
              <w:rPr>
                <w:rFonts w:ascii="Arial" w:hAnsi="Arial" w:eastAsia="Arial" w:cs="Arial"/>
                <w:b w:val="0"/>
                <w:bCs w:val="0"/>
                <w:color w:val="1A1A1A"/>
                <w:sz w:val="20"/>
                <w:szCs w:val="20"/>
              </w:rPr>
              <w:t>Confidence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8CA4FFE">
            <w:pPr>
              <w:jc w:val="left"/>
            </w:pPr>
            <w:r>
              <w:rPr>
                <w:rFonts w:ascii="Arial" w:hAnsi="Arial" w:eastAsia="Arial" w:cs="Arial"/>
                <w:b w:val="0"/>
                <w:bCs w:val="0"/>
                <w:color w:val="1A1A1A"/>
                <w:sz w:val="20"/>
                <w:szCs w:val="20"/>
              </w:rPr>
              <w:t>0.5–1.0</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6F193F9">
            <w:pPr>
              <w:jc w:val="left"/>
            </w:pPr>
            <w:r>
              <w:rPr>
                <w:rFonts w:ascii="Arial" w:hAnsi="Arial" w:eastAsia="Arial" w:cs="Arial"/>
                <w:b w:val="0"/>
                <w:bCs w:val="0"/>
                <w:color w:val="1A1A1A"/>
                <w:sz w:val="20"/>
                <w:szCs w:val="20"/>
              </w:rPr>
              <w:t>How certain we are that the estimates are accurate given current knowledge</w:t>
            </w:r>
          </w:p>
        </w:tc>
      </w:tr>
      <w:tr w14:paraId="3E49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C33B6D3">
            <w:pPr>
              <w:jc w:val="left"/>
            </w:pPr>
            <w:r>
              <w:rPr>
                <w:rFonts w:ascii="Arial" w:hAnsi="Arial" w:eastAsia="Arial" w:cs="Arial"/>
                <w:b w:val="0"/>
                <w:bCs w:val="0"/>
                <w:color w:val="1A1A1A"/>
                <w:sz w:val="20"/>
                <w:szCs w:val="20"/>
              </w:rPr>
              <w:t>Effort</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3E8BE2B">
            <w:pPr>
              <w:jc w:val="left"/>
            </w:pPr>
            <w:r>
              <w:rPr>
                <w:rFonts w:ascii="Arial" w:hAnsi="Arial" w:eastAsia="Arial" w:cs="Arial"/>
                <w:b w:val="0"/>
                <w:bCs w:val="0"/>
                <w:color w:val="1A1A1A"/>
                <w:sz w:val="20"/>
                <w:szCs w:val="20"/>
              </w:rPr>
              <w:t>1–5</w:t>
            </w:r>
          </w:p>
        </w:tc>
        <w:tc>
          <w:tcPr>
            <w:tcW w:w="5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32B2164">
            <w:pPr>
              <w:jc w:val="left"/>
            </w:pPr>
            <w:r>
              <w:rPr>
                <w:rFonts w:ascii="Arial" w:hAnsi="Arial" w:eastAsia="Arial" w:cs="Arial"/>
                <w:b w:val="0"/>
                <w:bCs w:val="0"/>
                <w:color w:val="1A1A1A"/>
                <w:sz w:val="20"/>
                <w:szCs w:val="20"/>
              </w:rPr>
              <w:t>Build complexity (1 = simple; 5 = highly complex). Higher effort reduces the score.</w:t>
            </w:r>
          </w:p>
        </w:tc>
      </w:tr>
    </w:tbl>
    <w:p w14:paraId="25255EC9">
      <w:pPr>
        <w:spacing w:before="80" w:after="80"/>
      </w:pPr>
    </w:p>
    <w:p w14:paraId="2CC29969">
      <w:pPr>
        <w:pStyle w:val="3"/>
        <w:spacing w:before="280" w:after="120"/>
      </w:pPr>
      <w:r>
        <w:rPr>
          <w:rFonts w:ascii="Arial" w:hAnsi="Arial" w:eastAsia="Arial" w:cs="Arial"/>
          <w:b/>
          <w:bCs/>
          <w:color w:val="2E75B6"/>
          <w:sz w:val="26"/>
          <w:szCs w:val="26"/>
        </w:rPr>
        <w:t>Worked example</w:t>
      </w:r>
    </w:p>
    <w:p w14:paraId="6897F576">
      <w:pPr>
        <w:spacing w:before="80" w:after="80"/>
      </w:pPr>
      <w:r>
        <w:rPr>
          <w:rFonts w:ascii="Arial" w:hAnsi="Arial" w:eastAsia="Arial" w:cs="Arial"/>
          <w:sz w:val="22"/>
          <w:szCs w:val="22"/>
        </w:rPr>
        <w:t>UC1 (SRS monitoring): Risk Savings = 4, Impact = 4, Confidence = 0.9, Effort = 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EEA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BF3FB"/>
            <w:tcMar>
              <w:top w:w="140" w:type="dxa"/>
              <w:left w:w="200" w:type="dxa"/>
              <w:bottom w:w="140" w:type="dxa"/>
              <w:right w:w="200" w:type="dxa"/>
            </w:tcMar>
          </w:tcPr>
          <w:p w14:paraId="74C550FC">
            <w:pPr>
              <w:jc w:val="center"/>
            </w:pPr>
            <w:r>
              <w:rPr>
                <w:rFonts w:ascii="Courier New" w:hAnsi="Courier New" w:eastAsia="Courier New" w:cs="Courier New"/>
                <w:b/>
                <w:bCs/>
                <w:color w:val="1F4E79"/>
                <w:sz w:val="22"/>
                <w:szCs w:val="22"/>
              </w:rPr>
              <w:t>Score = (4 × 4 × 0.9) / 2 = 7.2 → 72</w:t>
            </w:r>
          </w:p>
        </w:tc>
      </w:tr>
    </w:tbl>
    <w:p w14:paraId="7D37991E">
      <w:pPr>
        <w:spacing w:before="80" w:after="80"/>
      </w:pPr>
    </w:p>
    <w:p w14:paraId="5EDDA5F6">
      <w:pPr>
        <w:spacing w:before="80" w:after="80"/>
      </w:pPr>
      <w:r>
        <w:rPr>
          <w:rFonts w:ascii="Arial" w:hAnsi="Arial" w:eastAsia="Arial" w:cs="Arial"/>
          <w:sz w:val="22"/>
          <w:szCs w:val="22"/>
        </w:rPr>
        <w:t>UC4 (AI/ML change control plan): Risk Savings = 5, Impact = 3, Confidence = 0.6, Effort = 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F3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BF3FB"/>
            <w:tcMar>
              <w:top w:w="140" w:type="dxa"/>
              <w:left w:w="200" w:type="dxa"/>
              <w:bottom w:w="140" w:type="dxa"/>
              <w:right w:w="200" w:type="dxa"/>
            </w:tcMar>
          </w:tcPr>
          <w:p w14:paraId="0C5DFEA3">
            <w:pPr>
              <w:jc w:val="center"/>
            </w:pPr>
            <w:r>
              <w:rPr>
                <w:rFonts w:ascii="Courier New" w:hAnsi="Courier New" w:eastAsia="Courier New" w:cs="Courier New"/>
                <w:b/>
                <w:bCs/>
                <w:color w:val="1F4E79"/>
                <w:sz w:val="22"/>
                <w:szCs w:val="22"/>
              </w:rPr>
              <w:t>Score = (5 × 3 × 0.6) / 4 = 2.25 → 23</w:t>
            </w:r>
          </w:p>
        </w:tc>
      </w:tr>
    </w:tbl>
    <w:p w14:paraId="38E8112F">
      <w:pPr>
        <w:spacing w:before="80" w:after="80"/>
      </w:pPr>
    </w:p>
    <w:p w14:paraId="4B3CFF03">
      <w:pPr>
        <w:spacing w:before="80" w:after="80"/>
      </w:pPr>
      <w:r>
        <w:rPr>
          <w:rFonts w:ascii="Arial" w:hAnsi="Arial" w:eastAsia="Arial" w:cs="Arial"/>
          <w:sz w:val="22"/>
          <w:szCs w:val="22"/>
        </w:rPr>
        <w:t>UC4 has higher Risk Savings than UC1, but lower confidence and higher effort reduce its priority significantly. This is intentional.</w:t>
      </w:r>
    </w:p>
    <w:p w14:paraId="10A1994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86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7B4F00"/>
            <w:tcMar>
              <w:top w:w="60" w:type="dxa"/>
              <w:left w:w="160" w:type="dxa"/>
              <w:bottom w:w="60" w:type="dxa"/>
              <w:right w:w="160" w:type="dxa"/>
            </w:tcMar>
          </w:tcPr>
          <w:p w14:paraId="52E8851D">
            <w:r>
              <w:rPr>
                <w:rFonts w:ascii="Arial" w:hAnsi="Arial" w:eastAsia="Arial" w:cs="Arial"/>
                <w:b/>
                <w:bCs/>
                <w:color w:val="FFFFFF"/>
                <w:sz w:val="18"/>
                <w:szCs w:val="18"/>
              </w:rPr>
              <w:t>What the formula does not capture</w:t>
            </w:r>
          </w:p>
        </w:tc>
      </w:tr>
      <w:tr w14:paraId="6D6FC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CD"/>
            <w:tcMar>
              <w:top w:w="100" w:type="dxa"/>
              <w:left w:w="160" w:type="dxa"/>
              <w:bottom w:w="100" w:type="dxa"/>
              <w:right w:w="160" w:type="dxa"/>
            </w:tcMar>
          </w:tcPr>
          <w:p w14:paraId="73A1AFAE">
            <w:r>
              <w:rPr>
                <w:rFonts w:ascii="Arial" w:hAnsi="Arial" w:eastAsia="Arial" w:cs="Arial"/>
                <w:color w:val="1A1A1A"/>
                <w:sz w:val="20"/>
                <w:szCs w:val="20"/>
              </w:rPr>
              <w:t>Strategic dependencies between use cases. UC1 is a prerequisite for UC3, UC2, and UC5 — they cannot function without it. This dependency structure is captured in the roadmap (section 7), not the scores. Similar RICE scores do not imply that use cases can be built in any order.</w:t>
            </w:r>
          </w:p>
        </w:tc>
      </w:tr>
    </w:tbl>
    <w:p w14:paraId="19E20144">
      <w:r>
        <w:br w:type="page"/>
      </w:r>
    </w:p>
    <w:p w14:paraId="25329B4B">
      <w:pPr>
        <w:pStyle w:val="2"/>
        <w:pBdr>
          <w:bottom w:val="single" w:color="2E75B6" w:sz="8" w:space="4"/>
        </w:pBdr>
        <w:spacing w:before="400" w:after="160"/>
      </w:pPr>
      <w:r>
        <w:rPr>
          <w:rFonts w:ascii="Arial" w:hAnsi="Arial" w:eastAsia="Arial" w:cs="Arial"/>
          <w:b/>
          <w:bCs/>
          <w:color w:val="1F4E79"/>
          <w:sz w:val="32"/>
          <w:szCs w:val="32"/>
        </w:rPr>
        <w:t>4. Parameter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15A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7B4F00"/>
            <w:tcMar>
              <w:top w:w="60" w:type="dxa"/>
              <w:left w:w="160" w:type="dxa"/>
              <w:bottom w:w="60" w:type="dxa"/>
              <w:right w:w="160" w:type="dxa"/>
            </w:tcMar>
          </w:tcPr>
          <w:p w14:paraId="13A57084">
            <w:r>
              <w:rPr>
                <w:rFonts w:ascii="Arial" w:hAnsi="Arial" w:eastAsia="Arial" w:cs="Arial"/>
                <w:b/>
                <w:bCs/>
                <w:color w:val="FFFFFF"/>
                <w:sz w:val="18"/>
                <w:szCs w:val="18"/>
              </w:rPr>
              <w:t>This is the challenge zone</w:t>
            </w:r>
          </w:p>
        </w:tc>
      </w:tr>
      <w:tr w14:paraId="2686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CD"/>
            <w:tcMar>
              <w:top w:w="100" w:type="dxa"/>
              <w:left w:w="160" w:type="dxa"/>
              <w:bottom w:w="100" w:type="dxa"/>
              <w:right w:w="160" w:type="dxa"/>
            </w:tcMar>
          </w:tcPr>
          <w:p w14:paraId="1330CDDC">
            <w:r>
              <w:rPr>
                <w:rFonts w:ascii="Arial" w:hAnsi="Arial" w:eastAsia="Arial" w:cs="Arial"/>
                <w:color w:val="1A1A1A"/>
                <w:sz w:val="20"/>
                <w:szCs w:val="20"/>
              </w:rPr>
              <w:t>If any score seems wrong, identify the parameter you would change, the assumption behind it, and your proposed alternative. Re-run the formula. The roadmap will follow.</w:t>
            </w:r>
          </w:p>
        </w:tc>
      </w:tr>
    </w:tbl>
    <w:p w14:paraId="00ABF34B">
      <w:pPr>
        <w:spacing w:before="80" w:after="80"/>
      </w:pPr>
    </w:p>
    <w:p w14:paraId="19C9853A">
      <w:pPr>
        <w:pStyle w:val="3"/>
        <w:spacing w:before="280" w:after="120"/>
      </w:pPr>
      <w:r>
        <w:rPr>
          <w:rFonts w:ascii="Arial" w:hAnsi="Arial" w:eastAsia="Arial" w:cs="Arial"/>
          <w:b/>
          <w:bCs/>
          <w:color w:val="2E75B6"/>
          <w:sz w:val="26"/>
          <w:szCs w:val="26"/>
        </w:rPr>
        <w:t>Risk Savings (1–5)</w:t>
      </w:r>
    </w:p>
    <w:p w14:paraId="6DD3270D">
      <w:pPr>
        <w:spacing w:before="80" w:after="80"/>
      </w:pPr>
      <w:r>
        <w:rPr>
          <w:rFonts w:ascii="Arial" w:hAnsi="Arial" w:eastAsia="Arial" w:cs="Arial"/>
          <w:b/>
          <w:bCs/>
          <w:sz w:val="22"/>
          <w:szCs w:val="22"/>
        </w:rPr>
        <w:t>What it represents:</w:t>
      </w:r>
      <w:r>
        <w:rPr>
          <w:rFonts w:ascii="Arial" w:hAnsi="Arial" w:eastAsia="Arial" w:cs="Arial"/>
          <w:sz w:val="22"/>
          <w:szCs w:val="22"/>
        </w:rPr>
        <w:t xml:space="preserve"> Expected reduction in regulatory cost. A score of 5 means the use case directly prevents high-cost events (unplanned submissions, major deficiency rounds). A score of 1 means operational improvement only.</w:t>
      </w:r>
    </w:p>
    <w:p w14:paraId="43F0CF17">
      <w:pPr>
        <w:spacing w:before="80" w:after="80"/>
      </w:pPr>
    </w:p>
    <w:p w14:paraId="2E2D037E">
      <w:pPr>
        <w:spacing w:before="80" w:after="80"/>
      </w:pPr>
      <w:r>
        <w:rPr>
          <w:rFonts w:ascii="Arial" w:hAnsi="Arial" w:eastAsia="Arial" w:cs="Arial"/>
          <w:b/>
          <w:bCs/>
          <w:sz w:val="22"/>
          <w:szCs w:val="22"/>
        </w:rPr>
        <w:t>How it was estimated:</w:t>
      </w:r>
      <w:r>
        <w:rPr>
          <w:rFonts w:ascii="Arial" w:hAnsi="Arial" w:eastAsia="Arial" w:cs="Arial"/>
          <w:sz w:val="22"/>
          <w:szCs w:val="22"/>
        </w:rPr>
        <w:t xml:space="preserve"> Based on the probability that a missed finding triggers a regulatory reviewer deficiency, multiplied by the typical cost of one additional review round. Costs are comparable in EU and US regulatory processes. Sources: SaMD compliance cost industry benchmarks, EU MDR and FDA change control guidance, OpenRegulatory technical file template analysis.</w:t>
      </w:r>
    </w:p>
    <w:p w14:paraId="38EB33A0">
      <w:pPr>
        <w:spacing w:before="80" w:after="80"/>
      </w:pPr>
    </w:p>
    <w:p w14:paraId="74A6E0BA">
      <w:pPr>
        <w:spacing w:before="80" w:after="80"/>
      </w:pPr>
      <w:r>
        <w:rPr>
          <w:rFonts w:ascii="Arial" w:hAnsi="Arial" w:eastAsia="Arial" w:cs="Arial"/>
          <w:b/>
          <w:bCs/>
          <w:sz w:val="22"/>
          <w:szCs w:val="22"/>
        </w:rPr>
        <w:t>Key assumption:</w:t>
      </w:r>
      <w:r>
        <w:rPr>
          <w:rFonts w:ascii="Arial" w:hAnsi="Arial" w:eastAsia="Arial" w:cs="Arial"/>
          <w:sz w:val="22"/>
          <w:szCs w:val="22"/>
        </w:rPr>
        <w:t xml:space="preserve"> Baseline 20–40% probability of reviewer questions on a moderate change falls to 5–15% with systematic AI-assisted review. If your historical deficiency rate is below 20%, reduce all Risk Savings scores proportionally.</w:t>
      </w:r>
    </w:p>
    <w:p w14:paraId="45CF452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920"/>
      </w:tblGrid>
      <w:tr w14:paraId="75F9C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3ECF5EB9">
            <w:pPr>
              <w:jc w:val="left"/>
            </w:pPr>
            <w:r>
              <w:rPr>
                <w:rFonts w:ascii="Arial" w:hAnsi="Arial" w:eastAsia="Arial" w:cs="Arial"/>
                <w:b/>
                <w:bCs/>
                <w:color w:val="FFFFFF"/>
                <w:sz w:val="20"/>
                <w:szCs w:val="20"/>
              </w:rPr>
              <w:t>Score</w:t>
            </w:r>
          </w:p>
        </w:tc>
        <w:tc>
          <w:tcPr>
            <w:tcW w:w="79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260E17B2">
            <w:pPr>
              <w:jc w:val="left"/>
            </w:pPr>
            <w:r>
              <w:rPr>
                <w:rFonts w:ascii="Arial" w:hAnsi="Arial" w:eastAsia="Arial" w:cs="Arial"/>
                <w:b/>
                <w:bCs/>
                <w:color w:val="FFFFFF"/>
                <w:sz w:val="20"/>
                <w:szCs w:val="20"/>
              </w:rPr>
              <w:t>Meaning</w:t>
            </w:r>
          </w:p>
        </w:tc>
      </w:tr>
      <w:tr w14:paraId="5877A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908EB0B">
            <w:pPr>
              <w:jc w:val="left"/>
            </w:pPr>
            <w:r>
              <w:rPr>
                <w:rFonts w:ascii="Arial" w:hAnsi="Arial" w:eastAsia="Arial" w:cs="Arial"/>
                <w:b w:val="0"/>
                <w:bCs w:val="0"/>
                <w:color w:val="1A1A1A"/>
                <w:sz w:val="20"/>
                <w:szCs w:val="20"/>
              </w:rPr>
              <w:t>5</w:t>
            </w:r>
          </w:p>
        </w:tc>
        <w:tc>
          <w:tcPr>
            <w:tcW w:w="79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51AC0D8">
            <w:pPr>
              <w:jc w:val="left"/>
            </w:pPr>
            <w:r>
              <w:rPr>
                <w:rFonts w:ascii="Arial" w:hAnsi="Arial" w:eastAsia="Arial" w:cs="Arial"/>
                <w:b w:val="0"/>
                <w:bCs w:val="0"/>
                <w:color w:val="1A1A1A"/>
                <w:sz w:val="20"/>
                <w:szCs w:val="20"/>
              </w:rPr>
              <w:t>Directly prevents unplanned submissions or major deficiency rounds (15–80k€ per event)</w:t>
            </w:r>
          </w:p>
        </w:tc>
      </w:tr>
      <w:tr w14:paraId="5962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D53A4E9">
            <w:pPr>
              <w:jc w:val="left"/>
            </w:pPr>
            <w:r>
              <w:rPr>
                <w:rFonts w:ascii="Arial" w:hAnsi="Arial" w:eastAsia="Arial" w:cs="Arial"/>
                <w:b w:val="0"/>
                <w:bCs w:val="0"/>
                <w:color w:val="1A1A1A"/>
                <w:sz w:val="20"/>
                <w:szCs w:val="20"/>
              </w:rPr>
              <w:t>4</w:t>
            </w:r>
          </w:p>
        </w:tc>
        <w:tc>
          <w:tcPr>
            <w:tcW w:w="79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36838823">
            <w:pPr>
              <w:jc w:val="left"/>
            </w:pPr>
            <w:r>
              <w:rPr>
                <w:rFonts w:ascii="Arial" w:hAnsi="Arial" w:eastAsia="Arial" w:cs="Arial"/>
                <w:b w:val="0"/>
                <w:bCs w:val="0"/>
                <w:color w:val="1A1A1A"/>
                <w:sz w:val="20"/>
                <w:szCs w:val="20"/>
              </w:rPr>
              <w:t>Reduces deficiency probability significantly; prevents 5–15k€ rework per event</w:t>
            </w:r>
          </w:p>
        </w:tc>
      </w:tr>
      <w:tr w14:paraId="4C87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DBDA6D8">
            <w:pPr>
              <w:jc w:val="left"/>
            </w:pPr>
            <w:r>
              <w:rPr>
                <w:rFonts w:ascii="Arial" w:hAnsi="Arial" w:eastAsia="Arial" w:cs="Arial"/>
                <w:b w:val="0"/>
                <w:bCs w:val="0"/>
                <w:color w:val="1A1A1A"/>
                <w:sz w:val="20"/>
                <w:szCs w:val="20"/>
              </w:rPr>
              <w:t>3</w:t>
            </w:r>
          </w:p>
        </w:tc>
        <w:tc>
          <w:tcPr>
            <w:tcW w:w="79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CD5E157">
            <w:pPr>
              <w:jc w:val="left"/>
            </w:pPr>
            <w:r>
              <w:rPr>
                <w:rFonts w:ascii="Arial" w:hAnsi="Arial" w:eastAsia="Arial" w:cs="Arial"/>
                <w:b w:val="0"/>
                <w:bCs w:val="0"/>
                <w:color w:val="1A1A1A"/>
                <w:sz w:val="20"/>
                <w:szCs w:val="20"/>
              </w:rPr>
              <w:t>Reduces minor reviewer questions; prevents 1–5k€ rework per event</w:t>
            </w:r>
          </w:p>
        </w:tc>
      </w:tr>
      <w:tr w14:paraId="46F3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48C2832">
            <w:pPr>
              <w:jc w:val="left"/>
            </w:pPr>
            <w:r>
              <w:rPr>
                <w:rFonts w:ascii="Arial" w:hAnsi="Arial" w:eastAsia="Arial" w:cs="Arial"/>
                <w:b w:val="0"/>
                <w:bCs w:val="0"/>
                <w:color w:val="1A1A1A"/>
                <w:sz w:val="20"/>
                <w:szCs w:val="20"/>
              </w:rPr>
              <w:t>2</w:t>
            </w:r>
          </w:p>
        </w:tc>
        <w:tc>
          <w:tcPr>
            <w:tcW w:w="79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12B481A">
            <w:pPr>
              <w:jc w:val="left"/>
            </w:pPr>
            <w:r>
              <w:rPr>
                <w:rFonts w:ascii="Arial" w:hAnsi="Arial" w:eastAsia="Arial" w:cs="Arial"/>
                <w:b w:val="0"/>
                <w:bCs w:val="0"/>
                <w:color w:val="1A1A1A"/>
                <w:sz w:val="20"/>
                <w:szCs w:val="20"/>
              </w:rPr>
              <w:t>Improves traceability quality; indirect regulatory benefit</w:t>
            </w:r>
          </w:p>
        </w:tc>
      </w:tr>
      <w:tr w14:paraId="45F60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06FCFD4">
            <w:pPr>
              <w:jc w:val="left"/>
            </w:pPr>
            <w:r>
              <w:rPr>
                <w:rFonts w:ascii="Arial" w:hAnsi="Arial" w:eastAsia="Arial" w:cs="Arial"/>
                <w:b w:val="0"/>
                <w:bCs w:val="0"/>
                <w:color w:val="1A1A1A"/>
                <w:sz w:val="20"/>
                <w:szCs w:val="20"/>
              </w:rPr>
              <w:t>1</w:t>
            </w:r>
          </w:p>
        </w:tc>
        <w:tc>
          <w:tcPr>
            <w:tcW w:w="79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F71EB1B">
            <w:pPr>
              <w:jc w:val="left"/>
            </w:pPr>
            <w:r>
              <w:rPr>
                <w:rFonts w:ascii="Arial" w:hAnsi="Arial" w:eastAsia="Arial" w:cs="Arial"/>
                <w:b w:val="0"/>
                <w:bCs w:val="0"/>
                <w:color w:val="1A1A1A"/>
                <w:sz w:val="20"/>
                <w:szCs w:val="20"/>
              </w:rPr>
              <w:t>Operational efficiency only; no direct regulatory cost avoidance</w:t>
            </w:r>
          </w:p>
        </w:tc>
      </w:tr>
    </w:tbl>
    <w:p w14:paraId="298082DD">
      <w:pPr>
        <w:spacing w:before="80" w:after="80"/>
      </w:pPr>
    </w:p>
    <w:p w14:paraId="0F349D68">
      <w:pPr>
        <w:pStyle w:val="3"/>
        <w:spacing w:before="280" w:after="120"/>
      </w:pPr>
      <w:r>
        <w:rPr>
          <w:rFonts w:ascii="Arial" w:hAnsi="Arial" w:eastAsia="Arial" w:cs="Arial"/>
          <w:b/>
          <w:bCs/>
          <w:color w:val="2E75B6"/>
          <w:sz w:val="26"/>
          <w:szCs w:val="26"/>
        </w:rPr>
        <w:t>Impact (1–5)</w:t>
      </w:r>
    </w:p>
    <w:p w14:paraId="5DC4CFDE">
      <w:pPr>
        <w:spacing w:before="80" w:after="80"/>
      </w:pPr>
      <w:r>
        <w:rPr>
          <w:rFonts w:ascii="Arial" w:hAnsi="Arial" w:eastAsia="Arial" w:cs="Arial"/>
          <w:b/>
          <w:bCs/>
          <w:sz w:val="22"/>
          <w:szCs w:val="22"/>
        </w:rPr>
        <w:t>What it represents:</w:t>
      </w:r>
      <w:r>
        <w:rPr>
          <w:rFonts w:ascii="Arial" w:hAnsi="Arial" w:eastAsia="Arial" w:cs="Arial"/>
          <w:sz w:val="22"/>
          <w:szCs w:val="22"/>
        </w:rPr>
        <w:t xml:space="preserve"> Combined value of time saved per event and quality of findings output. Score of 5 = saves 8+ hours per event with actionable, well-cited findings. Score of 1 = minimal time saving or low output quality.</w:t>
      </w:r>
    </w:p>
    <w:p w14:paraId="216C9E98">
      <w:pPr>
        <w:spacing w:before="80" w:after="80"/>
      </w:pPr>
    </w:p>
    <w:p w14:paraId="1734FB94">
      <w:pPr>
        <w:spacing w:before="80" w:after="80"/>
      </w:pPr>
      <w:r>
        <w:rPr>
          <w:rFonts w:ascii="Arial" w:hAnsi="Arial" w:eastAsia="Arial" w:cs="Arial"/>
          <w:b/>
          <w:bCs/>
          <w:sz w:val="22"/>
          <w:szCs w:val="22"/>
        </w:rPr>
        <w:t>How it was estimated:</w:t>
      </w:r>
      <w:r>
        <w:rPr>
          <w:rFonts w:ascii="Arial" w:hAnsi="Arial" w:eastAsia="Arial" w:cs="Arial"/>
          <w:sz w:val="22"/>
          <w:szCs w:val="22"/>
        </w:rPr>
        <w:t xml:space="preserve"> Based on time-and-motion analysis of SaMD change control workflows (OpenRegulatory SOP template baseline: 8–43 hours per moderate change across 4–6 roles). Blended hourly rate: 130€ (loaded cost for senior regulatory, risk, and quality staff in Western European or comparable markets).</w:t>
      </w:r>
    </w:p>
    <w:p w14:paraId="0329101A">
      <w:pPr>
        <w:spacing w:before="80" w:after="80"/>
      </w:pPr>
    </w:p>
    <w:p w14:paraId="23290C3B">
      <w:pPr>
        <w:spacing w:before="80" w:after="80"/>
      </w:pPr>
      <w:r>
        <w:rPr>
          <w:rFonts w:ascii="Arial" w:hAnsi="Arial" w:eastAsia="Arial" w:cs="Arial"/>
          <w:b/>
          <w:bCs/>
          <w:sz w:val="22"/>
          <w:szCs w:val="22"/>
        </w:rPr>
        <w:t>Key assumption:</w:t>
      </w:r>
      <w:r>
        <w:rPr>
          <w:rFonts w:ascii="Arial" w:hAnsi="Arial" w:eastAsia="Arial" w:cs="Arial"/>
          <w:sz w:val="22"/>
          <w:szCs w:val="22"/>
        </w:rPr>
        <w:t xml:space="preserve"> The agent achieves 30–60% automation of manual triage and document-update identification.</w:t>
      </w:r>
    </w:p>
    <w:p w14:paraId="19541E40">
      <w:pPr>
        <w:spacing w:before="80" w:after="80"/>
      </w:pPr>
    </w:p>
    <w:p w14:paraId="3C858BDB">
      <w:pPr>
        <w:pStyle w:val="3"/>
        <w:spacing w:before="280" w:after="120"/>
      </w:pPr>
      <w:r>
        <w:rPr>
          <w:rFonts w:ascii="Arial" w:hAnsi="Arial" w:eastAsia="Arial" w:cs="Arial"/>
          <w:b/>
          <w:bCs/>
          <w:color w:val="2E75B6"/>
          <w:sz w:val="26"/>
          <w:szCs w:val="26"/>
        </w:rPr>
        <w:t>Confidence (0.5–1.0)</w:t>
      </w:r>
    </w:p>
    <w:p w14:paraId="51DA8E82">
      <w:pPr>
        <w:spacing w:before="80" w:after="80"/>
      </w:pPr>
      <w:r>
        <w:rPr>
          <w:rFonts w:ascii="Arial" w:hAnsi="Arial" w:eastAsia="Arial" w:cs="Arial"/>
          <w:b/>
          <w:bCs/>
          <w:sz w:val="22"/>
          <w:szCs w:val="22"/>
        </w:rPr>
        <w:t>What it represents:</w:t>
      </w:r>
      <w:r>
        <w:rPr>
          <w:rFonts w:ascii="Arial" w:hAnsi="Arial" w:eastAsia="Arial" w:cs="Arial"/>
          <w:sz w:val="22"/>
          <w:szCs w:val="22"/>
        </w:rPr>
        <w:t xml:space="preserve"> Certainty that benefit estimates will materialise. Score of 1.0 = well-understood use case, reference data exists, technical approach proven. Score of 0.5 = significant unknowns remain.</w:t>
      </w:r>
    </w:p>
    <w:p w14:paraId="765F600A">
      <w:pPr>
        <w:spacing w:before="80" w:after="80"/>
      </w:pPr>
    </w:p>
    <w:p w14:paraId="2D2E111F">
      <w:pPr>
        <w:spacing w:before="80" w:after="80"/>
      </w:pPr>
      <w:r>
        <w:rPr>
          <w:rFonts w:ascii="Arial" w:hAnsi="Arial" w:eastAsia="Arial" w:cs="Arial"/>
          <w:b/>
          <w:bCs/>
          <w:sz w:val="22"/>
          <w:szCs w:val="22"/>
        </w:rPr>
        <w:t>How it was estimated:</w:t>
      </w:r>
      <w:r>
        <w:rPr>
          <w:rFonts w:ascii="Arial" w:hAnsi="Arial" w:eastAsia="Arial" w:cs="Arial"/>
          <w:sz w:val="22"/>
          <w:szCs w:val="22"/>
        </w:rPr>
        <w:t xml:space="preserve"> Three factors: (a) maturity of reference standards for this domain, (b) availability of structured test data, (c) degree to which the technical approach has been validated.</w:t>
      </w:r>
    </w:p>
    <w:p w14:paraId="4017EC09">
      <w:pPr>
        <w:spacing w:before="80" w:after="80"/>
      </w:pPr>
    </w:p>
    <w:p w14:paraId="3A521445">
      <w:pPr>
        <w:spacing w:before="80" w:after="80"/>
      </w:pPr>
      <w:r>
        <w:rPr>
          <w:rFonts w:ascii="Arial" w:hAnsi="Arial" w:eastAsia="Arial" w:cs="Arial"/>
          <w:b/>
          <w:bCs/>
          <w:sz w:val="22"/>
          <w:szCs w:val="22"/>
        </w:rPr>
        <w:t>Key assumption:</w:t>
      </w:r>
      <w:r>
        <w:rPr>
          <w:rFonts w:ascii="Arial" w:hAnsi="Arial" w:eastAsia="Arial" w:cs="Arial"/>
          <w:sz w:val="22"/>
          <w:szCs w:val="22"/>
        </w:rPr>
        <w:t xml:space="preserve"> Confidence scores should be updated after the initial release using actual finding acceptance rates as calibration data.</w:t>
      </w:r>
    </w:p>
    <w:p w14:paraId="46B0557B">
      <w:pPr>
        <w:spacing w:before="80" w:after="80"/>
      </w:pPr>
    </w:p>
    <w:p w14:paraId="7550176B">
      <w:pPr>
        <w:pStyle w:val="3"/>
        <w:spacing w:before="280" w:after="120"/>
      </w:pPr>
      <w:r>
        <w:rPr>
          <w:rFonts w:ascii="Arial" w:hAnsi="Arial" w:eastAsia="Arial" w:cs="Arial"/>
          <w:b/>
          <w:bCs/>
          <w:color w:val="2E75B6"/>
          <w:sz w:val="26"/>
          <w:szCs w:val="26"/>
        </w:rPr>
        <w:t>Effort (1–5)</w:t>
      </w:r>
    </w:p>
    <w:p w14:paraId="304CC394">
      <w:pPr>
        <w:spacing w:before="80" w:after="80"/>
      </w:pPr>
      <w:r>
        <w:rPr>
          <w:rFonts w:ascii="Arial" w:hAnsi="Arial" w:eastAsia="Arial" w:cs="Arial"/>
          <w:b/>
          <w:bCs/>
          <w:sz w:val="22"/>
          <w:szCs w:val="22"/>
        </w:rPr>
        <w:t>What it represents:</w:t>
      </w:r>
      <w:r>
        <w:rPr>
          <w:rFonts w:ascii="Arial" w:hAnsi="Arial" w:eastAsia="Arial" w:cs="Arial"/>
          <w:sz w:val="22"/>
          <w:szCs w:val="22"/>
        </w:rPr>
        <w:t xml:space="preserve"> Build complexity from the AI Architect’s perspective. Score of 1 = reuses existing infrastructure, implementable quickly. Score of 5 = significant new architecture required.</w:t>
      </w:r>
    </w:p>
    <w:p w14:paraId="7EA03D77">
      <w:pPr>
        <w:spacing w:before="80" w:after="80"/>
      </w:pPr>
    </w:p>
    <w:p w14:paraId="1576A493">
      <w:pPr>
        <w:spacing w:before="80" w:after="80"/>
      </w:pPr>
      <w:r>
        <w:rPr>
          <w:rFonts w:ascii="Arial" w:hAnsi="Arial" w:eastAsia="Arial" w:cs="Arial"/>
          <w:b/>
          <w:bCs/>
          <w:sz w:val="22"/>
          <w:szCs w:val="22"/>
        </w:rPr>
        <w:t>How it was estimated:</w:t>
      </w:r>
      <w:r>
        <w:rPr>
          <w:rFonts w:ascii="Arial" w:hAnsi="Arial" w:eastAsia="Arial" w:cs="Arial"/>
          <w:sz w:val="22"/>
          <w:szCs w:val="22"/>
        </w:rPr>
        <w:t xml:space="preserve"> Based on technical dependency assessment, reference corpus availability, and output format complexity.</w:t>
      </w:r>
    </w:p>
    <w:p w14:paraId="157EEF98">
      <w:pPr>
        <w:spacing w:before="80" w:after="80"/>
      </w:pPr>
    </w:p>
    <w:p w14:paraId="687B6E49">
      <w:pPr>
        <w:spacing w:before="80" w:after="80"/>
      </w:pPr>
      <w:r>
        <w:rPr>
          <w:rFonts w:ascii="Arial" w:hAnsi="Arial" w:eastAsia="Arial" w:cs="Arial"/>
          <w:b/>
          <w:bCs/>
          <w:sz w:val="22"/>
          <w:szCs w:val="22"/>
        </w:rPr>
        <w:t>Key assumption:</w:t>
      </w:r>
      <w:r>
        <w:rPr>
          <w:rFonts w:ascii="Arial" w:hAnsi="Arial" w:eastAsia="Arial" w:cs="Arial"/>
          <w:sz w:val="22"/>
          <w:szCs w:val="22"/>
        </w:rPr>
        <w:t xml:space="preserve"> Effort scores assume a single AI Architect working part-time. A dedicated full-time Architect reduces effective effort by approximately one point across all use cases.</w:t>
      </w:r>
    </w:p>
    <w:p w14:paraId="28F1C5BA">
      <w:r>
        <w:br w:type="page"/>
      </w:r>
    </w:p>
    <w:p w14:paraId="682B3848">
      <w:pPr>
        <w:pStyle w:val="2"/>
        <w:pBdr>
          <w:bottom w:val="single" w:color="2E75B6" w:sz="8" w:space="4"/>
        </w:pBdr>
        <w:spacing w:before="400" w:after="160"/>
      </w:pPr>
      <w:r>
        <w:rPr>
          <w:rFonts w:ascii="Arial" w:hAnsi="Arial" w:eastAsia="Arial" w:cs="Arial"/>
          <w:b/>
          <w:bCs/>
          <w:color w:val="1F4E79"/>
          <w:sz w:val="32"/>
          <w:szCs w:val="32"/>
        </w:rPr>
        <w:t>5. Use case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B42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2E75B6"/>
            <w:tcMar>
              <w:top w:w="60" w:type="dxa"/>
              <w:left w:w="160" w:type="dxa"/>
              <w:bottom w:w="60" w:type="dxa"/>
              <w:right w:w="160" w:type="dxa"/>
            </w:tcMar>
          </w:tcPr>
          <w:p w14:paraId="178EDFD1">
            <w:r>
              <w:rPr>
                <w:rFonts w:ascii="Arial" w:hAnsi="Arial" w:eastAsia="Arial" w:cs="Arial"/>
                <w:b/>
                <w:bCs/>
                <w:color w:val="FFFFFF"/>
                <w:sz w:val="18"/>
                <w:szCs w:val="18"/>
              </w:rPr>
              <w:t>Phase structure</w:t>
            </w:r>
          </w:p>
        </w:tc>
      </w:tr>
      <w:tr w14:paraId="4473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0"/>
            <w:tcMar>
              <w:top w:w="100" w:type="dxa"/>
              <w:left w:w="160" w:type="dxa"/>
              <w:bottom w:w="100" w:type="dxa"/>
              <w:right w:w="160" w:type="dxa"/>
            </w:tcMar>
          </w:tcPr>
          <w:p w14:paraId="12787AC5">
            <w:r>
              <w:rPr>
                <w:rFonts w:ascii="Arial" w:hAnsi="Arial" w:eastAsia="Arial" w:cs="Arial"/>
                <w:color w:val="1A1A1A"/>
                <w:sz w:val="20"/>
                <w:szCs w:val="20"/>
              </w:rPr>
              <w:t>Each use case includes separate ROI estimates for Phase 1 (initial development and first submission) and Phase 2 (ongoing maintenance). Teams deploying the agent during initial development benefit from both phases throughout the roadmap.</w:t>
            </w:r>
          </w:p>
        </w:tc>
      </w:tr>
    </w:tbl>
    <w:p w14:paraId="78D8E91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AA9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2E75B6"/>
            <w:tcMar>
              <w:top w:w="60" w:type="dxa"/>
              <w:left w:w="160" w:type="dxa"/>
              <w:bottom w:w="60" w:type="dxa"/>
              <w:right w:w="160" w:type="dxa"/>
            </w:tcMar>
          </w:tcPr>
          <w:p w14:paraId="53DD381F">
            <w:r>
              <w:rPr>
                <w:rFonts w:ascii="Arial" w:hAnsi="Arial" w:eastAsia="Arial" w:cs="Arial"/>
                <w:b/>
                <w:bCs/>
                <w:color w:val="FFFFFF"/>
                <w:sz w:val="18"/>
                <w:szCs w:val="18"/>
              </w:rPr>
              <w:t>Technology neutrality</w:t>
            </w:r>
          </w:p>
        </w:tc>
      </w:tr>
      <w:tr w14:paraId="5059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0"/>
            <w:tcMar>
              <w:top w:w="100" w:type="dxa"/>
              <w:left w:w="160" w:type="dxa"/>
              <w:bottom w:w="100" w:type="dxa"/>
              <w:right w:w="160" w:type="dxa"/>
            </w:tcMar>
          </w:tcPr>
          <w:p w14:paraId="7E4E08F3">
            <w:r>
              <w:rPr>
                <w:rFonts w:ascii="Arial" w:hAnsi="Arial" w:eastAsia="Arial" w:cs="Arial"/>
                <w:color w:val="1A1A1A"/>
                <w:sz w:val="20"/>
                <w:szCs w:val="20"/>
              </w:rPr>
              <w:t>Trigger mechanisms described below are intentionally technology-agnostic. 'Change event,' 'workflow trigger,' and 'documentation platform' refer to whatever version control, document management, or workflow system the team uses. Illustrative examples are provided but no specific technology is required.</w:t>
            </w:r>
          </w:p>
        </w:tc>
      </w:tr>
    </w:tbl>
    <w:p w14:paraId="7563B0C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2160"/>
      </w:tblGrid>
      <w:tr w14:paraId="6B86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nil"/>
              <w:left w:val="nil"/>
              <w:bottom w:val="nil"/>
              <w:right w:val="nil"/>
            </w:tcBorders>
            <w:shd w:val="clear" w:color="auto" w:fill="1F4E79"/>
            <w:tcMar>
              <w:top w:w="80" w:type="dxa"/>
              <w:left w:w="120" w:type="dxa"/>
              <w:bottom w:w="80" w:type="dxa"/>
              <w:right w:w="120" w:type="dxa"/>
            </w:tcMar>
          </w:tcPr>
          <w:p w14:paraId="70942BF4">
            <w:r>
              <w:rPr>
                <w:rFonts w:ascii="Arial" w:hAnsi="Arial" w:eastAsia="Arial" w:cs="Arial"/>
                <w:b/>
                <w:bCs/>
                <w:color w:val="FFFFFF"/>
                <w:sz w:val="24"/>
                <w:szCs w:val="24"/>
              </w:rPr>
              <w:t>UC1 — Continuous SRS monitoring and change classification</w:t>
            </w:r>
          </w:p>
        </w:tc>
        <w:tc>
          <w:tcPr>
            <w:tcW w:w="2160" w:type="dxa"/>
            <w:tcBorders>
              <w:top w:val="nil"/>
              <w:left w:val="nil"/>
              <w:bottom w:val="nil"/>
              <w:right w:val="nil"/>
            </w:tcBorders>
            <w:shd w:val="clear" w:color="auto" w:fill="185FA5"/>
            <w:tcMar>
              <w:top w:w="80" w:type="dxa"/>
              <w:left w:w="120" w:type="dxa"/>
              <w:bottom w:w="80" w:type="dxa"/>
              <w:right w:w="120" w:type="dxa"/>
            </w:tcMar>
            <w:vAlign w:val="center"/>
          </w:tcPr>
          <w:p w14:paraId="45CF48DD">
            <w:pPr>
              <w:jc w:val="center"/>
            </w:pPr>
            <w:r>
              <w:rPr>
                <w:rFonts w:ascii="Arial" w:hAnsi="Arial" w:eastAsia="Arial" w:cs="Arial"/>
                <w:b/>
                <w:bCs/>
                <w:color w:val="FFFFFF"/>
                <w:sz w:val="20"/>
                <w:szCs w:val="20"/>
              </w:rPr>
              <w:t>Initial release</w:t>
            </w:r>
          </w:p>
        </w:tc>
      </w:tr>
    </w:tbl>
    <w:p w14:paraId="17091C69">
      <w:pPr>
        <w:spacing w:before="80" w:after="80"/>
      </w:pPr>
    </w:p>
    <w:p w14:paraId="555D25D7">
      <w:pPr>
        <w:spacing w:before="80" w:after="80"/>
      </w:pPr>
      <w:r>
        <w:rPr>
          <w:rFonts w:ascii="Arial" w:hAnsi="Arial" w:eastAsia="Arial" w:cs="Arial"/>
          <w:b/>
          <w:bCs/>
          <w:sz w:val="22"/>
          <w:szCs w:val="22"/>
        </w:rPr>
        <w:t>One-line description:</w:t>
      </w:r>
      <w:r>
        <w:rPr>
          <w:rFonts w:ascii="Arial" w:hAnsi="Arial" w:eastAsia="Arial" w:cs="Arial"/>
          <w:sz w:val="22"/>
          <w:szCs w:val="22"/>
        </w:rPr>
        <w:t xml:space="preserve"> Detect every SRS change event, classify the change type, and route findings to the appropriate document owner.</w:t>
      </w:r>
    </w:p>
    <w:p w14:paraId="77A9F342">
      <w:pPr>
        <w:spacing w:before="80" w:after="80"/>
      </w:pPr>
    </w:p>
    <w:p w14:paraId="16AF98DB">
      <w:pPr>
        <w:spacing w:before="80" w:after="80"/>
      </w:pPr>
      <w:r>
        <w:rPr>
          <w:rFonts w:ascii="Arial" w:hAnsi="Arial" w:eastAsia="Arial" w:cs="Arial"/>
          <w:b/>
          <w:bCs/>
          <w:sz w:val="22"/>
          <w:szCs w:val="22"/>
        </w:rPr>
        <w:t>What triggers it:</w:t>
      </w:r>
      <w:r>
        <w:rPr>
          <w:rFonts w:ascii="Arial" w:hAnsi="Arial" w:eastAsia="Arial" w:cs="Arial"/>
          <w:sz w:val="22"/>
          <w:szCs w:val="22"/>
        </w:rPr>
        <w:t xml:space="preserve"> A change event on any SRS document — a new version submitted for review, a modification to an approved requirement, or a status transition (draft → review → approved). The agent monitors the document management platform for these events and initiates analysis automatically.</w:t>
      </w:r>
    </w:p>
    <w:p w14:paraId="4499FCB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5BF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2E75B6"/>
            <w:tcMar>
              <w:top w:w="60" w:type="dxa"/>
              <w:left w:w="160" w:type="dxa"/>
              <w:bottom w:w="60" w:type="dxa"/>
              <w:right w:w="160" w:type="dxa"/>
            </w:tcMar>
          </w:tcPr>
          <w:p w14:paraId="1F00495D">
            <w:r>
              <w:rPr>
                <w:rFonts w:ascii="Arial" w:hAnsi="Arial" w:eastAsia="Arial" w:cs="Arial"/>
                <w:b/>
                <w:bCs/>
                <w:color w:val="FFFFFF"/>
                <w:sz w:val="18"/>
                <w:szCs w:val="18"/>
              </w:rPr>
              <w:t>Illustrative example (not prescriptive)</w:t>
            </w:r>
          </w:p>
        </w:tc>
      </w:tr>
      <w:tr w14:paraId="20C3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0"/>
            <w:tcMar>
              <w:top w:w="100" w:type="dxa"/>
              <w:left w:w="160" w:type="dxa"/>
              <w:bottom w:w="100" w:type="dxa"/>
              <w:right w:w="160" w:type="dxa"/>
            </w:tcMar>
          </w:tcPr>
          <w:p w14:paraId="5A0619AB">
            <w:r>
              <w:rPr>
                <w:rFonts w:ascii="Arial" w:hAnsi="Arial" w:eastAsia="Arial" w:cs="Arial"/>
                <w:color w:val="1A1A1A"/>
                <w:sz w:val="20"/>
                <w:szCs w:val="20"/>
              </w:rPr>
              <w:t>In a version-controlled workflow, the trigger might be a new review request on an SRS file. In a document management system, the trigger might be a workflow state change. In a manual process, the trigger might be a submitted change request form. The specific mechanism depends on the team’s tooling.</w:t>
            </w:r>
          </w:p>
        </w:tc>
      </w:tr>
    </w:tbl>
    <w:p w14:paraId="626DC9DD">
      <w:pPr>
        <w:spacing w:before="80" w:after="80"/>
      </w:pPr>
    </w:p>
    <w:p w14:paraId="5A3999F0">
      <w:pPr>
        <w:spacing w:before="80" w:after="80"/>
      </w:pPr>
      <w:r>
        <w:rPr>
          <w:rFonts w:ascii="Arial" w:hAnsi="Arial" w:eastAsia="Arial" w:cs="Arial"/>
          <w:b/>
          <w:bCs/>
          <w:sz w:val="22"/>
          <w:szCs w:val="22"/>
        </w:rPr>
        <w:t>Who receives the output:</w:t>
      </w:r>
      <w:r>
        <w:rPr>
          <w:rFonts w:ascii="Arial" w:hAnsi="Arial" w:eastAsia="Arial" w:cs="Arial"/>
          <w:sz w:val="22"/>
          <w:szCs w:val="22"/>
        </w:rPr>
        <w:t xml:space="preserve"> The SRS owner (classified change summary) and relevant document owners (risk engineer, UX/human factors specialist, cybersecurity engineer, clinical affairs) based on detected change types.</w:t>
      </w:r>
    </w:p>
    <w:p w14:paraId="5A6CE2EB">
      <w:pPr>
        <w:spacing w:before="80" w:after="80"/>
      </w:pPr>
    </w:p>
    <w:p w14:paraId="5818A791">
      <w:pPr>
        <w:pStyle w:val="4"/>
        <w:spacing w:before="200" w:after="100"/>
      </w:pPr>
      <w:r>
        <w:rPr>
          <w:rFonts w:ascii="Arial" w:hAnsi="Arial" w:eastAsia="Arial" w:cs="Arial"/>
          <w:b/>
          <w:bCs/>
          <w:color w:val="333333"/>
          <w:sz w:val="22"/>
          <w:szCs w:val="22"/>
        </w:rPr>
        <w:t>RICE scores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1800"/>
        <w:gridCol w:w="2160"/>
      </w:tblGrid>
      <w:tr w14:paraId="6B723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3CAC3A8D">
            <w:pPr>
              <w:jc w:val="left"/>
            </w:pPr>
            <w:r>
              <w:rPr>
                <w:rFonts w:ascii="Arial" w:hAnsi="Arial" w:eastAsia="Arial" w:cs="Arial"/>
                <w:b/>
                <w:bCs/>
                <w:color w:val="FFFFFF"/>
                <w:sz w:val="20"/>
                <w:szCs w:val="20"/>
              </w:rPr>
              <w:t>Risk savings</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6A954AA5">
            <w:pPr>
              <w:jc w:val="left"/>
            </w:pPr>
            <w:r>
              <w:rPr>
                <w:rFonts w:ascii="Arial" w:hAnsi="Arial" w:eastAsia="Arial" w:cs="Arial"/>
                <w:b/>
                <w:bCs/>
                <w:color w:val="FFFFFF"/>
                <w:sz w:val="20"/>
                <w:szCs w:val="20"/>
              </w:rPr>
              <w:t>Impact</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3CBB0543">
            <w:pPr>
              <w:jc w:val="left"/>
            </w:pPr>
            <w:r>
              <w:rPr>
                <w:rFonts w:ascii="Arial" w:hAnsi="Arial" w:eastAsia="Arial" w:cs="Arial"/>
                <w:b/>
                <w:bCs/>
                <w:color w:val="FFFFFF"/>
                <w:sz w:val="20"/>
                <w:szCs w:val="20"/>
              </w:rPr>
              <w:t>Confidence</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14327C83">
            <w:pPr>
              <w:jc w:val="left"/>
            </w:pPr>
            <w:r>
              <w:rPr>
                <w:rFonts w:ascii="Arial" w:hAnsi="Arial" w:eastAsia="Arial" w:cs="Arial"/>
                <w:b/>
                <w:bCs/>
                <w:color w:val="FFFFFF"/>
                <w:sz w:val="20"/>
                <w:szCs w:val="20"/>
              </w:rPr>
              <w:t>Effort</w:t>
            </w:r>
          </w:p>
        </w:tc>
        <w:tc>
          <w:tcPr>
            <w:tcW w:w="2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422CAF6B">
            <w:pPr>
              <w:jc w:val="left"/>
            </w:pPr>
            <w:r>
              <w:rPr>
                <w:rFonts w:ascii="Arial" w:hAnsi="Arial" w:eastAsia="Arial" w:cs="Arial"/>
                <w:b/>
                <w:bCs/>
                <w:color w:val="FFFFFF"/>
                <w:sz w:val="20"/>
                <w:szCs w:val="20"/>
              </w:rPr>
              <w:t>RICE score</w:t>
            </w:r>
          </w:p>
        </w:tc>
      </w:tr>
      <w:tr w14:paraId="3CDB8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1630435">
            <w:pPr>
              <w:jc w:val="left"/>
            </w:pPr>
            <w:r>
              <w:rPr>
                <w:rFonts w:ascii="Arial" w:hAnsi="Arial" w:eastAsia="Arial" w:cs="Arial"/>
                <w:b w:val="0"/>
                <w:bCs w:val="0"/>
                <w:color w:val="1A1A1A"/>
                <w:sz w:val="20"/>
                <w:szCs w:val="20"/>
              </w:rPr>
              <w:t>4/5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47C45C5">
            <w:pPr>
              <w:jc w:val="left"/>
            </w:pPr>
            <w:r>
              <w:rPr>
                <w:rFonts w:ascii="Arial" w:hAnsi="Arial" w:eastAsia="Arial" w:cs="Arial"/>
                <w:b w:val="0"/>
                <w:bCs w:val="0"/>
                <w:color w:val="1A1A1A"/>
                <w:sz w:val="20"/>
                <w:szCs w:val="20"/>
              </w:rPr>
              <w:t>4/5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3648A7B">
            <w:pPr>
              <w:jc w:val="left"/>
            </w:pPr>
            <w:r>
              <w:rPr>
                <w:rFonts w:ascii="Arial" w:hAnsi="Arial" w:eastAsia="Arial" w:cs="Arial"/>
                <w:b w:val="0"/>
                <w:bCs w:val="0"/>
                <w:color w:val="1A1A1A"/>
                <w:sz w:val="20"/>
                <w:szCs w:val="20"/>
              </w:rPr>
              <w:t>0.9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E2E9E32">
            <w:pPr>
              <w:jc w:val="left"/>
            </w:pPr>
            <w:r>
              <w:rPr>
                <w:rFonts w:ascii="Arial" w:hAnsi="Arial" w:eastAsia="Arial" w:cs="Arial"/>
                <w:b w:val="0"/>
                <w:bCs w:val="0"/>
                <w:color w:val="1A1A1A"/>
                <w:sz w:val="20"/>
                <w:szCs w:val="20"/>
              </w:rPr>
              <w:t>2/5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1FA342D">
            <w:pPr>
              <w:jc w:val="left"/>
            </w:pPr>
            <w:r>
              <w:rPr>
                <w:rFonts w:ascii="Arial" w:hAnsi="Arial" w:eastAsia="Arial" w:cs="Arial"/>
                <w:b w:val="0"/>
                <w:bCs w:val="0"/>
                <w:color w:val="1A1A1A"/>
                <w:sz w:val="20"/>
                <w:szCs w:val="20"/>
              </w:rPr>
              <w:t>72</w:t>
            </w:r>
          </w:p>
        </w:tc>
      </w:tr>
    </w:tbl>
    <w:p w14:paraId="6838736E">
      <w:pPr>
        <w:spacing w:before="80" w:after="80"/>
      </w:pPr>
    </w:p>
    <w:p w14:paraId="3BDBB422">
      <w:pPr>
        <w:pStyle w:val="4"/>
        <w:spacing w:before="200" w:after="100"/>
      </w:pPr>
      <w:r>
        <w:rPr>
          <w:rFonts w:ascii="Arial" w:hAnsi="Arial" w:eastAsia="Arial" w:cs="Arial"/>
          <w:b/>
          <w:bCs/>
          <w:color w:val="333333"/>
          <w:sz w:val="22"/>
          <w:szCs w:val="22"/>
        </w:rPr>
        <w:t>Benefit breakdown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05F3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0D6E6E"/>
            <w:tcMar>
              <w:top w:w="80" w:type="dxa"/>
              <w:left w:w="120" w:type="dxa"/>
              <w:bottom w:w="80" w:type="dxa"/>
              <w:right w:w="120" w:type="dxa"/>
            </w:tcMar>
            <w:vAlign w:val="top"/>
          </w:tcPr>
          <w:p w14:paraId="76CBCE2B">
            <w:pPr>
              <w:jc w:val="left"/>
            </w:pPr>
            <w:r>
              <w:rPr>
                <w:rFonts w:ascii="Arial" w:hAnsi="Arial" w:eastAsia="Arial" w:cs="Arial"/>
                <w:b/>
                <w:bCs/>
                <w:color w:val="FFFFFF"/>
                <w:sz w:val="20"/>
                <w:szCs w:val="20"/>
              </w:rPr>
              <w:t>Phase 1 — Initial development</w:t>
            </w:r>
          </w:p>
        </w:tc>
        <w:tc>
          <w:tcPr>
            <w:tcW w:w="6240" w:type="dxa"/>
            <w:tcBorders>
              <w:top w:val="single" w:color="CCCCCC" w:sz="0" w:space="0"/>
              <w:left w:val="single" w:color="CCCCCC" w:sz="0" w:space="0"/>
              <w:bottom w:val="single" w:color="CCCCCC" w:sz="0" w:space="0"/>
              <w:right w:val="single" w:color="CCCCCC" w:sz="0" w:space="0"/>
            </w:tcBorders>
            <w:shd w:val="clear" w:color="auto" w:fill="0D6E6E"/>
            <w:tcMar>
              <w:top w:w="80" w:type="dxa"/>
              <w:left w:w="120" w:type="dxa"/>
              <w:bottom w:w="80" w:type="dxa"/>
              <w:right w:w="120" w:type="dxa"/>
            </w:tcMar>
            <w:vAlign w:val="top"/>
          </w:tcPr>
          <w:p w14:paraId="709A4781">
            <w:pPr>
              <w:jc w:val="left"/>
            </w:pPr>
          </w:p>
        </w:tc>
      </w:tr>
      <w:tr w14:paraId="2C168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427B55A">
            <w:pPr>
              <w:jc w:val="left"/>
            </w:pPr>
            <w:r>
              <w:rPr>
                <w:rFonts w:ascii="Arial" w:hAnsi="Arial" w:eastAsia="Arial" w:cs="Arial"/>
                <w:b w:val="0"/>
                <w:bCs w:val="0"/>
                <w:color w:val="1A1A1A"/>
                <w:sz w:val="20"/>
                <w:szCs w:val="20"/>
              </w:rPr>
              <w:t>Typical events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ECD9A81">
            <w:pPr>
              <w:jc w:val="left"/>
            </w:pPr>
            <w:r>
              <w:rPr>
                <w:rFonts w:ascii="Arial" w:hAnsi="Arial" w:eastAsia="Arial" w:cs="Arial"/>
                <w:b w:val="0"/>
                <w:bCs w:val="0"/>
                <w:color w:val="1A1A1A"/>
                <w:sz w:val="20"/>
                <w:szCs w:val="20"/>
              </w:rPr>
              <w:t>30–80 SRS creation/update events during initial development</w:t>
            </w:r>
          </w:p>
        </w:tc>
      </w:tr>
      <w:tr w14:paraId="40CD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A49C510">
            <w:pPr>
              <w:jc w:val="left"/>
            </w:pPr>
            <w:r>
              <w:rPr>
                <w:rFonts w:ascii="Arial" w:hAnsi="Arial" w:eastAsia="Arial" w:cs="Arial"/>
                <w:b w:val="0"/>
                <w:bCs w:val="0"/>
                <w:color w:val="1A1A1A"/>
                <w:sz w:val="20"/>
                <w:szCs w:val="20"/>
              </w:rPr>
              <w:t>Time saved per event</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14941D7">
            <w:pPr>
              <w:jc w:val="left"/>
            </w:pPr>
            <w:r>
              <w:rPr>
                <w:rFonts w:ascii="Arial" w:hAnsi="Arial" w:eastAsia="Arial" w:cs="Arial"/>
                <w:b w:val="0"/>
                <w:bCs w:val="0"/>
                <w:color w:val="1A1A1A"/>
                <w:sz w:val="20"/>
                <w:szCs w:val="20"/>
              </w:rPr>
              <w:t>0.5–2 hours of manual classification and routing</w:t>
            </w:r>
          </w:p>
        </w:tc>
      </w:tr>
      <w:tr w14:paraId="131D0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AFC57D4">
            <w:pPr>
              <w:jc w:val="left"/>
            </w:pPr>
            <w:r>
              <w:rPr>
                <w:rFonts w:ascii="Arial" w:hAnsi="Arial" w:eastAsia="Arial" w:cs="Arial"/>
                <w:b w:val="0"/>
                <w:bCs w:val="0"/>
                <w:color w:val="1A1A1A"/>
                <w:sz w:val="20"/>
                <w:szCs w:val="20"/>
              </w:rPr>
              <w:t>Total time saving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BC11AD8">
            <w:pPr>
              <w:jc w:val="left"/>
            </w:pPr>
            <w:r>
              <w:rPr>
                <w:rFonts w:ascii="Arial" w:hAnsi="Arial" w:eastAsia="Arial" w:cs="Arial"/>
                <w:b w:val="0"/>
                <w:bCs w:val="0"/>
                <w:color w:val="1A1A1A"/>
                <w:sz w:val="20"/>
                <w:szCs w:val="20"/>
              </w:rPr>
              <w:t>15–160 hours = 2,000–20,800€</w:t>
            </w:r>
          </w:p>
        </w:tc>
      </w:tr>
      <w:tr w14:paraId="1D23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31A11427">
            <w:pPr>
              <w:jc w:val="left"/>
            </w:pPr>
            <w:r>
              <w:rPr>
                <w:rFonts w:ascii="Arial" w:hAnsi="Arial" w:eastAsia="Arial" w:cs="Arial"/>
                <w:b w:val="0"/>
                <w:bCs w:val="0"/>
                <w:color w:val="1A1A1A"/>
                <w:sz w:val="20"/>
                <w:szCs w:val="20"/>
              </w:rPr>
              <w:t>Regulatory cost avoided</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8D0854A">
            <w:pPr>
              <w:jc w:val="left"/>
            </w:pPr>
            <w:r>
              <w:rPr>
                <w:rFonts w:ascii="Arial" w:hAnsi="Arial" w:eastAsia="Arial" w:cs="Arial"/>
                <w:b w:val="0"/>
                <w:bCs w:val="0"/>
                <w:color w:val="1A1A1A"/>
                <w:sz w:val="20"/>
                <w:szCs w:val="20"/>
              </w:rPr>
              <w:t>5–15k€ (systematic classification reduces gaps reaching first submission)</w:t>
            </w:r>
          </w:p>
        </w:tc>
      </w:tr>
    </w:tbl>
    <w:p w14:paraId="21540A3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02E2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7D34CB11">
            <w:pPr>
              <w:jc w:val="left"/>
            </w:pPr>
            <w:r>
              <w:rPr>
                <w:rFonts w:ascii="Arial" w:hAnsi="Arial" w:eastAsia="Arial" w:cs="Arial"/>
                <w:b/>
                <w:bCs/>
                <w:color w:val="FFFFFF"/>
                <w:sz w:val="20"/>
                <w:szCs w:val="20"/>
              </w:rPr>
              <w:t>Phase 2 — Ongoing maintenance</w:t>
            </w:r>
          </w:p>
        </w:tc>
        <w:tc>
          <w:tcPr>
            <w:tcW w:w="62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2825E836">
            <w:pPr>
              <w:jc w:val="left"/>
            </w:pPr>
          </w:p>
        </w:tc>
      </w:tr>
      <w:tr w14:paraId="08C8D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39F42DE">
            <w:pPr>
              <w:jc w:val="left"/>
            </w:pPr>
            <w:r>
              <w:rPr>
                <w:rFonts w:ascii="Arial" w:hAnsi="Arial" w:eastAsia="Arial" w:cs="Arial"/>
                <w:b w:val="0"/>
                <w:bCs w:val="0"/>
                <w:color w:val="1A1A1A"/>
                <w:sz w:val="20"/>
                <w:szCs w:val="20"/>
              </w:rPr>
              <w:t>Annual events per product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CC895FE">
            <w:pPr>
              <w:jc w:val="left"/>
            </w:pPr>
            <w:r>
              <w:rPr>
                <w:rFonts w:ascii="Arial" w:hAnsi="Arial" w:eastAsia="Arial" w:cs="Arial"/>
                <w:b w:val="0"/>
                <w:bCs w:val="0"/>
                <w:color w:val="1A1A1A"/>
                <w:sz w:val="20"/>
                <w:szCs w:val="20"/>
              </w:rPr>
              <w:t>20–40 SRS change events per year</w:t>
            </w:r>
          </w:p>
        </w:tc>
      </w:tr>
      <w:tr w14:paraId="18CF4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7482395">
            <w:pPr>
              <w:jc w:val="left"/>
            </w:pPr>
            <w:r>
              <w:rPr>
                <w:rFonts w:ascii="Arial" w:hAnsi="Arial" w:eastAsia="Arial" w:cs="Arial"/>
                <w:b w:val="0"/>
                <w:bCs w:val="0"/>
                <w:color w:val="1A1A1A"/>
                <w:sz w:val="20"/>
                <w:szCs w:val="20"/>
              </w:rPr>
              <w:t>Time saved per event</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F658BF0">
            <w:pPr>
              <w:jc w:val="left"/>
            </w:pPr>
            <w:r>
              <w:rPr>
                <w:rFonts w:ascii="Arial" w:hAnsi="Arial" w:eastAsia="Arial" w:cs="Arial"/>
                <w:b w:val="0"/>
                <w:bCs w:val="0"/>
                <w:color w:val="1A1A1A"/>
                <w:sz w:val="20"/>
                <w:szCs w:val="20"/>
              </w:rPr>
              <w:t>1–3 hours of manual change triage</w:t>
            </w:r>
          </w:p>
        </w:tc>
      </w:tr>
      <w:tr w14:paraId="5BF5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C8F3549">
            <w:pPr>
              <w:jc w:val="left"/>
            </w:pPr>
            <w:r>
              <w:rPr>
                <w:rFonts w:ascii="Arial" w:hAnsi="Arial" w:eastAsia="Arial" w:cs="Arial"/>
                <w:b w:val="0"/>
                <w:bCs w:val="0"/>
                <w:color w:val="1A1A1A"/>
                <w:sz w:val="20"/>
                <w:szCs w:val="20"/>
              </w:rPr>
              <w:t>Annual time saving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8C89B80">
            <w:pPr>
              <w:jc w:val="left"/>
            </w:pPr>
            <w:r>
              <w:rPr>
                <w:rFonts w:ascii="Arial" w:hAnsi="Arial" w:eastAsia="Arial" w:cs="Arial"/>
                <w:b w:val="0"/>
                <w:bCs w:val="0"/>
                <w:color w:val="1A1A1A"/>
                <w:sz w:val="20"/>
                <w:szCs w:val="20"/>
              </w:rPr>
              <w:t>20–120 hours = 2,600–15,600€</w:t>
            </w:r>
          </w:p>
        </w:tc>
      </w:tr>
      <w:tr w14:paraId="09AF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AD42533">
            <w:pPr>
              <w:jc w:val="left"/>
            </w:pPr>
            <w:r>
              <w:rPr>
                <w:rFonts w:ascii="Arial" w:hAnsi="Arial" w:eastAsia="Arial" w:cs="Arial"/>
                <w:b w:val="0"/>
                <w:bCs w:val="0"/>
                <w:color w:val="1A1A1A"/>
                <w:sz w:val="20"/>
                <w:szCs w:val="20"/>
              </w:rPr>
              <w:t>Regulatory cost avoided</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9485A1A">
            <w:pPr>
              <w:jc w:val="left"/>
            </w:pPr>
            <w:r>
              <w:rPr>
                <w:rFonts w:ascii="Arial" w:hAnsi="Arial" w:eastAsia="Arial" w:cs="Arial"/>
                <w:b w:val="0"/>
                <w:bCs w:val="0"/>
                <w:color w:val="1A1A1A"/>
                <w:sz w:val="20"/>
                <w:szCs w:val="20"/>
              </w:rPr>
              <w:t>5–10k€ per year (reduced deficiency probability)</w:t>
            </w:r>
          </w:p>
        </w:tc>
      </w:tr>
      <w:tr w14:paraId="49B8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8720A35">
            <w:pPr>
              <w:jc w:val="left"/>
            </w:pPr>
            <w:r>
              <w:rPr>
                <w:rFonts w:ascii="Arial" w:hAnsi="Arial" w:eastAsia="Arial" w:cs="Arial"/>
                <w:b w:val="0"/>
                <w:bCs w:val="0"/>
                <w:color w:val="1A1A1A"/>
                <w:sz w:val="20"/>
                <w:szCs w:val="20"/>
              </w:rPr>
              <w:t>LLM operating cost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61DF272">
            <w:pPr>
              <w:jc w:val="left"/>
            </w:pPr>
            <w:r>
              <w:rPr>
                <w:rFonts w:ascii="Arial" w:hAnsi="Arial" w:eastAsia="Arial" w:cs="Arial"/>
                <w:b w:val="0"/>
                <w:bCs w:val="0"/>
                <w:color w:val="1A1A1A"/>
                <w:sz w:val="20"/>
                <w:szCs w:val="20"/>
              </w:rPr>
              <w:t>~0.01–0.05€ per query — negligible in both phases</w:t>
            </w:r>
          </w:p>
        </w:tc>
      </w:tr>
    </w:tbl>
    <w:p w14:paraId="32933616">
      <w:pPr>
        <w:spacing w:before="80" w:after="80"/>
      </w:pPr>
    </w:p>
    <w:p w14:paraId="518DF018">
      <w:pPr>
        <w:pStyle w:val="4"/>
        <w:spacing w:before="200" w:after="100"/>
      </w:pPr>
      <w:r>
        <w:rPr>
          <w:rFonts w:ascii="Arial" w:hAnsi="Arial" w:eastAsia="Arial" w:cs="Arial"/>
          <w:b/>
          <w:bCs/>
          <w:color w:val="333333"/>
          <w:sz w:val="22"/>
          <w:szCs w:val="22"/>
        </w:rPr>
        <w:t>Key assumptions</w:t>
      </w:r>
    </w:p>
    <w:p w14:paraId="0369F23B">
      <w:pPr>
        <w:pStyle w:val="14"/>
        <w:numPr>
          <w:ilvl w:val="0"/>
          <w:numId w:val="1"/>
        </w:numPr>
        <w:spacing w:before="40" w:after="40"/>
      </w:pPr>
      <w:r>
        <w:rPr>
          <w:rFonts w:ascii="Arial" w:hAnsi="Arial" w:eastAsia="Arial" w:cs="Arial"/>
          <w:sz w:val="22"/>
          <w:szCs w:val="22"/>
        </w:rPr>
        <w:t>20–40 annual events calibrated against an actively developed SaMD with multiple integrations. Less active products: 8–15 events/year.</w:t>
      </w:r>
    </w:p>
    <w:p w14:paraId="13D35D06">
      <w:pPr>
        <w:pStyle w:val="14"/>
        <w:numPr>
          <w:ilvl w:val="0"/>
          <w:numId w:val="1"/>
        </w:numPr>
        <w:spacing w:before="40" w:after="40"/>
      </w:pPr>
      <w:r>
        <w:rPr>
          <w:rFonts w:ascii="Arial" w:hAnsi="Arial" w:eastAsia="Arial" w:cs="Arial"/>
          <w:sz w:val="22"/>
          <w:szCs w:val="22"/>
        </w:rPr>
        <w:t>Change classifier achieves 85%+ precision using the structured requirements mapping and established document identifier conventions.</w:t>
      </w:r>
    </w:p>
    <w:p w14:paraId="2D3DC114">
      <w:pPr>
        <w:pStyle w:val="14"/>
        <w:numPr>
          <w:ilvl w:val="0"/>
          <w:numId w:val="1"/>
        </w:numPr>
        <w:spacing w:before="40" w:after="40"/>
      </w:pPr>
      <w:r>
        <w:rPr>
          <w:rFonts w:ascii="Arial" w:hAnsi="Arial" w:eastAsia="Arial" w:cs="Arial"/>
          <w:sz w:val="22"/>
          <w:szCs w:val="22"/>
        </w:rPr>
        <w:t>Phase 1 event count assumes a new product. For a product being migrated mid-development, events will be lower.</w:t>
      </w:r>
    </w:p>
    <w:p w14:paraId="147C37CE">
      <w:pPr>
        <w:spacing w:before="80" w:after="80"/>
      </w:pPr>
    </w:p>
    <w:p w14:paraId="56533B63">
      <w:pPr>
        <w:pStyle w:val="4"/>
        <w:spacing w:before="200" w:after="100"/>
      </w:pPr>
      <w:r>
        <w:rPr>
          <w:rFonts w:ascii="Arial" w:hAnsi="Arial" w:eastAsia="Arial" w:cs="Arial"/>
          <w:b/>
          <w:bCs/>
          <w:color w:val="333333"/>
          <w:sz w:val="22"/>
          <w:szCs w:val="22"/>
        </w:rPr>
        <w:t>Dependencies and risks</w:t>
      </w:r>
    </w:p>
    <w:p w14:paraId="18A19D7F">
      <w:pPr>
        <w:spacing w:before="80" w:after="80"/>
      </w:pPr>
      <w:r>
        <w:rPr>
          <w:rFonts w:ascii="Arial" w:hAnsi="Arial" w:eastAsia="Arial" w:cs="Arial"/>
          <w:sz w:val="22"/>
          <w:szCs w:val="22"/>
        </w:rPr>
        <w:t>This is the foundation use case. UC2, UC3, UC5, and UC4 all depend on UC1’s classifier output. The primary technical risk is false-positive classification — flagging non-safety-relevant changes for risk manager review creates noise and will reduce adoption if not controlled. A precision threshold should be agreed before deployment.</w:t>
      </w:r>
    </w:p>
    <w:p w14:paraId="4A3662BB">
      <w:pPr>
        <w:spacing w:before="80" w:after="80"/>
      </w:pPr>
    </w:p>
    <w:p w14:paraId="33D80300">
      <w:pPr>
        <w:pStyle w:val="4"/>
        <w:spacing w:before="200" w:after="100"/>
      </w:pPr>
      <w:r>
        <w:rPr>
          <w:rFonts w:ascii="Arial" w:hAnsi="Arial" w:eastAsia="Arial" w:cs="Arial"/>
          <w:b/>
          <w:bCs/>
          <w:color w:val="333333"/>
          <w:sz w:val="22"/>
          <w:szCs w:val="22"/>
        </w:rPr>
        <w:t>Rationale for initial release placement</w:t>
      </w:r>
    </w:p>
    <w:p w14:paraId="7D9979E2">
      <w:pPr>
        <w:spacing w:before="80" w:after="80"/>
      </w:pPr>
      <w:r>
        <w:rPr>
          <w:rFonts w:ascii="Arial" w:hAnsi="Arial" w:eastAsia="Arial" w:cs="Arial"/>
          <w:sz w:val="22"/>
          <w:szCs w:val="22"/>
        </w:rPr>
        <w:t>UC1 has the lowest build effort (2/5) because the change detection and classification mechanism reuses the document ingestion infrastructure already scoped in the product requirements. Building UC1 first creates a working loop — detect, classify, notify — from which all subsequent releases extend without architectural rework.</w:t>
      </w:r>
    </w:p>
    <w:p w14:paraId="287FF052">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2160"/>
      </w:tblGrid>
      <w:tr w14:paraId="24EC4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nil"/>
              <w:left w:val="nil"/>
              <w:bottom w:val="nil"/>
              <w:right w:val="nil"/>
            </w:tcBorders>
            <w:shd w:val="clear" w:color="auto" w:fill="1F4E79"/>
            <w:tcMar>
              <w:top w:w="80" w:type="dxa"/>
              <w:left w:w="120" w:type="dxa"/>
              <w:bottom w:w="80" w:type="dxa"/>
              <w:right w:w="120" w:type="dxa"/>
            </w:tcMar>
          </w:tcPr>
          <w:p w14:paraId="3D1029FC">
            <w:r>
              <w:rPr>
                <w:rFonts w:ascii="Arial" w:hAnsi="Arial" w:eastAsia="Arial" w:cs="Arial"/>
                <w:b/>
                <w:bCs/>
                <w:color w:val="FFFFFF"/>
                <w:sz w:val="24"/>
                <w:szCs w:val="24"/>
              </w:rPr>
              <w:t>UC3 — Risk traceability check (risk control to SRS gap detection)</w:t>
            </w:r>
          </w:p>
        </w:tc>
        <w:tc>
          <w:tcPr>
            <w:tcW w:w="2160" w:type="dxa"/>
            <w:tcBorders>
              <w:top w:val="nil"/>
              <w:left w:val="nil"/>
              <w:bottom w:val="nil"/>
              <w:right w:val="nil"/>
            </w:tcBorders>
            <w:shd w:val="clear" w:color="auto" w:fill="185FA5"/>
            <w:tcMar>
              <w:top w:w="80" w:type="dxa"/>
              <w:left w:w="120" w:type="dxa"/>
              <w:bottom w:w="80" w:type="dxa"/>
              <w:right w:w="120" w:type="dxa"/>
            </w:tcMar>
            <w:vAlign w:val="center"/>
          </w:tcPr>
          <w:p w14:paraId="3884941A">
            <w:pPr>
              <w:jc w:val="center"/>
            </w:pPr>
            <w:r>
              <w:rPr>
                <w:rFonts w:ascii="Arial" w:hAnsi="Arial" w:eastAsia="Arial" w:cs="Arial"/>
                <w:b/>
                <w:bCs/>
                <w:color w:val="FFFFFF"/>
                <w:sz w:val="20"/>
                <w:szCs w:val="20"/>
              </w:rPr>
              <w:t>Initial release</w:t>
            </w:r>
          </w:p>
        </w:tc>
      </w:tr>
    </w:tbl>
    <w:p w14:paraId="65F2AD2B">
      <w:pPr>
        <w:spacing w:before="80" w:after="80"/>
      </w:pPr>
    </w:p>
    <w:p w14:paraId="51FE035E">
      <w:pPr>
        <w:spacing w:before="80" w:after="80"/>
      </w:pPr>
      <w:r>
        <w:rPr>
          <w:rFonts w:ascii="Arial" w:hAnsi="Arial" w:eastAsia="Arial" w:cs="Arial"/>
          <w:b/>
          <w:bCs/>
          <w:sz w:val="22"/>
          <w:szCs w:val="22"/>
        </w:rPr>
        <w:t>One-line description:</w:t>
      </w:r>
      <w:r>
        <w:rPr>
          <w:rFonts w:ascii="Arial" w:hAnsi="Arial" w:eastAsia="Arial" w:cs="Arial"/>
          <w:sz w:val="22"/>
          <w:szCs w:val="22"/>
        </w:rPr>
        <w:t xml:space="preserve"> For every SRS change classified as safety-relevant, verify that every risk control measure in the risk management file still has a corresponding SRS requirement, and flag gaps or broken links.</w:t>
      </w:r>
    </w:p>
    <w:p w14:paraId="20784964">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1E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6E6E"/>
            <w:tcMar>
              <w:top w:w="60" w:type="dxa"/>
              <w:left w:w="160" w:type="dxa"/>
              <w:bottom w:w="60" w:type="dxa"/>
              <w:right w:w="160" w:type="dxa"/>
            </w:tcMar>
          </w:tcPr>
          <w:p w14:paraId="7AAF9FE1">
            <w:r>
              <w:rPr>
                <w:rFonts w:ascii="Arial" w:hAnsi="Arial" w:eastAsia="Arial" w:cs="Arial"/>
                <w:b/>
                <w:bCs/>
                <w:color w:val="FFFFFF"/>
                <w:sz w:val="18"/>
                <w:szCs w:val="18"/>
              </w:rPr>
              <w:t>Key term — Risk control</w:t>
            </w:r>
          </w:p>
        </w:tc>
      </w:tr>
      <w:tr w14:paraId="01313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FEF"/>
            <w:tcMar>
              <w:top w:w="100" w:type="dxa"/>
              <w:left w:w="160" w:type="dxa"/>
              <w:bottom w:w="100" w:type="dxa"/>
              <w:right w:w="160" w:type="dxa"/>
            </w:tcMar>
          </w:tcPr>
          <w:p w14:paraId="331CF29D">
            <w:r>
              <w:rPr>
                <w:rFonts w:ascii="Arial" w:hAnsi="Arial" w:eastAsia="Arial" w:cs="Arial"/>
                <w:color w:val="1A1A1A"/>
                <w:sz w:val="20"/>
                <w:szCs w:val="20"/>
              </w:rPr>
              <w:t>A measure taken to reduce the probability or severity of a harm. Under ISO 14971 (applicable in both EU MDR and FDA regulatory contexts), risk controls must be implemented as verifiable requirements in the SRS, and this traceability must be maintained and documented throughout the product lifecycle.</w:t>
            </w:r>
          </w:p>
        </w:tc>
      </w:tr>
    </w:tbl>
    <w:p w14:paraId="67DEE34B">
      <w:pPr>
        <w:spacing w:before="80" w:after="80"/>
      </w:pPr>
    </w:p>
    <w:p w14:paraId="71EDC2F3">
      <w:pPr>
        <w:spacing w:before="80" w:after="80"/>
      </w:pPr>
      <w:r>
        <w:rPr>
          <w:rFonts w:ascii="Arial" w:hAnsi="Arial" w:eastAsia="Arial" w:cs="Arial"/>
          <w:b/>
          <w:bCs/>
          <w:sz w:val="22"/>
          <w:szCs w:val="22"/>
        </w:rPr>
        <w:t>What triggers it:</w:t>
      </w:r>
      <w:r>
        <w:rPr>
          <w:rFonts w:ascii="Arial" w:hAnsi="Arial" w:eastAsia="Arial" w:cs="Arial"/>
          <w:sz w:val="22"/>
          <w:szCs w:val="22"/>
        </w:rPr>
        <w:t xml:space="preserve"> UC1 classifies a change as ‘risk/safety’ or ‘clinical.’ The traceability resolver queries the risk-to-SRS traceability table against the current SRS to identify risk control links that are missing, broken, or newly unverifiable.</w:t>
      </w:r>
    </w:p>
    <w:p w14:paraId="71662D98">
      <w:pPr>
        <w:spacing w:before="80" w:after="80"/>
      </w:pPr>
    </w:p>
    <w:p w14:paraId="423F23D8">
      <w:pPr>
        <w:spacing w:before="80" w:after="80"/>
      </w:pPr>
      <w:r>
        <w:rPr>
          <w:rFonts w:ascii="Arial" w:hAnsi="Arial" w:eastAsia="Arial" w:cs="Arial"/>
          <w:b/>
          <w:bCs/>
          <w:sz w:val="22"/>
          <w:szCs w:val="22"/>
        </w:rPr>
        <w:t>Who receives the output:</w:t>
      </w:r>
      <w:r>
        <w:rPr>
          <w:rFonts w:ascii="Arial" w:hAnsi="Arial" w:eastAsia="Arial" w:cs="Arial"/>
          <w:sz w:val="22"/>
          <w:szCs w:val="22"/>
        </w:rPr>
        <w:t xml:space="preserve"> The Risk/Safety Engineer. Finding format: hazard identifier, risk control identifier, expected SRS requirement identifier, finding type (missing / modified / ambiguous), citation to ISO 14971 section 7.3.3 (applicable in both EU and US regulatory contexts).</w:t>
      </w:r>
    </w:p>
    <w:p w14:paraId="35D8EED9">
      <w:pPr>
        <w:spacing w:before="80" w:after="80"/>
      </w:pPr>
    </w:p>
    <w:p w14:paraId="771C0DF3">
      <w:pPr>
        <w:pStyle w:val="4"/>
        <w:spacing w:before="200" w:after="100"/>
      </w:pPr>
      <w:r>
        <w:rPr>
          <w:rFonts w:ascii="Arial" w:hAnsi="Arial" w:eastAsia="Arial" w:cs="Arial"/>
          <w:b/>
          <w:bCs/>
          <w:color w:val="333333"/>
          <w:sz w:val="22"/>
          <w:szCs w:val="22"/>
        </w:rPr>
        <w:t>RICE scores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1800"/>
        <w:gridCol w:w="2160"/>
      </w:tblGrid>
      <w:tr w14:paraId="0E248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726B0788">
            <w:pPr>
              <w:jc w:val="left"/>
            </w:pPr>
            <w:r>
              <w:rPr>
                <w:rFonts w:ascii="Arial" w:hAnsi="Arial" w:eastAsia="Arial" w:cs="Arial"/>
                <w:b/>
                <w:bCs/>
                <w:color w:val="FFFFFF"/>
                <w:sz w:val="20"/>
                <w:szCs w:val="20"/>
              </w:rPr>
              <w:t>Risk savings</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42BF17F8">
            <w:pPr>
              <w:jc w:val="left"/>
            </w:pPr>
            <w:r>
              <w:rPr>
                <w:rFonts w:ascii="Arial" w:hAnsi="Arial" w:eastAsia="Arial" w:cs="Arial"/>
                <w:b/>
                <w:bCs/>
                <w:color w:val="FFFFFF"/>
                <w:sz w:val="20"/>
                <w:szCs w:val="20"/>
              </w:rPr>
              <w:t>Impact</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1C77AB89">
            <w:pPr>
              <w:jc w:val="left"/>
            </w:pPr>
            <w:r>
              <w:rPr>
                <w:rFonts w:ascii="Arial" w:hAnsi="Arial" w:eastAsia="Arial" w:cs="Arial"/>
                <w:b/>
                <w:bCs/>
                <w:color w:val="FFFFFF"/>
                <w:sz w:val="20"/>
                <w:szCs w:val="20"/>
              </w:rPr>
              <w:t>Confidence</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2CC6B00F">
            <w:pPr>
              <w:jc w:val="left"/>
            </w:pPr>
            <w:r>
              <w:rPr>
                <w:rFonts w:ascii="Arial" w:hAnsi="Arial" w:eastAsia="Arial" w:cs="Arial"/>
                <w:b/>
                <w:bCs/>
                <w:color w:val="FFFFFF"/>
                <w:sz w:val="20"/>
                <w:szCs w:val="20"/>
              </w:rPr>
              <w:t>Effort</w:t>
            </w:r>
          </w:p>
        </w:tc>
        <w:tc>
          <w:tcPr>
            <w:tcW w:w="2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5644FAB3">
            <w:pPr>
              <w:jc w:val="left"/>
            </w:pPr>
            <w:r>
              <w:rPr>
                <w:rFonts w:ascii="Arial" w:hAnsi="Arial" w:eastAsia="Arial" w:cs="Arial"/>
                <w:b/>
                <w:bCs/>
                <w:color w:val="FFFFFF"/>
                <w:sz w:val="20"/>
                <w:szCs w:val="20"/>
              </w:rPr>
              <w:t>RICE score</w:t>
            </w:r>
          </w:p>
        </w:tc>
      </w:tr>
      <w:tr w14:paraId="45A92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A2DBEA7">
            <w:pPr>
              <w:jc w:val="left"/>
            </w:pPr>
            <w:r>
              <w:rPr>
                <w:rFonts w:ascii="Arial" w:hAnsi="Arial" w:eastAsia="Arial" w:cs="Arial"/>
                <w:b w:val="0"/>
                <w:bCs w:val="0"/>
                <w:color w:val="1A1A1A"/>
                <w:sz w:val="20"/>
                <w:szCs w:val="20"/>
              </w:rPr>
              <w:t>5/5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CAFD9A7">
            <w:pPr>
              <w:jc w:val="left"/>
            </w:pPr>
            <w:r>
              <w:rPr>
                <w:rFonts w:ascii="Arial" w:hAnsi="Arial" w:eastAsia="Arial" w:cs="Arial"/>
                <w:b w:val="0"/>
                <w:bCs w:val="0"/>
                <w:color w:val="1A1A1A"/>
                <w:sz w:val="20"/>
                <w:szCs w:val="20"/>
              </w:rPr>
              <w:t>4/5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B23F9F1">
            <w:pPr>
              <w:jc w:val="left"/>
            </w:pPr>
            <w:r>
              <w:rPr>
                <w:rFonts w:ascii="Arial" w:hAnsi="Arial" w:eastAsia="Arial" w:cs="Arial"/>
                <w:b w:val="0"/>
                <w:bCs w:val="0"/>
                <w:color w:val="1A1A1A"/>
                <w:sz w:val="20"/>
                <w:szCs w:val="20"/>
              </w:rPr>
              <w:t>0.85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B76AF2B">
            <w:pPr>
              <w:jc w:val="left"/>
            </w:pPr>
            <w:r>
              <w:rPr>
                <w:rFonts w:ascii="Arial" w:hAnsi="Arial" w:eastAsia="Arial" w:cs="Arial"/>
                <w:b w:val="0"/>
                <w:bCs w:val="0"/>
                <w:color w:val="1A1A1A"/>
                <w:sz w:val="20"/>
                <w:szCs w:val="20"/>
              </w:rPr>
              <w:t>2/5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3D57A2D">
            <w:pPr>
              <w:jc w:val="left"/>
            </w:pPr>
            <w:r>
              <w:rPr>
                <w:rFonts w:ascii="Arial" w:hAnsi="Arial" w:eastAsia="Arial" w:cs="Arial"/>
                <w:b w:val="0"/>
                <w:bCs w:val="0"/>
                <w:color w:val="1A1A1A"/>
                <w:sz w:val="20"/>
                <w:szCs w:val="20"/>
              </w:rPr>
              <w:t>85</w:t>
            </w:r>
          </w:p>
        </w:tc>
      </w:tr>
    </w:tbl>
    <w:p w14:paraId="03E3D67F">
      <w:pPr>
        <w:spacing w:before="80" w:after="80"/>
      </w:pPr>
    </w:p>
    <w:p w14:paraId="10E5FF7A">
      <w:pPr>
        <w:pStyle w:val="4"/>
        <w:spacing w:before="200" w:after="100"/>
      </w:pPr>
      <w:r>
        <w:rPr>
          <w:rFonts w:ascii="Arial" w:hAnsi="Arial" w:eastAsia="Arial" w:cs="Arial"/>
          <w:b/>
          <w:bCs/>
          <w:color w:val="333333"/>
          <w:sz w:val="22"/>
          <w:szCs w:val="22"/>
        </w:rPr>
        <w:t>Benefit breakdown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5F72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0D6E6E"/>
            <w:tcMar>
              <w:top w:w="80" w:type="dxa"/>
              <w:left w:w="120" w:type="dxa"/>
              <w:bottom w:w="80" w:type="dxa"/>
              <w:right w:w="120" w:type="dxa"/>
            </w:tcMar>
            <w:vAlign w:val="top"/>
          </w:tcPr>
          <w:p w14:paraId="136362CB">
            <w:pPr>
              <w:jc w:val="left"/>
            </w:pPr>
            <w:r>
              <w:rPr>
                <w:rFonts w:ascii="Arial" w:hAnsi="Arial" w:eastAsia="Arial" w:cs="Arial"/>
                <w:b/>
                <w:bCs/>
                <w:color w:val="FFFFFF"/>
                <w:sz w:val="20"/>
                <w:szCs w:val="20"/>
              </w:rPr>
              <w:t>Phase 1 — Initial development</w:t>
            </w:r>
          </w:p>
        </w:tc>
        <w:tc>
          <w:tcPr>
            <w:tcW w:w="6240" w:type="dxa"/>
            <w:tcBorders>
              <w:top w:val="single" w:color="CCCCCC" w:sz="0" w:space="0"/>
              <w:left w:val="single" w:color="CCCCCC" w:sz="0" w:space="0"/>
              <w:bottom w:val="single" w:color="CCCCCC" w:sz="0" w:space="0"/>
              <w:right w:val="single" w:color="CCCCCC" w:sz="0" w:space="0"/>
            </w:tcBorders>
            <w:shd w:val="clear" w:color="auto" w:fill="0D6E6E"/>
            <w:tcMar>
              <w:top w:w="80" w:type="dxa"/>
              <w:left w:w="120" w:type="dxa"/>
              <w:bottom w:w="80" w:type="dxa"/>
              <w:right w:w="120" w:type="dxa"/>
            </w:tcMar>
            <w:vAlign w:val="top"/>
          </w:tcPr>
          <w:p w14:paraId="439FFF8F">
            <w:pPr>
              <w:jc w:val="left"/>
            </w:pPr>
          </w:p>
        </w:tc>
      </w:tr>
      <w:tr w14:paraId="1FDB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484C00F">
            <w:pPr>
              <w:jc w:val="left"/>
            </w:pPr>
            <w:r>
              <w:rPr>
                <w:rFonts w:ascii="Arial" w:hAnsi="Arial" w:eastAsia="Arial" w:cs="Arial"/>
                <w:b w:val="0"/>
                <w:bCs w:val="0"/>
                <w:color w:val="1A1A1A"/>
                <w:sz w:val="20"/>
                <w:szCs w:val="20"/>
              </w:rPr>
              <w:t>Typical events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9160152">
            <w:pPr>
              <w:jc w:val="left"/>
            </w:pPr>
            <w:r>
              <w:rPr>
                <w:rFonts w:ascii="Arial" w:hAnsi="Arial" w:eastAsia="Arial" w:cs="Arial"/>
                <w:b w:val="0"/>
                <w:bCs w:val="0"/>
                <w:color w:val="1A1A1A"/>
                <w:sz w:val="20"/>
                <w:szCs w:val="20"/>
              </w:rPr>
              <w:t>All safety-relevant SRS changes during development (typically 15–30% of all SRS events)</w:t>
            </w:r>
          </w:p>
        </w:tc>
      </w:tr>
      <w:tr w14:paraId="277C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9B3BB70">
            <w:pPr>
              <w:jc w:val="left"/>
            </w:pPr>
            <w:r>
              <w:rPr>
                <w:rFonts w:ascii="Arial" w:hAnsi="Arial" w:eastAsia="Arial" w:cs="Arial"/>
                <w:b w:val="0"/>
                <w:bCs w:val="0"/>
                <w:color w:val="1A1A1A"/>
                <w:sz w:val="20"/>
                <w:szCs w:val="20"/>
              </w:rPr>
              <w:t>Time saved per event</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3B16F156">
            <w:pPr>
              <w:jc w:val="left"/>
            </w:pPr>
            <w:r>
              <w:rPr>
                <w:rFonts w:ascii="Arial" w:hAnsi="Arial" w:eastAsia="Arial" w:cs="Arial"/>
                <w:b w:val="0"/>
                <w:bCs w:val="0"/>
                <w:color w:val="1A1A1A"/>
                <w:sz w:val="20"/>
                <w:szCs w:val="20"/>
              </w:rPr>
              <w:t>2–6 hours of manual risk file cross-check</w:t>
            </w:r>
          </w:p>
        </w:tc>
      </w:tr>
      <w:tr w14:paraId="3697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9D98245">
            <w:pPr>
              <w:jc w:val="left"/>
            </w:pPr>
            <w:r>
              <w:rPr>
                <w:rFonts w:ascii="Arial" w:hAnsi="Arial" w:eastAsia="Arial" w:cs="Arial"/>
                <w:b w:val="0"/>
                <w:bCs w:val="0"/>
                <w:color w:val="1A1A1A"/>
                <w:sz w:val="20"/>
                <w:szCs w:val="20"/>
              </w:rPr>
              <w:t>Total time saving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1FD1A84">
            <w:pPr>
              <w:jc w:val="left"/>
            </w:pPr>
            <w:r>
              <w:rPr>
                <w:rFonts w:ascii="Arial" w:hAnsi="Arial" w:eastAsia="Arial" w:cs="Arial"/>
                <w:b w:val="0"/>
                <w:bCs w:val="0"/>
                <w:color w:val="1A1A1A"/>
                <w:sz w:val="20"/>
                <w:szCs w:val="20"/>
              </w:rPr>
              <w:t>20–100 hours = 2,600–13,000€</w:t>
            </w:r>
          </w:p>
        </w:tc>
      </w:tr>
      <w:tr w14:paraId="3CF92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374BD33A">
            <w:pPr>
              <w:jc w:val="left"/>
            </w:pPr>
            <w:r>
              <w:rPr>
                <w:rFonts w:ascii="Arial" w:hAnsi="Arial" w:eastAsia="Arial" w:cs="Arial"/>
                <w:b w:val="0"/>
                <w:bCs w:val="0"/>
                <w:color w:val="1A1A1A"/>
                <w:sz w:val="20"/>
                <w:szCs w:val="20"/>
              </w:rPr>
              <w:t>Regulatory cost avoided</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E092768">
            <w:pPr>
              <w:jc w:val="left"/>
            </w:pPr>
            <w:r>
              <w:rPr>
                <w:rFonts w:ascii="Arial" w:hAnsi="Arial" w:eastAsia="Arial" w:cs="Arial"/>
                <w:b w:val="0"/>
                <w:bCs w:val="0"/>
                <w:color w:val="1A1A1A"/>
                <w:sz w:val="20"/>
                <w:szCs w:val="20"/>
              </w:rPr>
              <w:t>15–40k€ (broken traceability at first submission is among the most common deficiency causes in both EU and US markets)</w:t>
            </w:r>
          </w:p>
        </w:tc>
      </w:tr>
    </w:tbl>
    <w:p w14:paraId="4F46D62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1F7C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389D4B27">
            <w:pPr>
              <w:jc w:val="left"/>
            </w:pPr>
            <w:r>
              <w:rPr>
                <w:rFonts w:ascii="Arial" w:hAnsi="Arial" w:eastAsia="Arial" w:cs="Arial"/>
                <w:b/>
                <w:bCs/>
                <w:color w:val="FFFFFF"/>
                <w:sz w:val="20"/>
                <w:szCs w:val="20"/>
              </w:rPr>
              <w:t>Phase 2 — Ongoing maintenance</w:t>
            </w:r>
          </w:p>
        </w:tc>
        <w:tc>
          <w:tcPr>
            <w:tcW w:w="62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74052014">
            <w:pPr>
              <w:jc w:val="left"/>
            </w:pPr>
          </w:p>
        </w:tc>
      </w:tr>
      <w:tr w14:paraId="01F01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B78AEA5">
            <w:pPr>
              <w:jc w:val="left"/>
            </w:pPr>
            <w:r>
              <w:rPr>
                <w:rFonts w:ascii="Arial" w:hAnsi="Arial" w:eastAsia="Arial" w:cs="Arial"/>
                <w:b w:val="0"/>
                <w:bCs w:val="0"/>
                <w:color w:val="1A1A1A"/>
                <w:sz w:val="20"/>
                <w:szCs w:val="20"/>
              </w:rPr>
              <w:t>Annual events per product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BE2BBE6">
            <w:pPr>
              <w:jc w:val="left"/>
            </w:pPr>
            <w:r>
              <w:rPr>
                <w:rFonts w:ascii="Arial" w:hAnsi="Arial" w:eastAsia="Arial" w:cs="Arial"/>
                <w:b w:val="0"/>
                <w:bCs w:val="0"/>
                <w:color w:val="1A1A1A"/>
                <w:sz w:val="20"/>
                <w:szCs w:val="20"/>
              </w:rPr>
              <w:t>8–20 safety-relevant changes per year</w:t>
            </w:r>
          </w:p>
        </w:tc>
      </w:tr>
      <w:tr w14:paraId="47532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72510CF">
            <w:pPr>
              <w:jc w:val="left"/>
            </w:pPr>
            <w:r>
              <w:rPr>
                <w:rFonts w:ascii="Arial" w:hAnsi="Arial" w:eastAsia="Arial" w:cs="Arial"/>
                <w:b w:val="0"/>
                <w:bCs w:val="0"/>
                <w:color w:val="1A1A1A"/>
                <w:sz w:val="20"/>
                <w:szCs w:val="20"/>
              </w:rPr>
              <w:t>Time saved per event</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A27FE61">
            <w:pPr>
              <w:jc w:val="left"/>
            </w:pPr>
            <w:r>
              <w:rPr>
                <w:rFonts w:ascii="Arial" w:hAnsi="Arial" w:eastAsia="Arial" w:cs="Arial"/>
                <w:b w:val="0"/>
                <w:bCs w:val="0"/>
                <w:color w:val="1A1A1A"/>
                <w:sz w:val="20"/>
                <w:szCs w:val="20"/>
              </w:rPr>
              <w:t>3–8 hours of manual risk file cross-check</w:t>
            </w:r>
          </w:p>
        </w:tc>
      </w:tr>
      <w:tr w14:paraId="3A84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E5C1E05">
            <w:pPr>
              <w:jc w:val="left"/>
            </w:pPr>
            <w:r>
              <w:rPr>
                <w:rFonts w:ascii="Arial" w:hAnsi="Arial" w:eastAsia="Arial" w:cs="Arial"/>
                <w:b w:val="0"/>
                <w:bCs w:val="0"/>
                <w:color w:val="1A1A1A"/>
                <w:sz w:val="20"/>
                <w:szCs w:val="20"/>
              </w:rPr>
              <w:t>Annual time saving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C3EDB1A">
            <w:pPr>
              <w:jc w:val="left"/>
            </w:pPr>
            <w:r>
              <w:rPr>
                <w:rFonts w:ascii="Arial" w:hAnsi="Arial" w:eastAsia="Arial" w:cs="Arial"/>
                <w:b w:val="0"/>
                <w:bCs w:val="0"/>
                <w:color w:val="1A1A1A"/>
                <w:sz w:val="20"/>
                <w:szCs w:val="20"/>
              </w:rPr>
              <w:t>24–160 hours = 3,100–20,800€</w:t>
            </w:r>
          </w:p>
        </w:tc>
      </w:tr>
      <w:tr w14:paraId="3A4D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289A0C4">
            <w:pPr>
              <w:jc w:val="left"/>
            </w:pPr>
            <w:r>
              <w:rPr>
                <w:rFonts w:ascii="Arial" w:hAnsi="Arial" w:eastAsia="Arial" w:cs="Arial"/>
                <w:b w:val="0"/>
                <w:bCs w:val="0"/>
                <w:color w:val="1A1A1A"/>
                <w:sz w:val="20"/>
                <w:szCs w:val="20"/>
              </w:rPr>
              <w:t>Regulatory cost avoided</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9310F37">
            <w:pPr>
              <w:jc w:val="left"/>
            </w:pPr>
            <w:r>
              <w:rPr>
                <w:rFonts w:ascii="Arial" w:hAnsi="Arial" w:eastAsia="Arial" w:cs="Arial"/>
                <w:b w:val="0"/>
                <w:bCs w:val="0"/>
                <w:color w:val="1A1A1A"/>
                <w:sz w:val="20"/>
                <w:szCs w:val="20"/>
              </w:rPr>
              <w:t>15–40k€ per avoided major deficiency round</w:t>
            </w:r>
          </w:p>
        </w:tc>
      </w:tr>
      <w:tr w14:paraId="1F832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9771F63">
            <w:pPr>
              <w:jc w:val="left"/>
            </w:pPr>
            <w:r>
              <w:rPr>
                <w:rFonts w:ascii="Arial" w:hAnsi="Arial" w:eastAsia="Arial" w:cs="Arial"/>
                <w:b w:val="0"/>
                <w:bCs w:val="0"/>
                <w:color w:val="1A1A1A"/>
                <w:sz w:val="20"/>
                <w:szCs w:val="20"/>
              </w:rPr>
              <w:t>LLM operating cost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3470CBD">
            <w:pPr>
              <w:jc w:val="left"/>
            </w:pPr>
            <w:r>
              <w:rPr>
                <w:rFonts w:ascii="Arial" w:hAnsi="Arial" w:eastAsia="Arial" w:cs="Arial"/>
                <w:b w:val="0"/>
                <w:bCs w:val="0"/>
                <w:color w:val="1A1A1A"/>
                <w:sz w:val="20"/>
                <w:szCs w:val="20"/>
              </w:rPr>
              <w:t>Negligible</w:t>
            </w:r>
          </w:p>
        </w:tc>
      </w:tr>
    </w:tbl>
    <w:p w14:paraId="2CF4C449">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80A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2E75B6"/>
            <w:tcMar>
              <w:top w:w="60" w:type="dxa"/>
              <w:left w:w="160" w:type="dxa"/>
              <w:bottom w:w="60" w:type="dxa"/>
              <w:right w:w="160" w:type="dxa"/>
            </w:tcMar>
          </w:tcPr>
          <w:p w14:paraId="5AEFE1AD">
            <w:r>
              <w:rPr>
                <w:rFonts w:ascii="Arial" w:hAnsi="Arial" w:eastAsia="Arial" w:cs="Arial"/>
                <w:b/>
                <w:bCs/>
                <w:color w:val="FFFFFF"/>
                <w:sz w:val="18"/>
                <w:szCs w:val="18"/>
              </w:rPr>
              <w:t>Dual-market multiplier</w:t>
            </w:r>
          </w:p>
        </w:tc>
      </w:tr>
      <w:tr w14:paraId="54BB1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0"/>
            <w:tcMar>
              <w:top w:w="100" w:type="dxa"/>
              <w:left w:w="160" w:type="dxa"/>
              <w:bottom w:w="100" w:type="dxa"/>
              <w:right w:w="160" w:type="dxa"/>
            </w:tcMar>
          </w:tcPr>
          <w:p w14:paraId="71DFD05F">
            <w:r>
              <w:rPr>
                <w:rFonts w:ascii="Arial" w:hAnsi="Arial" w:eastAsia="Arial" w:cs="Arial"/>
                <w:color w:val="1A1A1A"/>
                <w:sz w:val="20"/>
                <w:szCs w:val="20"/>
              </w:rPr>
              <w:t>For products submitted simultaneously to EU and US markets, catching a traceability gap before filing prevents a deficiency in both markets simultaneously. The avoided cost is additive — one finding can prevent two deficiency rounds.</w:t>
            </w:r>
          </w:p>
        </w:tc>
      </w:tr>
    </w:tbl>
    <w:p w14:paraId="4751987D">
      <w:pPr>
        <w:spacing w:before="80" w:after="80"/>
      </w:pPr>
    </w:p>
    <w:p w14:paraId="721D3569">
      <w:pPr>
        <w:pStyle w:val="4"/>
        <w:spacing w:before="200" w:after="100"/>
      </w:pPr>
      <w:r>
        <w:rPr>
          <w:rFonts w:ascii="Arial" w:hAnsi="Arial" w:eastAsia="Arial" w:cs="Arial"/>
          <w:b/>
          <w:bCs/>
          <w:color w:val="333333"/>
          <w:sz w:val="22"/>
          <w:szCs w:val="22"/>
        </w:rPr>
        <w:t>Key assumptions</w:t>
      </w:r>
    </w:p>
    <w:p w14:paraId="4980A63D">
      <w:pPr>
        <w:pStyle w:val="14"/>
        <w:numPr>
          <w:ilvl w:val="0"/>
          <w:numId w:val="1"/>
        </w:numPr>
        <w:spacing w:before="40" w:after="40"/>
      </w:pPr>
      <w:r>
        <w:rPr>
          <w:rFonts w:ascii="Arial" w:hAnsi="Arial" w:eastAsia="Arial" w:cs="Arial"/>
          <w:sz w:val="22"/>
          <w:szCs w:val="22"/>
        </w:rPr>
        <w:t>The risk-to-SRS traceability table must be maintained by the Risk Engineer as a controlled document. Stale reference data generates false negatives.</w:t>
      </w:r>
    </w:p>
    <w:p w14:paraId="11F76EC4">
      <w:pPr>
        <w:pStyle w:val="14"/>
        <w:numPr>
          <w:ilvl w:val="0"/>
          <w:numId w:val="1"/>
        </w:numPr>
        <w:spacing w:before="40" w:after="40"/>
      </w:pPr>
      <w:r>
        <w:rPr>
          <w:rFonts w:ascii="Arial" w:hAnsi="Arial" w:eastAsia="Arial" w:cs="Arial"/>
          <w:sz w:val="22"/>
          <w:szCs w:val="22"/>
        </w:rPr>
        <w:t>15–40k€ cost avoidance assumes a moderately complex SaMD where a major deficiency round costs 50–100k€ total, and where poor traceability increases deficiency probability by 15–25%.</w:t>
      </w:r>
    </w:p>
    <w:p w14:paraId="07AC376A">
      <w:pPr>
        <w:spacing w:before="80" w:after="80"/>
      </w:pPr>
    </w:p>
    <w:p w14:paraId="40AA6A28">
      <w:pPr>
        <w:pStyle w:val="4"/>
        <w:spacing w:before="200" w:after="100"/>
      </w:pPr>
      <w:r>
        <w:rPr>
          <w:rFonts w:ascii="Arial" w:hAnsi="Arial" w:eastAsia="Arial" w:cs="Arial"/>
          <w:b/>
          <w:bCs/>
          <w:color w:val="333333"/>
          <w:sz w:val="22"/>
          <w:szCs w:val="22"/>
        </w:rPr>
        <w:t>Dependencies and risks</w:t>
      </w:r>
    </w:p>
    <w:p w14:paraId="11B5EE70">
      <w:pPr>
        <w:spacing w:before="80" w:after="80"/>
      </w:pPr>
      <w:r>
        <w:rPr>
          <w:rFonts w:ascii="Arial" w:hAnsi="Arial" w:eastAsia="Arial" w:cs="Arial"/>
          <w:sz w:val="22"/>
          <w:szCs w:val="22"/>
        </w:rPr>
        <w:t>Depends on UC1. Also depends on the risk management file existing in a structured, machine-readable format. If the risk management file is maintained in a proprietary quality management system tool rather than a structured document format, an integration layer will be required — additional effort that should be clarified with the AI Architect before the initial release.</w:t>
      </w:r>
    </w:p>
    <w:p w14:paraId="3A278E40">
      <w:pPr>
        <w:spacing w:before="80" w:after="80"/>
      </w:pPr>
    </w:p>
    <w:p w14:paraId="31D5627A">
      <w:pPr>
        <w:pStyle w:val="4"/>
        <w:spacing w:before="200" w:after="100"/>
      </w:pPr>
      <w:r>
        <w:rPr>
          <w:rFonts w:ascii="Arial" w:hAnsi="Arial" w:eastAsia="Arial" w:cs="Arial"/>
          <w:b/>
          <w:bCs/>
          <w:color w:val="333333"/>
          <w:sz w:val="22"/>
          <w:szCs w:val="22"/>
        </w:rPr>
        <w:t>Rationale for initial release placement</w:t>
      </w:r>
    </w:p>
    <w:p w14:paraId="0AC08138">
      <w:pPr>
        <w:spacing w:before="80" w:after="80"/>
      </w:pPr>
      <w:r>
        <w:rPr>
          <w:rFonts w:ascii="Arial" w:hAnsi="Arial" w:eastAsia="Arial" w:cs="Arial"/>
          <w:sz w:val="22"/>
          <w:szCs w:val="22"/>
        </w:rPr>
        <w:t>UC3 delivers the highest regulatory value (Risk Savings: 5/5) and shares the same infrastructure as UC1. It directly addresses the core product insight: comparing the SRS against a risk control model and verifying traceability. The initial release already demonstrates the full monitoring → classification → traceability → finding workflow — the value proposition that matters most to regulatory and quality reviewers.</w:t>
      </w:r>
    </w:p>
    <w:p w14:paraId="5D1F013D">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2160"/>
      </w:tblGrid>
      <w:tr w14:paraId="600FB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nil"/>
              <w:left w:val="nil"/>
              <w:bottom w:val="nil"/>
              <w:right w:val="nil"/>
            </w:tcBorders>
            <w:shd w:val="clear" w:color="auto" w:fill="1F4E79"/>
            <w:tcMar>
              <w:top w:w="80" w:type="dxa"/>
              <w:left w:w="120" w:type="dxa"/>
              <w:bottom w:w="80" w:type="dxa"/>
              <w:right w:w="120" w:type="dxa"/>
            </w:tcMar>
          </w:tcPr>
          <w:p w14:paraId="698C21AF">
            <w:r>
              <w:rPr>
                <w:rFonts w:ascii="Arial" w:hAnsi="Arial" w:eastAsia="Arial" w:cs="Arial"/>
                <w:b/>
                <w:bCs/>
                <w:color w:val="FFFFFF"/>
                <w:sz w:val="24"/>
                <w:szCs w:val="24"/>
              </w:rPr>
              <w:t>UC2 — Baseline document to SRS suggestions</w:t>
            </w:r>
          </w:p>
        </w:tc>
        <w:tc>
          <w:tcPr>
            <w:tcW w:w="2160" w:type="dxa"/>
            <w:tcBorders>
              <w:top w:val="nil"/>
              <w:left w:val="nil"/>
              <w:bottom w:val="nil"/>
              <w:right w:val="nil"/>
            </w:tcBorders>
            <w:shd w:val="clear" w:color="auto" w:fill="2E7D32"/>
            <w:tcMar>
              <w:top w:w="80" w:type="dxa"/>
              <w:left w:w="120" w:type="dxa"/>
              <w:bottom w:w="80" w:type="dxa"/>
              <w:right w:w="120" w:type="dxa"/>
            </w:tcMar>
            <w:vAlign w:val="center"/>
          </w:tcPr>
          <w:p w14:paraId="52A21A82">
            <w:pPr>
              <w:jc w:val="center"/>
            </w:pPr>
            <w:r>
              <w:rPr>
                <w:rFonts w:ascii="Arial" w:hAnsi="Arial" w:eastAsia="Arial" w:cs="Arial"/>
                <w:b/>
                <w:bCs/>
                <w:color w:val="FFFFFF"/>
                <w:sz w:val="20"/>
                <w:szCs w:val="20"/>
              </w:rPr>
              <w:t>Release 2</w:t>
            </w:r>
          </w:p>
        </w:tc>
      </w:tr>
    </w:tbl>
    <w:p w14:paraId="4042114B">
      <w:pPr>
        <w:spacing w:before="80" w:after="80"/>
      </w:pPr>
    </w:p>
    <w:p w14:paraId="2D3D4259">
      <w:pPr>
        <w:spacing w:before="80" w:after="80"/>
      </w:pPr>
      <w:r>
        <w:rPr>
          <w:rFonts w:ascii="Arial" w:hAnsi="Arial" w:eastAsia="Arial" w:cs="Arial"/>
          <w:b/>
          <w:bCs/>
          <w:sz w:val="22"/>
          <w:szCs w:val="22"/>
        </w:rPr>
        <w:t>One-line description:</w:t>
      </w:r>
      <w:r>
        <w:rPr>
          <w:rFonts w:ascii="Arial" w:hAnsi="Arial" w:eastAsia="Arial" w:cs="Arial"/>
          <w:sz w:val="22"/>
          <w:szCs w:val="22"/>
        </w:rPr>
        <w:t xml:space="preserve"> When a regulatory document is baselined or approved, automatically generate suggested SRS requirements that should exist to support the document’s scope.</w:t>
      </w:r>
    </w:p>
    <w:p w14:paraId="283CB9B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7BE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6E6E"/>
            <w:tcMar>
              <w:top w:w="60" w:type="dxa"/>
              <w:left w:w="160" w:type="dxa"/>
              <w:bottom w:w="60" w:type="dxa"/>
              <w:right w:w="160" w:type="dxa"/>
            </w:tcMar>
          </w:tcPr>
          <w:p w14:paraId="0867EA9B">
            <w:r>
              <w:rPr>
                <w:rFonts w:ascii="Arial" w:hAnsi="Arial" w:eastAsia="Arial" w:cs="Arial"/>
                <w:b/>
                <w:bCs/>
                <w:color w:val="FFFFFF"/>
                <w:sz w:val="18"/>
                <w:szCs w:val="18"/>
              </w:rPr>
              <w:t>Key term — Baseline</w:t>
            </w:r>
          </w:p>
        </w:tc>
      </w:tr>
      <w:tr w14:paraId="5428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FEF"/>
            <w:tcMar>
              <w:top w:w="100" w:type="dxa"/>
              <w:left w:w="160" w:type="dxa"/>
              <w:bottom w:w="100" w:type="dxa"/>
              <w:right w:w="160" w:type="dxa"/>
            </w:tcMar>
          </w:tcPr>
          <w:p w14:paraId="32BE1E67">
            <w:r>
              <w:rPr>
                <w:rFonts w:ascii="Arial" w:hAnsi="Arial" w:eastAsia="Arial" w:cs="Arial"/>
                <w:color w:val="1A1A1A"/>
                <w:sz w:val="20"/>
                <w:szCs w:val="20"/>
              </w:rPr>
              <w:t>A formally approved version of a controlled document, establishing a reference point for subsequent changes. Under IEC 62304 and both EU MDR and FDA quality system regulations, baselines must be maintained and changes tracked with documented rationale.</w:t>
            </w:r>
          </w:p>
        </w:tc>
      </w:tr>
    </w:tbl>
    <w:p w14:paraId="741E87C4">
      <w:pPr>
        <w:spacing w:before="80" w:after="80"/>
      </w:pPr>
    </w:p>
    <w:p w14:paraId="1D7E83B1">
      <w:pPr>
        <w:spacing w:before="80" w:after="80"/>
      </w:pPr>
      <w:r>
        <w:rPr>
          <w:rFonts w:ascii="Arial" w:hAnsi="Arial" w:eastAsia="Arial" w:cs="Arial"/>
          <w:b/>
          <w:bCs/>
          <w:sz w:val="22"/>
          <w:szCs w:val="22"/>
        </w:rPr>
        <w:t>What triggers it:</w:t>
      </w:r>
      <w:r>
        <w:rPr>
          <w:rFonts w:ascii="Arial" w:hAnsi="Arial" w:eastAsia="Arial" w:cs="Arial"/>
          <w:sz w:val="22"/>
          <w:szCs w:val="22"/>
        </w:rPr>
        <w:t xml:space="preserve"> A document owner marks a document as approved or baselined in the document management platform. The baseline intake module parses the document, extracts requirements and controls, and maps them against the SRS traceability model to generate suggestions.</w:t>
      </w:r>
    </w:p>
    <w:p w14:paraId="60B09A18">
      <w:pPr>
        <w:spacing w:before="80" w:after="80"/>
      </w:pPr>
    </w:p>
    <w:p w14:paraId="39C08ACC">
      <w:pPr>
        <w:spacing w:before="80" w:after="80"/>
      </w:pPr>
      <w:r>
        <w:rPr>
          <w:rFonts w:ascii="Arial" w:hAnsi="Arial" w:eastAsia="Arial" w:cs="Arial"/>
          <w:b/>
          <w:bCs/>
          <w:sz w:val="22"/>
          <w:szCs w:val="22"/>
        </w:rPr>
        <w:t>Who receives the output:</w:t>
      </w:r>
      <w:r>
        <w:rPr>
          <w:rFonts w:ascii="Arial" w:hAnsi="Arial" w:eastAsia="Arial" w:cs="Arial"/>
          <w:sz w:val="22"/>
          <w:szCs w:val="22"/>
        </w:rPr>
        <w:t xml:space="preserve"> The SRS owner receives proposed SRS additions or updates, with citations to the source document and relevant standard clauses.</w:t>
      </w:r>
    </w:p>
    <w:p w14:paraId="2F17E01B">
      <w:pPr>
        <w:spacing w:before="80" w:after="80"/>
      </w:pPr>
    </w:p>
    <w:p w14:paraId="105C1DE0">
      <w:pPr>
        <w:pStyle w:val="4"/>
        <w:spacing w:before="200" w:after="100"/>
      </w:pPr>
      <w:r>
        <w:rPr>
          <w:rFonts w:ascii="Arial" w:hAnsi="Arial" w:eastAsia="Arial" w:cs="Arial"/>
          <w:b/>
          <w:bCs/>
          <w:color w:val="333333"/>
          <w:sz w:val="22"/>
          <w:szCs w:val="22"/>
        </w:rPr>
        <w:t>RICE scores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1800"/>
        <w:gridCol w:w="2160"/>
      </w:tblGrid>
      <w:tr w14:paraId="014CE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74CAD68B">
            <w:pPr>
              <w:jc w:val="left"/>
            </w:pPr>
            <w:r>
              <w:rPr>
                <w:rFonts w:ascii="Arial" w:hAnsi="Arial" w:eastAsia="Arial" w:cs="Arial"/>
                <w:b/>
                <w:bCs/>
                <w:color w:val="FFFFFF"/>
                <w:sz w:val="20"/>
                <w:szCs w:val="20"/>
              </w:rPr>
              <w:t>Risk savings</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13E405C1">
            <w:pPr>
              <w:jc w:val="left"/>
            </w:pPr>
            <w:r>
              <w:rPr>
                <w:rFonts w:ascii="Arial" w:hAnsi="Arial" w:eastAsia="Arial" w:cs="Arial"/>
                <w:b/>
                <w:bCs/>
                <w:color w:val="FFFFFF"/>
                <w:sz w:val="20"/>
                <w:szCs w:val="20"/>
              </w:rPr>
              <w:t>Impact</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53223CDB">
            <w:pPr>
              <w:jc w:val="left"/>
            </w:pPr>
            <w:r>
              <w:rPr>
                <w:rFonts w:ascii="Arial" w:hAnsi="Arial" w:eastAsia="Arial" w:cs="Arial"/>
                <w:b/>
                <w:bCs/>
                <w:color w:val="FFFFFF"/>
                <w:sz w:val="20"/>
                <w:szCs w:val="20"/>
              </w:rPr>
              <w:t>Confidence</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4F3138FE">
            <w:pPr>
              <w:jc w:val="left"/>
            </w:pPr>
            <w:r>
              <w:rPr>
                <w:rFonts w:ascii="Arial" w:hAnsi="Arial" w:eastAsia="Arial" w:cs="Arial"/>
                <w:b/>
                <w:bCs/>
                <w:color w:val="FFFFFF"/>
                <w:sz w:val="20"/>
                <w:szCs w:val="20"/>
              </w:rPr>
              <w:t>Effort</w:t>
            </w:r>
          </w:p>
        </w:tc>
        <w:tc>
          <w:tcPr>
            <w:tcW w:w="2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78BE4681">
            <w:pPr>
              <w:jc w:val="left"/>
            </w:pPr>
            <w:r>
              <w:rPr>
                <w:rFonts w:ascii="Arial" w:hAnsi="Arial" w:eastAsia="Arial" w:cs="Arial"/>
                <w:b/>
                <w:bCs/>
                <w:color w:val="FFFFFF"/>
                <w:sz w:val="20"/>
                <w:szCs w:val="20"/>
              </w:rPr>
              <w:t>RICE score</w:t>
            </w:r>
          </w:p>
        </w:tc>
      </w:tr>
      <w:tr w14:paraId="16A4A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62BA448">
            <w:pPr>
              <w:jc w:val="left"/>
            </w:pPr>
            <w:r>
              <w:rPr>
                <w:rFonts w:ascii="Arial" w:hAnsi="Arial" w:eastAsia="Arial" w:cs="Arial"/>
                <w:b w:val="0"/>
                <w:bCs w:val="0"/>
                <w:color w:val="1A1A1A"/>
                <w:sz w:val="20"/>
                <w:szCs w:val="20"/>
              </w:rPr>
              <w:t>3/5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2FCA35A">
            <w:pPr>
              <w:jc w:val="left"/>
            </w:pPr>
            <w:r>
              <w:rPr>
                <w:rFonts w:ascii="Arial" w:hAnsi="Arial" w:eastAsia="Arial" w:cs="Arial"/>
                <w:b w:val="0"/>
                <w:bCs w:val="0"/>
                <w:color w:val="1A1A1A"/>
                <w:sz w:val="20"/>
                <w:szCs w:val="20"/>
              </w:rPr>
              <w:t>4/5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18E9FC9">
            <w:pPr>
              <w:jc w:val="left"/>
            </w:pPr>
            <w:r>
              <w:rPr>
                <w:rFonts w:ascii="Arial" w:hAnsi="Arial" w:eastAsia="Arial" w:cs="Arial"/>
                <w:b w:val="0"/>
                <w:bCs w:val="0"/>
                <w:color w:val="1A1A1A"/>
                <w:sz w:val="20"/>
                <w:szCs w:val="20"/>
              </w:rPr>
              <w:t>0.75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7EE425F">
            <w:pPr>
              <w:jc w:val="left"/>
            </w:pPr>
            <w:r>
              <w:rPr>
                <w:rFonts w:ascii="Arial" w:hAnsi="Arial" w:eastAsia="Arial" w:cs="Arial"/>
                <w:b w:val="0"/>
                <w:bCs w:val="0"/>
                <w:color w:val="1A1A1A"/>
                <w:sz w:val="20"/>
                <w:szCs w:val="20"/>
              </w:rPr>
              <w:t>3/5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45D5E88">
            <w:pPr>
              <w:jc w:val="left"/>
            </w:pPr>
            <w:r>
              <w:rPr>
                <w:rFonts w:ascii="Arial" w:hAnsi="Arial" w:eastAsia="Arial" w:cs="Arial"/>
                <w:b w:val="0"/>
                <w:bCs w:val="0"/>
                <w:color w:val="1A1A1A"/>
                <w:sz w:val="20"/>
                <w:szCs w:val="20"/>
              </w:rPr>
              <w:t>30</w:t>
            </w:r>
          </w:p>
        </w:tc>
      </w:tr>
    </w:tbl>
    <w:p w14:paraId="1300682F">
      <w:pPr>
        <w:spacing w:before="80" w:after="80"/>
      </w:pPr>
    </w:p>
    <w:p w14:paraId="383D67DC">
      <w:pPr>
        <w:pStyle w:val="4"/>
        <w:spacing w:before="200" w:after="100"/>
      </w:pPr>
      <w:r>
        <w:rPr>
          <w:rFonts w:ascii="Arial" w:hAnsi="Arial" w:eastAsia="Arial" w:cs="Arial"/>
          <w:b/>
          <w:bCs/>
          <w:color w:val="333333"/>
          <w:sz w:val="22"/>
          <w:szCs w:val="22"/>
        </w:rPr>
        <w:t>Benefit breakdown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3402A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0D6E6E"/>
            <w:tcMar>
              <w:top w:w="80" w:type="dxa"/>
              <w:left w:w="120" w:type="dxa"/>
              <w:bottom w:w="80" w:type="dxa"/>
              <w:right w:w="120" w:type="dxa"/>
            </w:tcMar>
            <w:vAlign w:val="top"/>
          </w:tcPr>
          <w:p w14:paraId="1EAFBE80">
            <w:pPr>
              <w:jc w:val="left"/>
            </w:pPr>
            <w:r>
              <w:rPr>
                <w:rFonts w:ascii="Arial" w:hAnsi="Arial" w:eastAsia="Arial" w:cs="Arial"/>
                <w:b/>
                <w:bCs/>
                <w:color w:val="FFFFFF"/>
                <w:sz w:val="20"/>
                <w:szCs w:val="20"/>
              </w:rPr>
              <w:t>Phase 1 — Initial development</w:t>
            </w:r>
          </w:p>
        </w:tc>
        <w:tc>
          <w:tcPr>
            <w:tcW w:w="6240" w:type="dxa"/>
            <w:tcBorders>
              <w:top w:val="single" w:color="CCCCCC" w:sz="0" w:space="0"/>
              <w:left w:val="single" w:color="CCCCCC" w:sz="0" w:space="0"/>
              <w:bottom w:val="single" w:color="CCCCCC" w:sz="0" w:space="0"/>
              <w:right w:val="single" w:color="CCCCCC" w:sz="0" w:space="0"/>
            </w:tcBorders>
            <w:shd w:val="clear" w:color="auto" w:fill="0D6E6E"/>
            <w:tcMar>
              <w:top w:w="80" w:type="dxa"/>
              <w:left w:w="120" w:type="dxa"/>
              <w:bottom w:w="80" w:type="dxa"/>
              <w:right w:w="120" w:type="dxa"/>
            </w:tcMar>
            <w:vAlign w:val="top"/>
          </w:tcPr>
          <w:p w14:paraId="2E4C60B6">
            <w:pPr>
              <w:jc w:val="left"/>
            </w:pPr>
          </w:p>
        </w:tc>
      </w:tr>
      <w:tr w14:paraId="1114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7BA35C0">
            <w:pPr>
              <w:jc w:val="left"/>
            </w:pPr>
            <w:r>
              <w:rPr>
                <w:rFonts w:ascii="Arial" w:hAnsi="Arial" w:eastAsia="Arial" w:cs="Arial"/>
                <w:b w:val="0"/>
                <w:bCs w:val="0"/>
                <w:color w:val="1A1A1A"/>
                <w:sz w:val="20"/>
                <w:szCs w:val="20"/>
              </w:rPr>
              <w:t>Typical events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2733CB5">
            <w:pPr>
              <w:jc w:val="left"/>
            </w:pPr>
            <w:r>
              <w:rPr>
                <w:rFonts w:ascii="Arial" w:hAnsi="Arial" w:eastAsia="Arial" w:cs="Arial"/>
                <w:b w:val="0"/>
                <w:bCs w:val="0"/>
                <w:color w:val="1A1A1A"/>
                <w:sz w:val="20"/>
                <w:szCs w:val="20"/>
              </w:rPr>
              <w:t>3–6 initial baselines during product development (risk management plan, preliminary hazard analysis, usability plan, clinical evaluation plan)</w:t>
            </w:r>
          </w:p>
        </w:tc>
      </w:tr>
      <w:tr w14:paraId="4717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B0203B6">
            <w:pPr>
              <w:jc w:val="left"/>
            </w:pPr>
            <w:r>
              <w:rPr>
                <w:rFonts w:ascii="Arial" w:hAnsi="Arial" w:eastAsia="Arial" w:cs="Arial"/>
                <w:b w:val="0"/>
                <w:bCs w:val="0"/>
                <w:color w:val="1A1A1A"/>
                <w:sz w:val="20"/>
                <w:szCs w:val="20"/>
              </w:rPr>
              <w:t>Time saved per event</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A6AD934">
            <w:pPr>
              <w:jc w:val="left"/>
            </w:pPr>
            <w:r>
              <w:rPr>
                <w:rFonts w:ascii="Arial" w:hAnsi="Arial" w:eastAsia="Arial" w:cs="Arial"/>
                <w:b w:val="0"/>
                <w:bCs w:val="0"/>
                <w:color w:val="1A1A1A"/>
                <w:sz w:val="20"/>
                <w:szCs w:val="20"/>
              </w:rPr>
              <w:t>8–20 hours of initial SRS mapping against each baseline</w:t>
            </w:r>
          </w:p>
        </w:tc>
      </w:tr>
      <w:tr w14:paraId="1FDAC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08BD937">
            <w:pPr>
              <w:jc w:val="left"/>
            </w:pPr>
            <w:r>
              <w:rPr>
                <w:rFonts w:ascii="Arial" w:hAnsi="Arial" w:eastAsia="Arial" w:cs="Arial"/>
                <w:b w:val="0"/>
                <w:bCs w:val="0"/>
                <w:color w:val="1A1A1A"/>
                <w:sz w:val="20"/>
                <w:szCs w:val="20"/>
              </w:rPr>
              <w:t>Total time saving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9CF22C5">
            <w:pPr>
              <w:jc w:val="left"/>
            </w:pPr>
            <w:r>
              <w:rPr>
                <w:rFonts w:ascii="Arial" w:hAnsi="Arial" w:eastAsia="Arial" w:cs="Arial"/>
                <w:b w:val="0"/>
                <w:bCs w:val="0"/>
                <w:color w:val="1A1A1A"/>
                <w:sz w:val="20"/>
                <w:szCs w:val="20"/>
              </w:rPr>
              <w:t>24–120 hours = 3,100–15,600€</w:t>
            </w:r>
          </w:p>
        </w:tc>
      </w:tr>
      <w:tr w14:paraId="0D3E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25B085F">
            <w:pPr>
              <w:jc w:val="left"/>
            </w:pPr>
            <w:r>
              <w:rPr>
                <w:rFonts w:ascii="Arial" w:hAnsi="Arial" w:eastAsia="Arial" w:cs="Arial"/>
                <w:b w:val="0"/>
                <w:bCs w:val="0"/>
                <w:color w:val="1A1A1A"/>
                <w:sz w:val="20"/>
                <w:szCs w:val="20"/>
              </w:rPr>
              <w:t>Regulatory cost avoided</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02BA5FA">
            <w:pPr>
              <w:jc w:val="left"/>
            </w:pPr>
            <w:r>
              <w:rPr>
                <w:rFonts w:ascii="Arial" w:hAnsi="Arial" w:eastAsia="Arial" w:cs="Arial"/>
                <w:b w:val="0"/>
                <w:bCs w:val="0"/>
                <w:color w:val="1A1A1A"/>
                <w:sz w:val="20"/>
                <w:szCs w:val="20"/>
              </w:rPr>
              <w:t>10–25k€ (preventing requirement gaps before first submission)</w:t>
            </w:r>
          </w:p>
        </w:tc>
      </w:tr>
    </w:tbl>
    <w:p w14:paraId="307EF3F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FCD2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712FC792">
            <w:pPr>
              <w:jc w:val="left"/>
            </w:pPr>
            <w:r>
              <w:rPr>
                <w:rFonts w:ascii="Arial" w:hAnsi="Arial" w:eastAsia="Arial" w:cs="Arial"/>
                <w:b/>
                <w:bCs/>
                <w:color w:val="FFFFFF"/>
                <w:sz w:val="20"/>
                <w:szCs w:val="20"/>
              </w:rPr>
              <w:t>Phase 2 — Ongoing maintenance</w:t>
            </w:r>
          </w:p>
        </w:tc>
        <w:tc>
          <w:tcPr>
            <w:tcW w:w="62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476E9A86">
            <w:pPr>
              <w:jc w:val="left"/>
            </w:pPr>
          </w:p>
        </w:tc>
      </w:tr>
      <w:tr w14:paraId="72021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B97FE4E">
            <w:pPr>
              <w:jc w:val="left"/>
            </w:pPr>
            <w:r>
              <w:rPr>
                <w:rFonts w:ascii="Arial" w:hAnsi="Arial" w:eastAsia="Arial" w:cs="Arial"/>
                <w:b w:val="0"/>
                <w:bCs w:val="0"/>
                <w:color w:val="1A1A1A"/>
                <w:sz w:val="20"/>
                <w:szCs w:val="20"/>
              </w:rPr>
              <w:t>Annual events per product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77C4A76">
            <w:pPr>
              <w:jc w:val="left"/>
            </w:pPr>
            <w:r>
              <w:rPr>
                <w:rFonts w:ascii="Arial" w:hAnsi="Arial" w:eastAsia="Arial" w:cs="Arial"/>
                <w:b w:val="0"/>
                <w:bCs w:val="0"/>
                <w:color w:val="1A1A1A"/>
                <w:sz w:val="20"/>
                <w:szCs w:val="20"/>
              </w:rPr>
              <w:t>1–3 document baselines updated per year</w:t>
            </w:r>
          </w:p>
        </w:tc>
      </w:tr>
      <w:tr w14:paraId="6AD0D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CD00F70">
            <w:pPr>
              <w:jc w:val="left"/>
            </w:pPr>
            <w:r>
              <w:rPr>
                <w:rFonts w:ascii="Arial" w:hAnsi="Arial" w:eastAsia="Arial" w:cs="Arial"/>
                <w:b w:val="0"/>
                <w:bCs w:val="0"/>
                <w:color w:val="1A1A1A"/>
                <w:sz w:val="20"/>
                <w:szCs w:val="20"/>
              </w:rPr>
              <w:t>Time saved per event</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ED839E4">
            <w:pPr>
              <w:jc w:val="left"/>
            </w:pPr>
            <w:r>
              <w:rPr>
                <w:rFonts w:ascii="Arial" w:hAnsi="Arial" w:eastAsia="Arial" w:cs="Arial"/>
                <w:b w:val="0"/>
                <w:bCs w:val="0"/>
                <w:color w:val="1A1A1A"/>
                <w:sz w:val="20"/>
                <w:szCs w:val="20"/>
              </w:rPr>
              <w:t>2–8 hours (incremental update)</w:t>
            </w:r>
          </w:p>
        </w:tc>
      </w:tr>
      <w:tr w14:paraId="1996F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D836AD9">
            <w:pPr>
              <w:jc w:val="left"/>
            </w:pPr>
            <w:r>
              <w:rPr>
                <w:rFonts w:ascii="Arial" w:hAnsi="Arial" w:eastAsia="Arial" w:cs="Arial"/>
                <w:b w:val="0"/>
                <w:bCs w:val="0"/>
                <w:color w:val="1A1A1A"/>
                <w:sz w:val="20"/>
                <w:szCs w:val="20"/>
              </w:rPr>
              <w:t>Annual time saving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C4D6421">
            <w:pPr>
              <w:jc w:val="left"/>
            </w:pPr>
            <w:r>
              <w:rPr>
                <w:rFonts w:ascii="Arial" w:hAnsi="Arial" w:eastAsia="Arial" w:cs="Arial"/>
                <w:b w:val="0"/>
                <w:bCs w:val="0"/>
                <w:color w:val="1A1A1A"/>
                <w:sz w:val="20"/>
                <w:szCs w:val="20"/>
              </w:rPr>
              <w:t>2–24 hours = 260–3,100€</w:t>
            </w:r>
          </w:p>
        </w:tc>
      </w:tr>
      <w:tr w14:paraId="15AF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3A716C85">
            <w:pPr>
              <w:jc w:val="left"/>
            </w:pPr>
            <w:r>
              <w:rPr>
                <w:rFonts w:ascii="Arial" w:hAnsi="Arial" w:eastAsia="Arial" w:cs="Arial"/>
                <w:b w:val="0"/>
                <w:bCs w:val="0"/>
                <w:color w:val="1A1A1A"/>
                <w:sz w:val="20"/>
                <w:szCs w:val="20"/>
              </w:rPr>
              <w:t>Regulatory cost avoided</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403617E">
            <w:pPr>
              <w:jc w:val="left"/>
            </w:pPr>
            <w:r>
              <w:rPr>
                <w:rFonts w:ascii="Arial" w:hAnsi="Arial" w:eastAsia="Arial" w:cs="Arial"/>
                <w:b w:val="0"/>
                <w:bCs w:val="0"/>
                <w:color w:val="1A1A1A"/>
                <w:sz w:val="20"/>
                <w:szCs w:val="20"/>
              </w:rPr>
              <w:t>5–15k€ per year</w:t>
            </w:r>
          </w:p>
        </w:tc>
      </w:tr>
      <w:tr w14:paraId="3054E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F8E834B">
            <w:pPr>
              <w:jc w:val="left"/>
            </w:pPr>
            <w:r>
              <w:rPr>
                <w:rFonts w:ascii="Arial" w:hAnsi="Arial" w:eastAsia="Arial" w:cs="Arial"/>
                <w:b w:val="0"/>
                <w:bCs w:val="0"/>
                <w:color w:val="1A1A1A"/>
                <w:sz w:val="20"/>
                <w:szCs w:val="20"/>
              </w:rPr>
              <w:t>LLM operating cost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70B16AF">
            <w:pPr>
              <w:jc w:val="left"/>
            </w:pPr>
            <w:r>
              <w:rPr>
                <w:rFonts w:ascii="Arial" w:hAnsi="Arial" w:eastAsia="Arial" w:cs="Arial"/>
                <w:b w:val="0"/>
                <w:bCs w:val="0"/>
                <w:color w:val="1A1A1A"/>
                <w:sz w:val="20"/>
                <w:szCs w:val="20"/>
              </w:rPr>
              <w:t>Negligible</w:t>
            </w:r>
          </w:p>
        </w:tc>
      </w:tr>
    </w:tbl>
    <w:p w14:paraId="1EA061CC">
      <w:pPr>
        <w:spacing w:before="80" w:after="80"/>
      </w:pPr>
    </w:p>
    <w:p w14:paraId="6D6DD63E">
      <w:pPr>
        <w:pStyle w:val="4"/>
        <w:spacing w:before="200" w:after="100"/>
      </w:pPr>
      <w:r>
        <w:rPr>
          <w:rFonts w:ascii="Arial" w:hAnsi="Arial" w:eastAsia="Arial" w:cs="Arial"/>
          <w:b/>
          <w:bCs/>
          <w:color w:val="333333"/>
          <w:sz w:val="22"/>
          <w:szCs w:val="22"/>
        </w:rPr>
        <w:t>Key assumptions</w:t>
      </w:r>
    </w:p>
    <w:p w14:paraId="15903105">
      <w:pPr>
        <w:pStyle w:val="14"/>
        <w:numPr>
          <w:ilvl w:val="0"/>
          <w:numId w:val="1"/>
        </w:numPr>
        <w:spacing w:before="40" w:after="40"/>
      </w:pPr>
      <w:r>
        <w:rPr>
          <w:rFonts w:ascii="Arial" w:hAnsi="Arial" w:eastAsia="Arial" w:cs="Arial"/>
          <w:sz w:val="22"/>
          <w:szCs w:val="22"/>
        </w:rPr>
        <w:t>Primary Phase 1 benefit: all regulatory documents being baselined for the first time. For a mature product, per-event Phase 2 benefit is lower.</w:t>
      </w:r>
    </w:p>
    <w:p w14:paraId="2E884DBF">
      <w:pPr>
        <w:pStyle w:val="14"/>
        <w:numPr>
          <w:ilvl w:val="0"/>
          <w:numId w:val="1"/>
        </w:numPr>
        <w:spacing w:before="40" w:after="40"/>
      </w:pPr>
      <w:r>
        <w:rPr>
          <w:rFonts w:ascii="Arial" w:hAnsi="Arial" w:eastAsia="Arial" w:cs="Arial"/>
          <w:sz w:val="22"/>
          <w:szCs w:val="22"/>
        </w:rPr>
        <w:t>Quality of suggestions depends on document structure. Structured documents with explicit control identifiers generate precise, traceable suggestions; narrative-style documents generate less specific ones.</w:t>
      </w:r>
    </w:p>
    <w:p w14:paraId="79522F76">
      <w:pPr>
        <w:spacing w:before="80" w:after="80"/>
      </w:pPr>
    </w:p>
    <w:p w14:paraId="703305F1">
      <w:pPr>
        <w:pStyle w:val="4"/>
        <w:spacing w:before="200" w:after="100"/>
      </w:pPr>
      <w:r>
        <w:rPr>
          <w:rFonts w:ascii="Arial" w:hAnsi="Arial" w:eastAsia="Arial" w:cs="Arial"/>
          <w:b/>
          <w:bCs/>
          <w:color w:val="333333"/>
          <w:sz w:val="22"/>
          <w:szCs w:val="22"/>
        </w:rPr>
        <w:t>Rationale for Release 2 placement</w:t>
      </w:r>
    </w:p>
    <w:p w14:paraId="616D1955">
      <w:pPr>
        <w:spacing w:before="80" w:after="80"/>
      </w:pPr>
      <w:r>
        <w:rPr>
          <w:rFonts w:ascii="Arial" w:hAnsi="Arial" w:eastAsia="Arial" w:cs="Arial"/>
          <w:sz w:val="22"/>
          <w:szCs w:val="22"/>
        </w:rPr>
        <w:t>Requires additional infrastructure beyond the core UC1/UC3 loop: a baseline intake parser handling multiple document types, and an owner notification routing system. Deferring to Release 2 allows validation of the core approach first.</w:t>
      </w:r>
    </w:p>
    <w:p w14:paraId="3EA5FC2F">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2160"/>
      </w:tblGrid>
      <w:tr w14:paraId="163B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nil"/>
              <w:left w:val="nil"/>
              <w:bottom w:val="nil"/>
              <w:right w:val="nil"/>
            </w:tcBorders>
            <w:shd w:val="clear" w:color="auto" w:fill="1F4E79"/>
            <w:tcMar>
              <w:top w:w="80" w:type="dxa"/>
              <w:left w:w="120" w:type="dxa"/>
              <w:bottom w:w="80" w:type="dxa"/>
              <w:right w:w="120" w:type="dxa"/>
            </w:tcMar>
          </w:tcPr>
          <w:p w14:paraId="18BC274F">
            <w:r>
              <w:rPr>
                <w:rFonts w:ascii="Arial" w:hAnsi="Arial" w:eastAsia="Arial" w:cs="Arial"/>
                <w:b/>
                <w:bCs/>
                <w:color w:val="FFFFFF"/>
                <w:sz w:val="24"/>
                <w:szCs w:val="24"/>
              </w:rPr>
              <w:t>UC5 — Cybersecurity change impact (IEC 81001-5-1 / OWASP ASVS)</w:t>
            </w:r>
          </w:p>
        </w:tc>
        <w:tc>
          <w:tcPr>
            <w:tcW w:w="2160" w:type="dxa"/>
            <w:tcBorders>
              <w:top w:val="nil"/>
              <w:left w:val="nil"/>
              <w:bottom w:val="nil"/>
              <w:right w:val="nil"/>
            </w:tcBorders>
            <w:shd w:val="clear" w:color="auto" w:fill="2E7D32"/>
            <w:tcMar>
              <w:top w:w="80" w:type="dxa"/>
              <w:left w:w="120" w:type="dxa"/>
              <w:bottom w:w="80" w:type="dxa"/>
              <w:right w:w="120" w:type="dxa"/>
            </w:tcMar>
            <w:vAlign w:val="center"/>
          </w:tcPr>
          <w:p w14:paraId="4DAC4C4D">
            <w:pPr>
              <w:jc w:val="center"/>
            </w:pPr>
            <w:r>
              <w:rPr>
                <w:rFonts w:ascii="Arial" w:hAnsi="Arial" w:eastAsia="Arial" w:cs="Arial"/>
                <w:b/>
                <w:bCs/>
                <w:color w:val="FFFFFF"/>
                <w:sz w:val="20"/>
                <w:szCs w:val="20"/>
              </w:rPr>
              <w:t>Release 2</w:t>
            </w:r>
          </w:p>
        </w:tc>
      </w:tr>
    </w:tbl>
    <w:p w14:paraId="6D390929">
      <w:pPr>
        <w:spacing w:before="80" w:after="80"/>
      </w:pPr>
    </w:p>
    <w:p w14:paraId="59A73532">
      <w:pPr>
        <w:spacing w:before="80" w:after="80"/>
      </w:pPr>
      <w:r>
        <w:rPr>
          <w:rFonts w:ascii="Arial" w:hAnsi="Arial" w:eastAsia="Arial" w:cs="Arial"/>
          <w:b/>
          <w:bCs/>
          <w:sz w:val="22"/>
          <w:szCs w:val="22"/>
        </w:rPr>
        <w:t>One-line description:</w:t>
      </w:r>
      <w:r>
        <w:rPr>
          <w:rFonts w:ascii="Arial" w:hAnsi="Arial" w:eastAsia="Arial" w:cs="Arial"/>
          <w:sz w:val="22"/>
          <w:szCs w:val="22"/>
        </w:rPr>
        <w:t xml:space="preserve"> When an SRS change introduces or modifies interfaces, data flows, authentication, or encryption requirements, verify coverage against IEC 81001-5-1 controls and OWASP ASVS requirements.</w:t>
      </w:r>
    </w:p>
    <w:p w14:paraId="09BD644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1BB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6E6E"/>
            <w:tcMar>
              <w:top w:w="60" w:type="dxa"/>
              <w:left w:w="160" w:type="dxa"/>
              <w:bottom w:w="60" w:type="dxa"/>
              <w:right w:w="160" w:type="dxa"/>
            </w:tcMar>
          </w:tcPr>
          <w:p w14:paraId="506EFAF3">
            <w:r>
              <w:rPr>
                <w:rFonts w:ascii="Arial" w:hAnsi="Arial" w:eastAsia="Arial" w:cs="Arial"/>
                <w:b/>
                <w:bCs/>
                <w:color w:val="FFFFFF"/>
                <w:sz w:val="18"/>
                <w:szCs w:val="18"/>
              </w:rPr>
              <w:t>Key term — IEC 81001-5-1</w:t>
            </w:r>
          </w:p>
        </w:tc>
      </w:tr>
      <w:tr w14:paraId="016A3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FEF"/>
            <w:tcMar>
              <w:top w:w="100" w:type="dxa"/>
              <w:left w:w="160" w:type="dxa"/>
              <w:bottom w:w="100" w:type="dxa"/>
              <w:right w:w="160" w:type="dxa"/>
            </w:tcMar>
          </w:tcPr>
          <w:p w14:paraId="0BD56191">
            <w:r>
              <w:rPr>
                <w:rFonts w:ascii="Arial" w:hAnsi="Arial" w:eastAsia="Arial" w:cs="Arial"/>
                <w:color w:val="1A1A1A"/>
                <w:sz w:val="20"/>
                <w:szCs w:val="20"/>
              </w:rPr>
              <w:t>International standard for cybersecurity activities throughout the health software lifecycle. Referenced in FDA pre-market cybersecurity guidance (updated 2026) and required under EU MDR Annex I General Safety and Performance Requirements for networked and connected devices. Applicable in both regulatory contexts.</w:t>
            </w:r>
          </w:p>
        </w:tc>
      </w:tr>
    </w:tbl>
    <w:p w14:paraId="6A533B35">
      <w:pPr>
        <w:spacing w:before="80" w:after="80"/>
      </w:pPr>
    </w:p>
    <w:p w14:paraId="153C1BE5">
      <w:pPr>
        <w:spacing w:before="80" w:after="80"/>
      </w:pPr>
      <w:r>
        <w:rPr>
          <w:rFonts w:ascii="Arial" w:hAnsi="Arial" w:eastAsia="Arial" w:cs="Arial"/>
          <w:b/>
          <w:bCs/>
          <w:sz w:val="22"/>
          <w:szCs w:val="22"/>
        </w:rPr>
        <w:t>What triggers it:</w:t>
      </w:r>
      <w:r>
        <w:rPr>
          <w:rFonts w:ascii="Arial" w:hAnsi="Arial" w:eastAsia="Arial" w:cs="Arial"/>
          <w:sz w:val="22"/>
          <w:szCs w:val="22"/>
        </w:rPr>
        <w:t xml:space="preserve"> UC1 classifies a change as ‘security/data flows.’ The cybersecurity sub-check queries the OWASP ASVS structured checklist and IEC 81001-5-1 clause summaries and cross-checks against the threat model document.</w:t>
      </w:r>
    </w:p>
    <w:p w14:paraId="257D0E6E">
      <w:pPr>
        <w:spacing w:before="80" w:after="80"/>
      </w:pPr>
    </w:p>
    <w:p w14:paraId="3B5D3C7B">
      <w:pPr>
        <w:spacing w:before="80" w:after="80"/>
      </w:pPr>
      <w:r>
        <w:rPr>
          <w:rFonts w:ascii="Arial" w:hAnsi="Arial" w:eastAsia="Arial" w:cs="Arial"/>
          <w:b/>
          <w:bCs/>
          <w:sz w:val="22"/>
          <w:szCs w:val="22"/>
        </w:rPr>
        <w:t>Who receives the output:</w:t>
      </w:r>
      <w:r>
        <w:rPr>
          <w:rFonts w:ascii="Arial" w:hAnsi="Arial" w:eastAsia="Arial" w:cs="Arial"/>
          <w:sz w:val="22"/>
          <w:szCs w:val="22"/>
        </w:rPr>
        <w:t xml:space="preserve"> The Cybersecurity Engineer receives findings identifying interfaces or data flows lacking corresponding security requirements, with citations to OWASP ASVS sections and IEC 81001-5-1 clauses.</w:t>
      </w:r>
    </w:p>
    <w:p w14:paraId="21DA582D">
      <w:pPr>
        <w:spacing w:before="80" w:after="80"/>
      </w:pPr>
    </w:p>
    <w:p w14:paraId="2FCCD323">
      <w:pPr>
        <w:pStyle w:val="4"/>
        <w:spacing w:before="200" w:after="100"/>
      </w:pPr>
      <w:r>
        <w:rPr>
          <w:rFonts w:ascii="Arial" w:hAnsi="Arial" w:eastAsia="Arial" w:cs="Arial"/>
          <w:b/>
          <w:bCs/>
          <w:color w:val="333333"/>
          <w:sz w:val="22"/>
          <w:szCs w:val="22"/>
        </w:rPr>
        <w:t>RICE scores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1800"/>
        <w:gridCol w:w="2160"/>
      </w:tblGrid>
      <w:tr w14:paraId="28F3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28E72CFF">
            <w:pPr>
              <w:jc w:val="left"/>
            </w:pPr>
            <w:r>
              <w:rPr>
                <w:rFonts w:ascii="Arial" w:hAnsi="Arial" w:eastAsia="Arial" w:cs="Arial"/>
                <w:b/>
                <w:bCs/>
                <w:color w:val="FFFFFF"/>
                <w:sz w:val="20"/>
                <w:szCs w:val="20"/>
              </w:rPr>
              <w:t>Risk savings</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3FF94E07">
            <w:pPr>
              <w:jc w:val="left"/>
            </w:pPr>
            <w:r>
              <w:rPr>
                <w:rFonts w:ascii="Arial" w:hAnsi="Arial" w:eastAsia="Arial" w:cs="Arial"/>
                <w:b/>
                <w:bCs/>
                <w:color w:val="FFFFFF"/>
                <w:sz w:val="20"/>
                <w:szCs w:val="20"/>
              </w:rPr>
              <w:t>Impact</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18519056">
            <w:pPr>
              <w:jc w:val="left"/>
            </w:pPr>
            <w:r>
              <w:rPr>
                <w:rFonts w:ascii="Arial" w:hAnsi="Arial" w:eastAsia="Arial" w:cs="Arial"/>
                <w:b/>
                <w:bCs/>
                <w:color w:val="FFFFFF"/>
                <w:sz w:val="20"/>
                <w:szCs w:val="20"/>
              </w:rPr>
              <w:t>Confidence</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25179EB9">
            <w:pPr>
              <w:jc w:val="left"/>
            </w:pPr>
            <w:r>
              <w:rPr>
                <w:rFonts w:ascii="Arial" w:hAnsi="Arial" w:eastAsia="Arial" w:cs="Arial"/>
                <w:b/>
                <w:bCs/>
                <w:color w:val="FFFFFF"/>
                <w:sz w:val="20"/>
                <w:szCs w:val="20"/>
              </w:rPr>
              <w:t>Effort</w:t>
            </w:r>
          </w:p>
        </w:tc>
        <w:tc>
          <w:tcPr>
            <w:tcW w:w="2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6CF4A3FD">
            <w:pPr>
              <w:jc w:val="left"/>
            </w:pPr>
            <w:r>
              <w:rPr>
                <w:rFonts w:ascii="Arial" w:hAnsi="Arial" w:eastAsia="Arial" w:cs="Arial"/>
                <w:b/>
                <w:bCs/>
                <w:color w:val="FFFFFF"/>
                <w:sz w:val="20"/>
                <w:szCs w:val="20"/>
              </w:rPr>
              <w:t>RICE score</w:t>
            </w:r>
          </w:p>
        </w:tc>
      </w:tr>
      <w:tr w14:paraId="76FFA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CE94EBF">
            <w:pPr>
              <w:jc w:val="left"/>
            </w:pPr>
            <w:r>
              <w:rPr>
                <w:rFonts w:ascii="Arial" w:hAnsi="Arial" w:eastAsia="Arial" w:cs="Arial"/>
                <w:b w:val="0"/>
                <w:bCs w:val="0"/>
                <w:color w:val="1A1A1A"/>
                <w:sz w:val="20"/>
                <w:szCs w:val="20"/>
              </w:rPr>
              <w:t>3/5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D38F704">
            <w:pPr>
              <w:jc w:val="left"/>
            </w:pPr>
            <w:r>
              <w:rPr>
                <w:rFonts w:ascii="Arial" w:hAnsi="Arial" w:eastAsia="Arial" w:cs="Arial"/>
                <w:b w:val="0"/>
                <w:bCs w:val="0"/>
                <w:color w:val="1A1A1A"/>
                <w:sz w:val="20"/>
                <w:szCs w:val="20"/>
              </w:rPr>
              <w:t>3/5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D88489F">
            <w:pPr>
              <w:jc w:val="left"/>
            </w:pPr>
            <w:r>
              <w:rPr>
                <w:rFonts w:ascii="Arial" w:hAnsi="Arial" w:eastAsia="Arial" w:cs="Arial"/>
                <w:b w:val="0"/>
                <w:bCs w:val="0"/>
                <w:color w:val="1A1A1A"/>
                <w:sz w:val="20"/>
                <w:szCs w:val="20"/>
              </w:rPr>
              <w:t>0.70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AFDD195">
            <w:pPr>
              <w:jc w:val="left"/>
            </w:pPr>
            <w:r>
              <w:rPr>
                <w:rFonts w:ascii="Arial" w:hAnsi="Arial" w:eastAsia="Arial" w:cs="Arial"/>
                <w:b w:val="0"/>
                <w:bCs w:val="0"/>
                <w:color w:val="1A1A1A"/>
                <w:sz w:val="20"/>
                <w:szCs w:val="20"/>
              </w:rPr>
              <w:t>3/5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5CAC6E5">
            <w:pPr>
              <w:jc w:val="left"/>
            </w:pPr>
            <w:r>
              <w:rPr>
                <w:rFonts w:ascii="Arial" w:hAnsi="Arial" w:eastAsia="Arial" w:cs="Arial"/>
                <w:b w:val="0"/>
                <w:bCs w:val="0"/>
                <w:color w:val="1A1A1A"/>
                <w:sz w:val="20"/>
                <w:szCs w:val="20"/>
              </w:rPr>
              <w:t>21</w:t>
            </w:r>
          </w:p>
        </w:tc>
      </w:tr>
    </w:tbl>
    <w:p w14:paraId="799E617A">
      <w:pPr>
        <w:spacing w:before="80" w:after="80"/>
      </w:pPr>
    </w:p>
    <w:p w14:paraId="7D34D832">
      <w:pPr>
        <w:pStyle w:val="4"/>
        <w:spacing w:before="200" w:after="100"/>
      </w:pPr>
      <w:r>
        <w:rPr>
          <w:rFonts w:ascii="Arial" w:hAnsi="Arial" w:eastAsia="Arial" w:cs="Arial"/>
          <w:b/>
          <w:bCs/>
          <w:color w:val="333333"/>
          <w:sz w:val="22"/>
          <w:szCs w:val="22"/>
        </w:rPr>
        <w:t>Benefit breakdown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689C5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CCCCCC" w:sz="0" w:space="0"/>
              <w:left w:val="single" w:color="CCCCCC" w:sz="0" w:space="0"/>
              <w:bottom w:val="single" w:color="CCCCCC" w:sz="0" w:space="0"/>
              <w:right w:val="single" w:color="CCCCCC" w:sz="0" w:space="0"/>
            </w:tcBorders>
            <w:shd w:val="clear" w:color="auto" w:fill="0D6E6E"/>
            <w:tcMar>
              <w:top w:w="80" w:type="dxa"/>
              <w:left w:w="120" w:type="dxa"/>
              <w:bottom w:w="80" w:type="dxa"/>
              <w:right w:w="120" w:type="dxa"/>
            </w:tcMar>
            <w:vAlign w:val="top"/>
          </w:tcPr>
          <w:p w14:paraId="140A84E5">
            <w:pPr>
              <w:jc w:val="left"/>
            </w:pPr>
            <w:r>
              <w:rPr>
                <w:rFonts w:ascii="Arial" w:hAnsi="Arial" w:eastAsia="Arial" w:cs="Arial"/>
                <w:b/>
                <w:bCs/>
                <w:color w:val="FFFFFF"/>
                <w:sz w:val="20"/>
                <w:szCs w:val="20"/>
              </w:rPr>
              <w:t>Phase 1 — Initial development</w:t>
            </w:r>
          </w:p>
        </w:tc>
        <w:tc>
          <w:tcPr>
            <w:tcW w:w="6240" w:type="dxa"/>
            <w:tcBorders>
              <w:top w:val="single" w:color="CCCCCC" w:sz="0" w:space="0"/>
              <w:left w:val="single" w:color="CCCCCC" w:sz="0" w:space="0"/>
              <w:bottom w:val="single" w:color="CCCCCC" w:sz="0" w:space="0"/>
              <w:right w:val="single" w:color="CCCCCC" w:sz="0" w:space="0"/>
            </w:tcBorders>
            <w:shd w:val="clear" w:color="auto" w:fill="0D6E6E"/>
            <w:tcMar>
              <w:top w:w="80" w:type="dxa"/>
              <w:left w:w="120" w:type="dxa"/>
              <w:bottom w:w="80" w:type="dxa"/>
              <w:right w:w="120" w:type="dxa"/>
            </w:tcMar>
            <w:vAlign w:val="top"/>
          </w:tcPr>
          <w:p w14:paraId="02F1054D">
            <w:pPr>
              <w:jc w:val="left"/>
            </w:pPr>
          </w:p>
        </w:tc>
      </w:tr>
      <w:tr w14:paraId="36E4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AE2648C">
            <w:pPr>
              <w:jc w:val="left"/>
            </w:pPr>
            <w:r>
              <w:rPr>
                <w:rFonts w:ascii="Arial" w:hAnsi="Arial" w:eastAsia="Arial" w:cs="Arial"/>
                <w:b w:val="0"/>
                <w:bCs w:val="0"/>
                <w:color w:val="1A1A1A"/>
                <w:sz w:val="20"/>
                <w:szCs w:val="20"/>
              </w:rPr>
              <w:t>Typical events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05BE3FF">
            <w:pPr>
              <w:jc w:val="left"/>
            </w:pPr>
            <w:r>
              <w:rPr>
                <w:rFonts w:ascii="Arial" w:hAnsi="Arial" w:eastAsia="Arial" w:cs="Arial"/>
                <w:b w:val="0"/>
                <w:bCs w:val="0"/>
                <w:color w:val="1A1A1A"/>
                <w:sz w:val="20"/>
                <w:szCs w:val="20"/>
              </w:rPr>
              <w:t>5–15 SRS changes touching interfaces or security requirements during development</w:t>
            </w:r>
          </w:p>
        </w:tc>
      </w:tr>
      <w:tr w14:paraId="437D1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3D104BB3">
            <w:pPr>
              <w:jc w:val="left"/>
            </w:pPr>
            <w:r>
              <w:rPr>
                <w:rFonts w:ascii="Arial" w:hAnsi="Arial" w:eastAsia="Arial" w:cs="Arial"/>
                <w:b w:val="0"/>
                <w:bCs w:val="0"/>
                <w:color w:val="1A1A1A"/>
                <w:sz w:val="20"/>
                <w:szCs w:val="20"/>
              </w:rPr>
              <w:t>Time saved per event</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123B50B">
            <w:pPr>
              <w:jc w:val="left"/>
            </w:pPr>
            <w:r>
              <w:rPr>
                <w:rFonts w:ascii="Arial" w:hAnsi="Arial" w:eastAsia="Arial" w:cs="Arial"/>
                <w:b w:val="0"/>
                <w:bCs w:val="0"/>
                <w:color w:val="1A1A1A"/>
                <w:sz w:val="20"/>
                <w:szCs w:val="20"/>
              </w:rPr>
              <w:t>2–5 hours of manual security requirement cross-check</w:t>
            </w:r>
          </w:p>
        </w:tc>
      </w:tr>
      <w:tr w14:paraId="357B1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DD4967C">
            <w:pPr>
              <w:jc w:val="left"/>
            </w:pPr>
            <w:r>
              <w:rPr>
                <w:rFonts w:ascii="Arial" w:hAnsi="Arial" w:eastAsia="Arial" w:cs="Arial"/>
                <w:b w:val="0"/>
                <w:bCs w:val="0"/>
                <w:color w:val="1A1A1A"/>
                <w:sz w:val="20"/>
                <w:szCs w:val="20"/>
              </w:rPr>
              <w:t>Total time saving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3C7E571">
            <w:pPr>
              <w:jc w:val="left"/>
            </w:pPr>
            <w:r>
              <w:rPr>
                <w:rFonts w:ascii="Arial" w:hAnsi="Arial" w:eastAsia="Arial" w:cs="Arial"/>
                <w:b w:val="0"/>
                <w:bCs w:val="0"/>
                <w:color w:val="1A1A1A"/>
                <w:sz w:val="20"/>
                <w:szCs w:val="20"/>
              </w:rPr>
              <w:t>10–75 hours = 1,300–9,750€</w:t>
            </w:r>
          </w:p>
        </w:tc>
      </w:tr>
      <w:tr w14:paraId="7D4A9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3BA12FF0">
            <w:pPr>
              <w:jc w:val="left"/>
            </w:pPr>
            <w:r>
              <w:rPr>
                <w:rFonts w:ascii="Arial" w:hAnsi="Arial" w:eastAsia="Arial" w:cs="Arial"/>
                <w:b w:val="0"/>
                <w:bCs w:val="0"/>
                <w:color w:val="1A1A1A"/>
                <w:sz w:val="20"/>
                <w:szCs w:val="20"/>
              </w:rPr>
              <w:t>Regulatory cost avoided</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3EE9A3A6">
            <w:pPr>
              <w:jc w:val="left"/>
            </w:pPr>
            <w:r>
              <w:rPr>
                <w:rFonts w:ascii="Arial" w:hAnsi="Arial" w:eastAsia="Arial" w:cs="Arial"/>
                <w:b w:val="0"/>
                <w:bCs w:val="0"/>
                <w:color w:val="1A1A1A"/>
                <w:sz w:val="20"/>
                <w:szCs w:val="20"/>
              </w:rPr>
              <w:t>8–20k€ (cybersecurity gaps are a growing deficiency source under both FDA guidance and EU MDR Annex I)</w:t>
            </w:r>
          </w:p>
        </w:tc>
      </w:tr>
    </w:tbl>
    <w:p w14:paraId="7A2A671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718F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6FE12A67">
            <w:pPr>
              <w:jc w:val="left"/>
            </w:pPr>
            <w:r>
              <w:rPr>
                <w:rFonts w:ascii="Arial" w:hAnsi="Arial" w:eastAsia="Arial" w:cs="Arial"/>
                <w:b/>
                <w:bCs/>
                <w:color w:val="FFFFFF"/>
                <w:sz w:val="20"/>
                <w:szCs w:val="20"/>
              </w:rPr>
              <w:t>Phase 2 — Ongoing maintenance</w:t>
            </w:r>
          </w:p>
        </w:tc>
        <w:tc>
          <w:tcPr>
            <w:tcW w:w="62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19836F21">
            <w:pPr>
              <w:jc w:val="left"/>
            </w:pPr>
          </w:p>
        </w:tc>
      </w:tr>
      <w:tr w14:paraId="6B82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ABB2E39">
            <w:pPr>
              <w:jc w:val="left"/>
            </w:pPr>
            <w:r>
              <w:rPr>
                <w:rFonts w:ascii="Arial" w:hAnsi="Arial" w:eastAsia="Arial" w:cs="Arial"/>
                <w:b w:val="0"/>
                <w:bCs w:val="0"/>
                <w:color w:val="1A1A1A"/>
                <w:sz w:val="20"/>
                <w:szCs w:val="20"/>
              </w:rPr>
              <w:t>Annual events per product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C54FD0A">
            <w:pPr>
              <w:jc w:val="left"/>
            </w:pPr>
            <w:r>
              <w:rPr>
                <w:rFonts w:ascii="Arial" w:hAnsi="Arial" w:eastAsia="Arial" w:cs="Arial"/>
                <w:b w:val="0"/>
                <w:bCs w:val="0"/>
                <w:color w:val="1A1A1A"/>
                <w:sz w:val="20"/>
                <w:szCs w:val="20"/>
              </w:rPr>
              <w:t>2–8 security-relevant SRS changes per year</w:t>
            </w:r>
          </w:p>
        </w:tc>
      </w:tr>
      <w:tr w14:paraId="60969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4221596">
            <w:pPr>
              <w:jc w:val="left"/>
            </w:pPr>
            <w:r>
              <w:rPr>
                <w:rFonts w:ascii="Arial" w:hAnsi="Arial" w:eastAsia="Arial" w:cs="Arial"/>
                <w:b w:val="0"/>
                <w:bCs w:val="0"/>
                <w:color w:val="1A1A1A"/>
                <w:sz w:val="20"/>
                <w:szCs w:val="20"/>
              </w:rPr>
              <w:t>Time saved per event</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E1BEDD9">
            <w:pPr>
              <w:jc w:val="left"/>
            </w:pPr>
            <w:r>
              <w:rPr>
                <w:rFonts w:ascii="Arial" w:hAnsi="Arial" w:eastAsia="Arial" w:cs="Arial"/>
                <w:b w:val="0"/>
                <w:bCs w:val="0"/>
                <w:color w:val="1A1A1A"/>
                <w:sz w:val="20"/>
                <w:szCs w:val="20"/>
              </w:rPr>
              <w:t>3–8 hours</w:t>
            </w:r>
          </w:p>
        </w:tc>
      </w:tr>
      <w:tr w14:paraId="61C24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BC6CB68">
            <w:pPr>
              <w:jc w:val="left"/>
            </w:pPr>
            <w:r>
              <w:rPr>
                <w:rFonts w:ascii="Arial" w:hAnsi="Arial" w:eastAsia="Arial" w:cs="Arial"/>
                <w:b w:val="0"/>
                <w:bCs w:val="0"/>
                <w:color w:val="1A1A1A"/>
                <w:sz w:val="20"/>
                <w:szCs w:val="20"/>
              </w:rPr>
              <w:t>Annual time saving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580A8FB">
            <w:pPr>
              <w:jc w:val="left"/>
            </w:pPr>
            <w:r>
              <w:rPr>
                <w:rFonts w:ascii="Arial" w:hAnsi="Arial" w:eastAsia="Arial" w:cs="Arial"/>
                <w:b w:val="0"/>
                <w:bCs w:val="0"/>
                <w:color w:val="1A1A1A"/>
                <w:sz w:val="20"/>
                <w:szCs w:val="20"/>
              </w:rPr>
              <w:t>6–64 hours = 780–8,300€</w:t>
            </w:r>
          </w:p>
        </w:tc>
      </w:tr>
      <w:tr w14:paraId="59B63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9DFC62F">
            <w:pPr>
              <w:jc w:val="left"/>
            </w:pPr>
            <w:r>
              <w:rPr>
                <w:rFonts w:ascii="Arial" w:hAnsi="Arial" w:eastAsia="Arial" w:cs="Arial"/>
                <w:b w:val="0"/>
                <w:bCs w:val="0"/>
                <w:color w:val="1A1A1A"/>
                <w:sz w:val="20"/>
                <w:szCs w:val="20"/>
              </w:rPr>
              <w:t>Regulatory cost avoided</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9AB3C9D">
            <w:pPr>
              <w:jc w:val="left"/>
            </w:pPr>
            <w:r>
              <w:rPr>
                <w:rFonts w:ascii="Arial" w:hAnsi="Arial" w:eastAsia="Arial" w:cs="Arial"/>
                <w:b w:val="0"/>
                <w:bCs w:val="0"/>
                <w:color w:val="1A1A1A"/>
                <w:sz w:val="20"/>
                <w:szCs w:val="20"/>
              </w:rPr>
              <w:t>5–10k€ per year</w:t>
            </w:r>
          </w:p>
        </w:tc>
      </w:tr>
      <w:tr w14:paraId="246F0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5246DEE">
            <w:pPr>
              <w:jc w:val="left"/>
            </w:pPr>
            <w:r>
              <w:rPr>
                <w:rFonts w:ascii="Arial" w:hAnsi="Arial" w:eastAsia="Arial" w:cs="Arial"/>
                <w:b w:val="0"/>
                <w:bCs w:val="0"/>
                <w:color w:val="1A1A1A"/>
                <w:sz w:val="20"/>
                <w:szCs w:val="20"/>
              </w:rPr>
              <w:t>LLM operating cost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D8EFB5A">
            <w:pPr>
              <w:jc w:val="left"/>
            </w:pPr>
            <w:r>
              <w:rPr>
                <w:rFonts w:ascii="Arial" w:hAnsi="Arial" w:eastAsia="Arial" w:cs="Arial"/>
                <w:b w:val="0"/>
                <w:bCs w:val="0"/>
                <w:color w:val="1A1A1A"/>
                <w:sz w:val="20"/>
                <w:szCs w:val="20"/>
              </w:rPr>
              <w:t>Negligible</w:t>
            </w:r>
          </w:p>
        </w:tc>
      </w:tr>
    </w:tbl>
    <w:p w14:paraId="403E9475">
      <w:pPr>
        <w:spacing w:before="80" w:after="80"/>
      </w:pPr>
    </w:p>
    <w:p w14:paraId="71D17ADA">
      <w:pPr>
        <w:pStyle w:val="4"/>
        <w:spacing w:before="200" w:after="100"/>
      </w:pPr>
      <w:r>
        <w:rPr>
          <w:rFonts w:ascii="Arial" w:hAnsi="Arial" w:eastAsia="Arial" w:cs="Arial"/>
          <w:b/>
          <w:bCs/>
          <w:color w:val="333333"/>
          <w:sz w:val="22"/>
          <w:szCs w:val="22"/>
        </w:rPr>
        <w:t>Key assumptions</w:t>
      </w:r>
    </w:p>
    <w:p w14:paraId="6C8CAC00">
      <w:pPr>
        <w:pStyle w:val="14"/>
        <w:numPr>
          <w:ilvl w:val="0"/>
          <w:numId w:val="1"/>
        </w:numPr>
        <w:spacing w:before="40" w:after="40"/>
      </w:pPr>
      <w:r>
        <w:rPr>
          <w:rFonts w:ascii="Arial" w:hAnsi="Arial" w:eastAsia="Arial" w:cs="Arial"/>
          <w:sz w:val="22"/>
          <w:szCs w:val="22"/>
        </w:rPr>
        <w:t>OWASP ASVS is freely available and can be incorporated without licensing restrictions. IEC 81001-5-1 reference corpus will be built from clause summaries and publicly available mapping tables rather than the full normative text (paid standard).</w:t>
      </w:r>
    </w:p>
    <w:p w14:paraId="59ECB243">
      <w:pPr>
        <w:pStyle w:val="14"/>
        <w:numPr>
          <w:ilvl w:val="0"/>
          <w:numId w:val="1"/>
        </w:numPr>
        <w:spacing w:before="40" w:after="40"/>
      </w:pPr>
      <w:r>
        <w:rPr>
          <w:rFonts w:ascii="Arial" w:hAnsi="Arial" w:eastAsia="Arial" w:cs="Arial"/>
          <w:sz w:val="22"/>
          <w:szCs w:val="22"/>
        </w:rPr>
        <w:t>A structured threat model document must exist in machine-readable format. If not, a parsing step is required — additional effort to be clarified with the AI Architect before Release 2 scoping.</w:t>
      </w:r>
    </w:p>
    <w:p w14:paraId="1A9AE3E4">
      <w:pPr>
        <w:spacing w:before="80" w:after="80"/>
      </w:pPr>
    </w:p>
    <w:p w14:paraId="69D4C377">
      <w:pPr>
        <w:pStyle w:val="4"/>
        <w:spacing w:before="200" w:after="100"/>
      </w:pPr>
      <w:r>
        <w:rPr>
          <w:rFonts w:ascii="Arial" w:hAnsi="Arial" w:eastAsia="Arial" w:cs="Arial"/>
          <w:b/>
          <w:bCs/>
          <w:color w:val="333333"/>
          <w:sz w:val="22"/>
          <w:szCs w:val="22"/>
        </w:rPr>
        <w:t>Rationale for Release 2 placement</w:t>
      </w:r>
    </w:p>
    <w:p w14:paraId="20F2C184">
      <w:pPr>
        <w:spacing w:before="80" w:after="80"/>
      </w:pPr>
      <w:r>
        <w:rPr>
          <w:rFonts w:ascii="Arial" w:hAnsi="Arial" w:eastAsia="Arial" w:cs="Arial"/>
          <w:sz w:val="22"/>
          <w:szCs w:val="22"/>
        </w:rPr>
        <w:t>Cybersecurity is an increasing regulatory priority in both markets, but the reference corpus quality and threat model dependency make it more complex than UC1/UC3. Release 2 placement allows classifier precision to be validated first.</w:t>
      </w:r>
    </w:p>
    <w:p w14:paraId="0C32216B">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2160"/>
      </w:tblGrid>
      <w:tr w14:paraId="24C4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nil"/>
              <w:left w:val="nil"/>
              <w:bottom w:val="nil"/>
              <w:right w:val="nil"/>
            </w:tcBorders>
            <w:shd w:val="clear" w:color="auto" w:fill="1F4E79"/>
            <w:tcMar>
              <w:top w:w="80" w:type="dxa"/>
              <w:left w:w="120" w:type="dxa"/>
              <w:bottom w:w="80" w:type="dxa"/>
              <w:right w:w="120" w:type="dxa"/>
            </w:tcMar>
          </w:tcPr>
          <w:p w14:paraId="1068578D">
            <w:r>
              <w:rPr>
                <w:rFonts w:ascii="Arial" w:hAnsi="Arial" w:eastAsia="Arial" w:cs="Arial"/>
                <w:b/>
                <w:bCs/>
                <w:color w:val="FFFFFF"/>
                <w:sz w:val="24"/>
                <w:szCs w:val="24"/>
              </w:rPr>
              <w:t>UC4 — AI/ML behaviour and change control plan boundary check</w:t>
            </w:r>
          </w:p>
        </w:tc>
        <w:tc>
          <w:tcPr>
            <w:tcW w:w="2160" w:type="dxa"/>
            <w:tcBorders>
              <w:top w:val="nil"/>
              <w:left w:val="nil"/>
              <w:bottom w:val="nil"/>
              <w:right w:val="nil"/>
            </w:tcBorders>
            <w:shd w:val="clear" w:color="auto" w:fill="7B3F00"/>
            <w:tcMar>
              <w:top w:w="80" w:type="dxa"/>
              <w:left w:w="120" w:type="dxa"/>
              <w:bottom w:w="80" w:type="dxa"/>
              <w:right w:w="120" w:type="dxa"/>
            </w:tcMar>
            <w:vAlign w:val="center"/>
          </w:tcPr>
          <w:p w14:paraId="0CBA6823">
            <w:pPr>
              <w:jc w:val="center"/>
            </w:pPr>
            <w:r>
              <w:rPr>
                <w:rFonts w:ascii="Arial" w:hAnsi="Arial" w:eastAsia="Arial" w:cs="Arial"/>
                <w:b/>
                <w:bCs/>
                <w:color w:val="FFFFFF"/>
                <w:sz w:val="20"/>
                <w:szCs w:val="20"/>
              </w:rPr>
              <w:t>Release 3</w:t>
            </w:r>
          </w:p>
        </w:tc>
      </w:tr>
    </w:tbl>
    <w:p w14:paraId="69CF30C3">
      <w:pPr>
        <w:spacing w:before="80" w:after="80"/>
      </w:pPr>
    </w:p>
    <w:p w14:paraId="0B31066D">
      <w:pPr>
        <w:spacing w:before="80" w:after="80"/>
      </w:pPr>
      <w:r>
        <w:rPr>
          <w:rFonts w:ascii="Arial" w:hAnsi="Arial" w:eastAsia="Arial" w:cs="Arial"/>
          <w:b/>
          <w:bCs/>
          <w:sz w:val="22"/>
          <w:szCs w:val="22"/>
        </w:rPr>
        <w:t>One-line description:</w:t>
      </w:r>
      <w:r>
        <w:rPr>
          <w:rFonts w:ascii="Arial" w:hAnsi="Arial" w:eastAsia="Arial" w:cs="Arial"/>
          <w:sz w:val="22"/>
          <w:szCs w:val="22"/>
        </w:rPr>
        <w:t xml:space="preserve"> When an SRS change modifies algorithm behaviour, model inputs/outputs, or clinical performance claims, verify whether the change remains within the approved change control plan boundaries or triggers a new regulatory submission.</w:t>
      </w:r>
    </w:p>
    <w:p w14:paraId="4A71162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D1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6E6E"/>
            <w:tcMar>
              <w:top w:w="60" w:type="dxa"/>
              <w:left w:w="160" w:type="dxa"/>
              <w:bottom w:w="60" w:type="dxa"/>
              <w:right w:w="160" w:type="dxa"/>
            </w:tcMar>
          </w:tcPr>
          <w:p w14:paraId="2066B2FA">
            <w:r>
              <w:rPr>
                <w:rFonts w:ascii="Arial" w:hAnsi="Arial" w:eastAsia="Arial" w:cs="Arial"/>
                <w:b/>
                <w:bCs/>
                <w:color w:val="FFFFFF"/>
                <w:sz w:val="18"/>
                <w:szCs w:val="18"/>
              </w:rPr>
              <w:t>Key term — Change control plan (PCCP / Article 83)</w:t>
            </w:r>
          </w:p>
        </w:tc>
      </w:tr>
      <w:tr w14:paraId="6D1E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FEF"/>
            <w:tcMar>
              <w:top w:w="100" w:type="dxa"/>
              <w:left w:w="160" w:type="dxa"/>
              <w:bottom w:w="100" w:type="dxa"/>
              <w:right w:w="160" w:type="dxa"/>
            </w:tcMar>
          </w:tcPr>
          <w:p w14:paraId="51B4E106">
            <w:r>
              <w:rPr>
                <w:rFonts w:ascii="Arial" w:hAnsi="Arial" w:eastAsia="Arial" w:cs="Arial"/>
                <w:color w:val="1A1A1A"/>
                <w:sz w:val="20"/>
                <w:szCs w:val="20"/>
              </w:rPr>
              <w:t>A mechanism allowing manufacturers of AI/ML-enabled devices to pre-specify types of algorithm changes that do not require a new submission. In the US: FDA Predetermined Change Control Plan (PCCP). In the EU: Article 83 of the EU AI Act, applicable alongside EU MDR for AI-enabled medical devices. Changes outside the approved plan require a new regulatory assessment in both frameworks.</w:t>
            </w:r>
          </w:p>
        </w:tc>
      </w:tr>
    </w:tbl>
    <w:p w14:paraId="609DBE6D">
      <w:pPr>
        <w:spacing w:before="80" w:after="80"/>
      </w:pPr>
    </w:p>
    <w:p w14:paraId="46A9BD89">
      <w:pPr>
        <w:spacing w:before="80" w:after="80"/>
      </w:pPr>
      <w:r>
        <w:rPr>
          <w:rFonts w:ascii="Arial" w:hAnsi="Arial" w:eastAsia="Arial" w:cs="Arial"/>
          <w:b/>
          <w:bCs/>
          <w:sz w:val="22"/>
          <w:szCs w:val="22"/>
        </w:rPr>
        <w:t>What triggers it:</w:t>
      </w:r>
      <w:r>
        <w:rPr>
          <w:rFonts w:ascii="Arial" w:hAnsi="Arial" w:eastAsia="Arial" w:cs="Arial"/>
          <w:sz w:val="22"/>
          <w:szCs w:val="22"/>
        </w:rPr>
        <w:t xml:space="preserve"> UC1 classifies a change as ‘AI/ML behaviour.’ The change control checker compares the SRS delta against the approved change control plan to determine: within bounds (no new submission required), exceeds bounds (submission required), or ambiguous (human review required).</w:t>
      </w:r>
    </w:p>
    <w:p w14:paraId="25533AC4">
      <w:pPr>
        <w:spacing w:before="80" w:after="80"/>
      </w:pPr>
    </w:p>
    <w:p w14:paraId="2A663DE3">
      <w:pPr>
        <w:spacing w:before="80" w:after="80"/>
      </w:pPr>
      <w:r>
        <w:rPr>
          <w:rFonts w:ascii="Arial" w:hAnsi="Arial" w:eastAsia="Arial" w:cs="Arial"/>
          <w:b/>
          <w:bCs/>
          <w:sz w:val="22"/>
          <w:szCs w:val="22"/>
        </w:rPr>
        <w:t>Who receives the output:</w:t>
      </w:r>
      <w:r>
        <w:rPr>
          <w:rFonts w:ascii="Arial" w:hAnsi="Arial" w:eastAsia="Arial" w:cs="Arial"/>
          <w:sz w:val="22"/>
          <w:szCs w:val="22"/>
        </w:rPr>
        <w:t xml:space="preserve"> The AI/ML Engineer and Regulatory Affairs specialist jointly receive: change description, change control plan section reference, boundary status, and recommended action.</w:t>
      </w:r>
    </w:p>
    <w:p w14:paraId="0C4D978D">
      <w:pPr>
        <w:spacing w:before="80" w:after="80"/>
      </w:pPr>
    </w:p>
    <w:p w14:paraId="6CE7E93B">
      <w:pPr>
        <w:pStyle w:val="4"/>
        <w:spacing w:before="200" w:after="100"/>
      </w:pPr>
      <w:r>
        <w:rPr>
          <w:rFonts w:ascii="Arial" w:hAnsi="Arial" w:eastAsia="Arial" w:cs="Arial"/>
          <w:b/>
          <w:bCs/>
          <w:color w:val="333333"/>
          <w:sz w:val="22"/>
          <w:szCs w:val="22"/>
        </w:rPr>
        <w:t>RICE scores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1800"/>
        <w:gridCol w:w="2160"/>
      </w:tblGrid>
      <w:tr w14:paraId="5E78C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2FB1DD95">
            <w:pPr>
              <w:jc w:val="left"/>
            </w:pPr>
            <w:r>
              <w:rPr>
                <w:rFonts w:ascii="Arial" w:hAnsi="Arial" w:eastAsia="Arial" w:cs="Arial"/>
                <w:b/>
                <w:bCs/>
                <w:color w:val="FFFFFF"/>
                <w:sz w:val="20"/>
                <w:szCs w:val="20"/>
              </w:rPr>
              <w:t>Risk savings</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1AD259CE">
            <w:pPr>
              <w:jc w:val="left"/>
            </w:pPr>
            <w:r>
              <w:rPr>
                <w:rFonts w:ascii="Arial" w:hAnsi="Arial" w:eastAsia="Arial" w:cs="Arial"/>
                <w:b/>
                <w:bCs/>
                <w:color w:val="FFFFFF"/>
                <w:sz w:val="20"/>
                <w:szCs w:val="20"/>
              </w:rPr>
              <w:t>Impact</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3E9763E1">
            <w:pPr>
              <w:jc w:val="left"/>
            </w:pPr>
            <w:r>
              <w:rPr>
                <w:rFonts w:ascii="Arial" w:hAnsi="Arial" w:eastAsia="Arial" w:cs="Arial"/>
                <w:b/>
                <w:bCs/>
                <w:color w:val="FFFFFF"/>
                <w:sz w:val="20"/>
                <w:szCs w:val="20"/>
              </w:rPr>
              <w:t>Confidence</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57730277">
            <w:pPr>
              <w:jc w:val="left"/>
            </w:pPr>
            <w:r>
              <w:rPr>
                <w:rFonts w:ascii="Arial" w:hAnsi="Arial" w:eastAsia="Arial" w:cs="Arial"/>
                <w:b/>
                <w:bCs/>
                <w:color w:val="FFFFFF"/>
                <w:sz w:val="20"/>
                <w:szCs w:val="20"/>
              </w:rPr>
              <w:t>Effort</w:t>
            </w:r>
          </w:p>
        </w:tc>
        <w:tc>
          <w:tcPr>
            <w:tcW w:w="2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3D1CEAF8">
            <w:pPr>
              <w:jc w:val="left"/>
            </w:pPr>
            <w:r>
              <w:rPr>
                <w:rFonts w:ascii="Arial" w:hAnsi="Arial" w:eastAsia="Arial" w:cs="Arial"/>
                <w:b/>
                <w:bCs/>
                <w:color w:val="FFFFFF"/>
                <w:sz w:val="20"/>
                <w:szCs w:val="20"/>
              </w:rPr>
              <w:t>RICE score</w:t>
            </w:r>
          </w:p>
        </w:tc>
      </w:tr>
      <w:tr w14:paraId="4B4C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969AF96">
            <w:pPr>
              <w:jc w:val="left"/>
            </w:pPr>
            <w:r>
              <w:rPr>
                <w:rFonts w:ascii="Arial" w:hAnsi="Arial" w:eastAsia="Arial" w:cs="Arial"/>
                <w:b w:val="0"/>
                <w:bCs w:val="0"/>
                <w:color w:val="1A1A1A"/>
                <w:sz w:val="20"/>
                <w:szCs w:val="20"/>
              </w:rPr>
              <w:t>5/5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65E34B4">
            <w:pPr>
              <w:jc w:val="left"/>
            </w:pPr>
            <w:r>
              <w:rPr>
                <w:rFonts w:ascii="Arial" w:hAnsi="Arial" w:eastAsia="Arial" w:cs="Arial"/>
                <w:b w:val="0"/>
                <w:bCs w:val="0"/>
                <w:color w:val="1A1A1A"/>
                <w:sz w:val="20"/>
                <w:szCs w:val="20"/>
              </w:rPr>
              <w:t>3/5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A63A7C9">
            <w:pPr>
              <w:jc w:val="left"/>
            </w:pPr>
            <w:r>
              <w:rPr>
                <w:rFonts w:ascii="Arial" w:hAnsi="Arial" w:eastAsia="Arial" w:cs="Arial"/>
                <w:b w:val="0"/>
                <w:bCs w:val="0"/>
                <w:color w:val="1A1A1A"/>
                <w:sz w:val="20"/>
                <w:szCs w:val="20"/>
              </w:rPr>
              <w:t>0.60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D83C91C">
            <w:pPr>
              <w:jc w:val="left"/>
            </w:pPr>
            <w:r>
              <w:rPr>
                <w:rFonts w:ascii="Arial" w:hAnsi="Arial" w:eastAsia="Arial" w:cs="Arial"/>
                <w:b w:val="0"/>
                <w:bCs w:val="0"/>
                <w:color w:val="1A1A1A"/>
                <w:sz w:val="20"/>
                <w:szCs w:val="20"/>
              </w:rPr>
              <w:t>4/5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A983841">
            <w:pPr>
              <w:jc w:val="left"/>
            </w:pPr>
            <w:r>
              <w:rPr>
                <w:rFonts w:ascii="Arial" w:hAnsi="Arial" w:eastAsia="Arial" w:cs="Arial"/>
                <w:b w:val="0"/>
                <w:bCs w:val="0"/>
                <w:color w:val="1A1A1A"/>
                <w:sz w:val="20"/>
                <w:szCs w:val="20"/>
              </w:rPr>
              <w:t>23</w:t>
            </w:r>
          </w:p>
        </w:tc>
      </w:tr>
    </w:tbl>
    <w:p w14:paraId="718CE43F">
      <w:pPr>
        <w:spacing w:before="80" w:after="80"/>
      </w:pPr>
    </w:p>
    <w:p w14:paraId="7D35E554">
      <w:pPr>
        <w:pStyle w:val="4"/>
        <w:spacing w:before="200" w:after="100"/>
      </w:pPr>
      <w:r>
        <w:rPr>
          <w:rFonts w:ascii="Arial" w:hAnsi="Arial" w:eastAsia="Arial" w:cs="Arial"/>
          <w:b/>
          <w:bCs/>
          <w:color w:val="333333"/>
          <w:sz w:val="22"/>
          <w:szCs w:val="22"/>
        </w:rPr>
        <w:t>Benefit breakdown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2F44E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0D6E6E"/>
            <w:tcMar>
              <w:top w:w="80" w:type="dxa"/>
              <w:left w:w="120" w:type="dxa"/>
              <w:bottom w:w="80" w:type="dxa"/>
              <w:right w:w="120" w:type="dxa"/>
            </w:tcMar>
            <w:vAlign w:val="top"/>
          </w:tcPr>
          <w:p w14:paraId="003A49D9">
            <w:pPr>
              <w:jc w:val="left"/>
            </w:pPr>
            <w:r>
              <w:rPr>
                <w:rFonts w:ascii="Arial" w:hAnsi="Arial" w:eastAsia="Arial" w:cs="Arial"/>
                <w:b/>
                <w:bCs/>
                <w:color w:val="FFFFFF"/>
                <w:sz w:val="20"/>
                <w:szCs w:val="20"/>
              </w:rPr>
              <w:t>Phase 1 — Initial development</w:t>
            </w:r>
          </w:p>
        </w:tc>
        <w:tc>
          <w:tcPr>
            <w:tcW w:w="6240" w:type="dxa"/>
            <w:tcBorders>
              <w:top w:val="single" w:color="CCCCCC" w:sz="0" w:space="0"/>
              <w:left w:val="single" w:color="CCCCCC" w:sz="0" w:space="0"/>
              <w:bottom w:val="single" w:color="CCCCCC" w:sz="0" w:space="0"/>
              <w:right w:val="single" w:color="CCCCCC" w:sz="0" w:space="0"/>
            </w:tcBorders>
            <w:shd w:val="clear" w:color="auto" w:fill="0D6E6E"/>
            <w:tcMar>
              <w:top w:w="80" w:type="dxa"/>
              <w:left w:w="120" w:type="dxa"/>
              <w:bottom w:w="80" w:type="dxa"/>
              <w:right w:w="120" w:type="dxa"/>
            </w:tcMar>
            <w:vAlign w:val="top"/>
          </w:tcPr>
          <w:p w14:paraId="20DF4F76">
            <w:pPr>
              <w:jc w:val="left"/>
            </w:pPr>
          </w:p>
        </w:tc>
      </w:tr>
      <w:tr w14:paraId="15476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1A994F8">
            <w:pPr>
              <w:jc w:val="left"/>
            </w:pPr>
            <w:r>
              <w:rPr>
                <w:rFonts w:ascii="Arial" w:hAnsi="Arial" w:eastAsia="Arial" w:cs="Arial"/>
                <w:b w:val="0"/>
                <w:bCs w:val="0"/>
                <w:color w:val="1A1A1A"/>
                <w:sz w:val="20"/>
                <w:szCs w:val="20"/>
              </w:rPr>
              <w:t>Typical events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56A37B4">
            <w:pPr>
              <w:jc w:val="left"/>
            </w:pPr>
            <w:r>
              <w:rPr>
                <w:rFonts w:ascii="Arial" w:hAnsi="Arial" w:eastAsia="Arial" w:cs="Arial"/>
                <w:b w:val="0"/>
                <w:bCs w:val="0"/>
                <w:color w:val="1A1A1A"/>
                <w:sz w:val="20"/>
                <w:szCs w:val="20"/>
              </w:rPr>
              <w:t>3–8 AI/ML algorithm definition events during initial SRS development</w:t>
            </w:r>
          </w:p>
        </w:tc>
      </w:tr>
      <w:tr w14:paraId="674EA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789C4B5">
            <w:pPr>
              <w:jc w:val="left"/>
            </w:pPr>
            <w:r>
              <w:rPr>
                <w:rFonts w:ascii="Arial" w:hAnsi="Arial" w:eastAsia="Arial" w:cs="Arial"/>
                <w:b w:val="0"/>
                <w:bCs w:val="0"/>
                <w:color w:val="1A1A1A"/>
                <w:sz w:val="20"/>
                <w:szCs w:val="20"/>
              </w:rPr>
              <w:t>Time saved per event</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B241698">
            <w:pPr>
              <w:jc w:val="left"/>
            </w:pPr>
            <w:r>
              <w:rPr>
                <w:rFonts w:ascii="Arial" w:hAnsi="Arial" w:eastAsia="Arial" w:cs="Arial"/>
                <w:b w:val="0"/>
                <w:bCs w:val="0"/>
                <w:color w:val="1A1A1A"/>
                <w:sz w:val="20"/>
                <w:szCs w:val="20"/>
              </w:rPr>
              <w:t>3–10 hours of manual change control plan boundary definition review</w:t>
            </w:r>
          </w:p>
        </w:tc>
      </w:tr>
      <w:tr w14:paraId="392D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E96D2D6">
            <w:pPr>
              <w:jc w:val="left"/>
            </w:pPr>
            <w:r>
              <w:rPr>
                <w:rFonts w:ascii="Arial" w:hAnsi="Arial" w:eastAsia="Arial" w:cs="Arial"/>
                <w:b w:val="0"/>
                <w:bCs w:val="0"/>
                <w:color w:val="1A1A1A"/>
                <w:sz w:val="20"/>
                <w:szCs w:val="20"/>
              </w:rPr>
              <w:t>Total time saving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6E8C9D3">
            <w:pPr>
              <w:jc w:val="left"/>
            </w:pPr>
            <w:r>
              <w:rPr>
                <w:rFonts w:ascii="Arial" w:hAnsi="Arial" w:eastAsia="Arial" w:cs="Arial"/>
                <w:b w:val="0"/>
                <w:bCs w:val="0"/>
                <w:color w:val="1A1A1A"/>
                <w:sz w:val="20"/>
                <w:szCs w:val="20"/>
              </w:rPr>
              <w:t>9–80 hours = 1,200–10,400€</w:t>
            </w:r>
          </w:p>
        </w:tc>
      </w:tr>
      <w:tr w14:paraId="5BB01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2A97D9E">
            <w:pPr>
              <w:jc w:val="left"/>
            </w:pPr>
            <w:r>
              <w:rPr>
                <w:rFonts w:ascii="Arial" w:hAnsi="Arial" w:eastAsia="Arial" w:cs="Arial"/>
                <w:b w:val="0"/>
                <w:bCs w:val="0"/>
                <w:color w:val="1A1A1A"/>
                <w:sz w:val="20"/>
                <w:szCs w:val="20"/>
              </w:rPr>
              <w:t>Regulatory cost avoided</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3EBCF0C">
            <w:pPr>
              <w:jc w:val="left"/>
            </w:pPr>
            <w:r>
              <w:rPr>
                <w:rFonts w:ascii="Arial" w:hAnsi="Arial" w:eastAsia="Arial" w:cs="Arial"/>
                <w:b w:val="0"/>
                <w:bCs w:val="0"/>
                <w:color w:val="1A1A1A"/>
                <w:sz w:val="20"/>
                <w:szCs w:val="20"/>
              </w:rPr>
              <w:t>10–30k€ (correctly scoping the initial change control plan prevents out-of-bounds implementation in early post-market releases)</w:t>
            </w:r>
          </w:p>
        </w:tc>
      </w:tr>
    </w:tbl>
    <w:p w14:paraId="3960ADC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6839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7CD05122">
            <w:pPr>
              <w:jc w:val="left"/>
            </w:pPr>
            <w:r>
              <w:rPr>
                <w:rFonts w:ascii="Arial" w:hAnsi="Arial" w:eastAsia="Arial" w:cs="Arial"/>
                <w:b/>
                <w:bCs/>
                <w:color w:val="FFFFFF"/>
                <w:sz w:val="20"/>
                <w:szCs w:val="20"/>
              </w:rPr>
              <w:t>Phase 2 — Ongoing maintenance</w:t>
            </w:r>
          </w:p>
        </w:tc>
        <w:tc>
          <w:tcPr>
            <w:tcW w:w="62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599CE02D">
            <w:pPr>
              <w:jc w:val="left"/>
            </w:pPr>
          </w:p>
        </w:tc>
      </w:tr>
      <w:tr w14:paraId="4B5E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8148C37">
            <w:pPr>
              <w:jc w:val="left"/>
            </w:pPr>
            <w:r>
              <w:rPr>
                <w:rFonts w:ascii="Arial" w:hAnsi="Arial" w:eastAsia="Arial" w:cs="Arial"/>
                <w:b w:val="0"/>
                <w:bCs w:val="0"/>
                <w:color w:val="1A1A1A"/>
                <w:sz w:val="20"/>
                <w:szCs w:val="20"/>
              </w:rPr>
              <w:t>Annual events per product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6B155E3">
            <w:pPr>
              <w:jc w:val="left"/>
            </w:pPr>
            <w:r>
              <w:rPr>
                <w:rFonts w:ascii="Arial" w:hAnsi="Arial" w:eastAsia="Arial" w:cs="Arial"/>
                <w:b w:val="0"/>
                <w:bCs w:val="0"/>
                <w:color w:val="1A1A1A"/>
                <w:sz w:val="20"/>
                <w:szCs w:val="20"/>
              </w:rPr>
              <w:t>2–10 AI/ML model updates per year</w:t>
            </w:r>
          </w:p>
        </w:tc>
      </w:tr>
      <w:tr w14:paraId="284AF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478F8250">
            <w:pPr>
              <w:jc w:val="left"/>
            </w:pPr>
            <w:r>
              <w:rPr>
                <w:rFonts w:ascii="Arial" w:hAnsi="Arial" w:eastAsia="Arial" w:cs="Arial"/>
                <w:b w:val="0"/>
                <w:bCs w:val="0"/>
                <w:color w:val="1A1A1A"/>
                <w:sz w:val="20"/>
                <w:szCs w:val="20"/>
              </w:rPr>
              <w:t>Time saved per event</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D38A9FD">
            <w:pPr>
              <w:jc w:val="left"/>
            </w:pPr>
            <w:r>
              <w:rPr>
                <w:rFonts w:ascii="Arial" w:hAnsi="Arial" w:eastAsia="Arial" w:cs="Arial"/>
                <w:b w:val="0"/>
                <w:bCs w:val="0"/>
                <w:color w:val="1A1A1A"/>
                <w:sz w:val="20"/>
                <w:szCs w:val="20"/>
              </w:rPr>
              <w:t>5–15 hours of manual boundary analysis</w:t>
            </w:r>
          </w:p>
        </w:tc>
      </w:tr>
      <w:tr w14:paraId="5914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391B192">
            <w:pPr>
              <w:jc w:val="left"/>
            </w:pPr>
            <w:r>
              <w:rPr>
                <w:rFonts w:ascii="Arial" w:hAnsi="Arial" w:eastAsia="Arial" w:cs="Arial"/>
                <w:b w:val="0"/>
                <w:bCs w:val="0"/>
                <w:color w:val="1A1A1A"/>
                <w:sz w:val="20"/>
                <w:szCs w:val="20"/>
              </w:rPr>
              <w:t>Annual time saving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BADE952">
            <w:pPr>
              <w:jc w:val="left"/>
            </w:pPr>
            <w:r>
              <w:rPr>
                <w:rFonts w:ascii="Arial" w:hAnsi="Arial" w:eastAsia="Arial" w:cs="Arial"/>
                <w:b w:val="0"/>
                <w:bCs w:val="0"/>
                <w:color w:val="1A1A1A"/>
                <w:sz w:val="20"/>
                <w:szCs w:val="20"/>
              </w:rPr>
              <w:t>10–150 hours = 1,300–19,500€</w:t>
            </w:r>
          </w:p>
        </w:tc>
      </w:tr>
      <w:tr w14:paraId="4E8C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2AF7948">
            <w:pPr>
              <w:jc w:val="left"/>
            </w:pPr>
            <w:r>
              <w:rPr>
                <w:rFonts w:ascii="Arial" w:hAnsi="Arial" w:eastAsia="Arial" w:cs="Arial"/>
                <w:b w:val="0"/>
                <w:bCs w:val="0"/>
                <w:color w:val="1A1A1A"/>
                <w:sz w:val="20"/>
                <w:szCs w:val="20"/>
              </w:rPr>
              <w:t>Regulatory cost avoided</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D5066A5">
            <w:pPr>
              <w:jc w:val="left"/>
            </w:pPr>
            <w:r>
              <w:rPr>
                <w:rFonts w:ascii="Arial" w:hAnsi="Arial" w:eastAsia="Arial" w:cs="Arial"/>
                <w:b w:val="0"/>
                <w:bCs w:val="0"/>
                <w:color w:val="1A1A1A"/>
                <w:sz w:val="20"/>
                <w:szCs w:val="20"/>
              </w:rPr>
              <w:t>~43k€ average per avoided unplanned submission (applicable in both EU and US: out-of-bounds change triggers 510(k)/PMA supplement in the US or significant change assessment under EU MDR Article 83)</w:t>
            </w:r>
          </w:p>
        </w:tc>
      </w:tr>
      <w:tr w14:paraId="66016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5CED413">
            <w:pPr>
              <w:jc w:val="left"/>
            </w:pPr>
            <w:r>
              <w:rPr>
                <w:rFonts w:ascii="Arial" w:hAnsi="Arial" w:eastAsia="Arial" w:cs="Arial"/>
                <w:b w:val="0"/>
                <w:bCs w:val="0"/>
                <w:color w:val="1A1A1A"/>
                <w:sz w:val="20"/>
                <w:szCs w:val="20"/>
              </w:rPr>
              <w:t>LLM operating cost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69152FF">
            <w:pPr>
              <w:jc w:val="left"/>
            </w:pPr>
            <w:r>
              <w:rPr>
                <w:rFonts w:ascii="Arial" w:hAnsi="Arial" w:eastAsia="Arial" w:cs="Arial"/>
                <w:b w:val="0"/>
                <w:bCs w:val="0"/>
                <w:color w:val="1A1A1A"/>
                <w:sz w:val="20"/>
                <w:szCs w:val="20"/>
              </w:rPr>
              <w:t>Negligible</w:t>
            </w:r>
          </w:p>
        </w:tc>
      </w:tr>
    </w:tbl>
    <w:p w14:paraId="0B488CB4">
      <w:pPr>
        <w:spacing w:before="80" w:after="80"/>
      </w:pPr>
    </w:p>
    <w:p w14:paraId="7AB496FC">
      <w:pPr>
        <w:pStyle w:val="4"/>
        <w:spacing w:before="200" w:after="100"/>
      </w:pPr>
      <w:r>
        <w:rPr>
          <w:rFonts w:ascii="Arial" w:hAnsi="Arial" w:eastAsia="Arial" w:cs="Arial"/>
          <w:b/>
          <w:bCs/>
          <w:color w:val="333333"/>
          <w:sz w:val="22"/>
          <w:szCs w:val="22"/>
        </w:rPr>
        <w:t>Key assumptions</w:t>
      </w:r>
    </w:p>
    <w:p w14:paraId="378B6583">
      <w:pPr>
        <w:pStyle w:val="14"/>
        <w:numPr>
          <w:ilvl w:val="0"/>
          <w:numId w:val="1"/>
        </w:numPr>
        <w:spacing w:before="40" w:after="40"/>
      </w:pPr>
      <w:r>
        <w:rPr>
          <w:rFonts w:ascii="Arial" w:hAnsi="Arial" w:eastAsia="Arial" w:cs="Arial"/>
          <w:sz w:val="22"/>
          <w:szCs w:val="22"/>
        </w:rPr>
        <w:t>Change control plan document structure varies significantly by product and jurisdiction. This is the primary reason for the low confidence score (0.60).</w:t>
      </w:r>
    </w:p>
    <w:p w14:paraId="3B0F8AF4">
      <w:pPr>
        <w:pStyle w:val="14"/>
        <w:numPr>
          <w:ilvl w:val="0"/>
          <w:numId w:val="1"/>
        </w:numPr>
        <w:spacing w:before="40" w:after="40"/>
      </w:pPr>
      <w:r>
        <w:rPr>
          <w:rFonts w:ascii="Arial" w:hAnsi="Arial" w:eastAsia="Arial" w:cs="Arial"/>
          <w:sz w:val="22"/>
          <w:szCs w:val="22"/>
        </w:rPr>
        <w:t>43k€ = cost of unplanned submission (50–200k€ total) discounted by ~60–70% detection probability for systematic vs. informal review.</w:t>
      </w:r>
    </w:p>
    <w:p w14:paraId="0EDC147B">
      <w:pPr>
        <w:pStyle w:val="14"/>
        <w:numPr>
          <w:ilvl w:val="0"/>
          <w:numId w:val="1"/>
        </w:numPr>
        <w:spacing w:before="40" w:after="40"/>
      </w:pPr>
      <w:r>
        <w:rPr>
          <w:rFonts w:ascii="Arial" w:hAnsi="Arial" w:eastAsia="Arial" w:cs="Arial"/>
          <w:sz w:val="22"/>
          <w:szCs w:val="22"/>
        </w:rPr>
        <w:t>FDA PCCP guidance and EU AI Act Article 83 implementing framework were both still developing as of early 2026. Confidence score should be re-evaluated when guidance matures.</w:t>
      </w:r>
    </w:p>
    <w:p w14:paraId="3FFF0AB6">
      <w:pPr>
        <w:spacing w:before="80" w:after="80"/>
      </w:pPr>
    </w:p>
    <w:p w14:paraId="1B9ACD6C">
      <w:pPr>
        <w:pStyle w:val="4"/>
        <w:spacing w:before="200" w:after="100"/>
      </w:pPr>
      <w:r>
        <w:rPr>
          <w:rFonts w:ascii="Arial" w:hAnsi="Arial" w:eastAsia="Arial" w:cs="Arial"/>
          <w:b/>
          <w:bCs/>
          <w:color w:val="333333"/>
          <w:sz w:val="22"/>
          <w:szCs w:val="22"/>
        </w:rPr>
        <w:t>Dependencies and risks</w:t>
      </w:r>
    </w:p>
    <w:p w14:paraId="00F140AB">
      <w:pPr>
        <w:spacing w:before="80" w:after="80"/>
      </w:pPr>
      <w:r>
        <w:rPr>
          <w:rFonts w:ascii="Arial" w:hAnsi="Arial" w:eastAsia="Arial" w:cs="Arial"/>
          <w:sz w:val="22"/>
          <w:szCs w:val="22"/>
        </w:rPr>
        <w:t>Depends on UC1, UC3, and a stable document analysis pipeline. Primary risk: change control plan documents are typically narrative prose, making automated boundary checking unreliable without a purpose-built document parser. This parser is an additional build item not reflected in the current Effort score of 4 — must be scoped with the AI Architect before Release 3.</w:t>
      </w:r>
    </w:p>
    <w:p w14:paraId="20BE15A1">
      <w:pPr>
        <w:spacing w:before="80" w:after="80"/>
      </w:pPr>
    </w:p>
    <w:p w14:paraId="4D792986">
      <w:pPr>
        <w:pStyle w:val="4"/>
        <w:spacing w:before="200" w:after="100"/>
      </w:pPr>
      <w:r>
        <w:rPr>
          <w:rFonts w:ascii="Arial" w:hAnsi="Arial" w:eastAsia="Arial" w:cs="Arial"/>
          <w:b/>
          <w:bCs/>
          <w:color w:val="333333"/>
          <w:sz w:val="22"/>
          <w:szCs w:val="22"/>
        </w:rPr>
        <w:t>Rationale for Release 3 placement</w:t>
      </w:r>
    </w:p>
    <w:p w14:paraId="0E8FDB3B">
      <w:pPr>
        <w:spacing w:before="80" w:after="80"/>
      </w:pPr>
      <w:r>
        <w:rPr>
          <w:rFonts w:ascii="Arial" w:hAnsi="Arial" w:eastAsia="Arial" w:cs="Arial"/>
          <w:sz w:val="22"/>
          <w:szCs w:val="22"/>
        </w:rPr>
        <w:t>Despite the highest potential regulatory cost avoidance (Risk Savings: 5/5), UC4 is Release 3 because of low confidence and high effort. The regulatory guidance for AI/ML change control plans in both EU and US markets was still maturing as of early 2026. The empirical data from UC1–UC5 will calibrate the classifier precision needed to make UC4 reliable.</w:t>
      </w:r>
    </w:p>
    <w:p w14:paraId="473AFD2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2160"/>
      </w:tblGrid>
      <w:tr w14:paraId="1657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0" w:type="dxa"/>
            <w:tcBorders>
              <w:top w:val="nil"/>
              <w:left w:val="nil"/>
              <w:bottom w:val="nil"/>
              <w:right w:val="nil"/>
            </w:tcBorders>
            <w:shd w:val="clear" w:color="auto" w:fill="1F4E79"/>
            <w:tcMar>
              <w:top w:w="80" w:type="dxa"/>
              <w:left w:w="120" w:type="dxa"/>
              <w:bottom w:w="80" w:type="dxa"/>
              <w:right w:w="120" w:type="dxa"/>
            </w:tcMar>
          </w:tcPr>
          <w:p w14:paraId="280BDA88">
            <w:r>
              <w:rPr>
                <w:rFonts w:ascii="Arial" w:hAnsi="Arial" w:eastAsia="Arial" w:cs="Arial"/>
                <w:b/>
                <w:bCs/>
                <w:color w:val="FFFFFF"/>
                <w:sz w:val="24"/>
                <w:szCs w:val="24"/>
              </w:rPr>
              <w:t>UC6 — Regulatory inspection and submission preparation</w:t>
            </w:r>
          </w:p>
        </w:tc>
        <w:tc>
          <w:tcPr>
            <w:tcW w:w="2160" w:type="dxa"/>
            <w:tcBorders>
              <w:top w:val="nil"/>
              <w:left w:val="nil"/>
              <w:bottom w:val="nil"/>
              <w:right w:val="nil"/>
            </w:tcBorders>
            <w:shd w:val="clear" w:color="auto" w:fill="5F5E5A"/>
            <w:tcMar>
              <w:top w:w="80" w:type="dxa"/>
              <w:left w:w="120" w:type="dxa"/>
              <w:bottom w:w="80" w:type="dxa"/>
              <w:right w:w="120" w:type="dxa"/>
            </w:tcMar>
            <w:vAlign w:val="center"/>
          </w:tcPr>
          <w:p w14:paraId="657669F7">
            <w:pPr>
              <w:jc w:val="center"/>
            </w:pPr>
            <w:r>
              <w:rPr>
                <w:rFonts w:ascii="Arial" w:hAnsi="Arial" w:eastAsia="Arial" w:cs="Arial"/>
                <w:b/>
                <w:bCs/>
                <w:color w:val="FFFFFF"/>
                <w:sz w:val="20"/>
                <w:szCs w:val="20"/>
              </w:rPr>
              <w:t>Later</w:t>
            </w:r>
          </w:p>
        </w:tc>
      </w:tr>
    </w:tbl>
    <w:p w14:paraId="3544949D">
      <w:pPr>
        <w:spacing w:before="80" w:after="80"/>
      </w:pPr>
    </w:p>
    <w:p w14:paraId="68889AE8">
      <w:pPr>
        <w:spacing w:before="80" w:after="80"/>
      </w:pPr>
      <w:r>
        <w:rPr>
          <w:rFonts w:ascii="Arial" w:hAnsi="Arial" w:eastAsia="Arial" w:cs="Arial"/>
          <w:b/>
          <w:bCs/>
          <w:sz w:val="22"/>
          <w:szCs w:val="22"/>
        </w:rPr>
        <w:t>One-line description:</w:t>
      </w:r>
      <w:r>
        <w:rPr>
          <w:rFonts w:ascii="Arial" w:hAnsi="Arial" w:eastAsia="Arial" w:cs="Arial"/>
          <w:sz w:val="22"/>
          <w:szCs w:val="22"/>
        </w:rPr>
        <w:t xml:space="preserve"> Aggregate findings history, disposition rationales, traceability links, and document change log to produce a structured audit readiness summary package applicable for EU MDR notified body audits and FDA inspections or pre-market submissions.</w:t>
      </w:r>
    </w:p>
    <w:p w14:paraId="07D8A12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F02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D6E6E"/>
            <w:tcMar>
              <w:top w:w="60" w:type="dxa"/>
              <w:left w:w="160" w:type="dxa"/>
              <w:bottom w:w="60" w:type="dxa"/>
              <w:right w:w="160" w:type="dxa"/>
            </w:tcMar>
          </w:tcPr>
          <w:p w14:paraId="0CD89C90">
            <w:r>
              <w:rPr>
                <w:rFonts w:ascii="Arial" w:hAnsi="Arial" w:eastAsia="Arial" w:cs="Arial"/>
                <w:b/>
                <w:bCs/>
                <w:color w:val="FFFFFF"/>
                <w:sz w:val="18"/>
                <w:szCs w:val="18"/>
              </w:rPr>
              <w:t>Key term — Technical File / Design History File (DHF)</w:t>
            </w:r>
          </w:p>
        </w:tc>
      </w:tr>
      <w:tr w14:paraId="3A65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5EFEF"/>
            <w:tcMar>
              <w:top w:w="100" w:type="dxa"/>
              <w:left w:w="160" w:type="dxa"/>
              <w:bottom w:w="100" w:type="dxa"/>
              <w:right w:w="160" w:type="dxa"/>
            </w:tcMar>
          </w:tcPr>
          <w:p w14:paraId="0EF81FAD">
            <w:r>
              <w:rPr>
                <w:rFonts w:ascii="Arial" w:hAnsi="Arial" w:eastAsia="Arial" w:cs="Arial"/>
                <w:color w:val="1A1A1A"/>
                <w:sz w:val="20"/>
                <w:szCs w:val="20"/>
              </w:rPr>
              <w:t>Technical File (EU MDR) or Design History File (FDA 21 CFR 820). The complete record of evidence demonstrating that a device meets applicable requirements. Both regulatory frameworks require this file to be current, traceable, and available for inspection at any time.</w:t>
            </w:r>
          </w:p>
        </w:tc>
      </w:tr>
    </w:tbl>
    <w:p w14:paraId="5D544F4B">
      <w:pPr>
        <w:spacing w:before="80" w:after="80"/>
      </w:pPr>
    </w:p>
    <w:p w14:paraId="499643DD">
      <w:pPr>
        <w:spacing w:before="80" w:after="80"/>
      </w:pPr>
      <w:r>
        <w:rPr>
          <w:rFonts w:ascii="Arial" w:hAnsi="Arial" w:eastAsia="Arial" w:cs="Arial"/>
          <w:b/>
          <w:bCs/>
          <w:sz w:val="22"/>
          <w:szCs w:val="22"/>
        </w:rPr>
        <w:t>What triggers it:</w:t>
      </w:r>
      <w:r>
        <w:rPr>
          <w:rFonts w:ascii="Arial" w:hAnsi="Arial" w:eastAsia="Arial" w:cs="Arial"/>
          <w:sz w:val="22"/>
          <w:szCs w:val="22"/>
        </w:rPr>
        <w:t xml:space="preserve"> A manual request from the Regulatory Affairs specialist or Quality Manager, typically 4–8 weeks before a planned inspection, audit, or submission deadline.</w:t>
      </w:r>
    </w:p>
    <w:p w14:paraId="75E3FE87">
      <w:pPr>
        <w:spacing w:before="80" w:after="80"/>
      </w:pPr>
    </w:p>
    <w:p w14:paraId="52C8A8EA">
      <w:pPr>
        <w:spacing w:before="80" w:after="80"/>
      </w:pPr>
      <w:r>
        <w:rPr>
          <w:rFonts w:ascii="Arial" w:hAnsi="Arial" w:eastAsia="Arial" w:cs="Arial"/>
          <w:b/>
          <w:bCs/>
          <w:sz w:val="22"/>
          <w:szCs w:val="22"/>
        </w:rPr>
        <w:t>Who receives the output:</w:t>
      </w:r>
      <w:r>
        <w:rPr>
          <w:rFonts w:ascii="Arial" w:hAnsi="Arial" w:eastAsia="Arial" w:cs="Arial"/>
          <w:sz w:val="22"/>
          <w:szCs w:val="22"/>
        </w:rPr>
        <w:t xml:space="preserve"> The Regulatory Affairs specialist receives: open findings with time elapsed, disposition rationale summary by document area, traceability gap summary, and outstanding items checklist mapped to the applicable framework (EU MDR Annex II/III or FDA 21 CFR 820 design controls, as selected).</w:t>
      </w:r>
    </w:p>
    <w:p w14:paraId="6C0A4621">
      <w:pPr>
        <w:spacing w:before="80" w:after="80"/>
      </w:pPr>
    </w:p>
    <w:p w14:paraId="215B66A0">
      <w:pPr>
        <w:pStyle w:val="4"/>
        <w:spacing w:before="200" w:after="100"/>
      </w:pPr>
      <w:r>
        <w:rPr>
          <w:rFonts w:ascii="Arial" w:hAnsi="Arial" w:eastAsia="Arial" w:cs="Arial"/>
          <w:b/>
          <w:bCs/>
          <w:color w:val="333333"/>
          <w:sz w:val="22"/>
          <w:szCs w:val="22"/>
        </w:rPr>
        <w:t>RICE scores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1800"/>
        <w:gridCol w:w="2160"/>
      </w:tblGrid>
      <w:tr w14:paraId="2622A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5A835001">
            <w:pPr>
              <w:jc w:val="left"/>
            </w:pPr>
            <w:r>
              <w:rPr>
                <w:rFonts w:ascii="Arial" w:hAnsi="Arial" w:eastAsia="Arial" w:cs="Arial"/>
                <w:b/>
                <w:bCs/>
                <w:color w:val="FFFFFF"/>
                <w:sz w:val="20"/>
                <w:szCs w:val="20"/>
              </w:rPr>
              <w:t>Risk savings</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5611B4F6">
            <w:pPr>
              <w:jc w:val="left"/>
            </w:pPr>
            <w:r>
              <w:rPr>
                <w:rFonts w:ascii="Arial" w:hAnsi="Arial" w:eastAsia="Arial" w:cs="Arial"/>
                <w:b/>
                <w:bCs/>
                <w:color w:val="FFFFFF"/>
                <w:sz w:val="20"/>
                <w:szCs w:val="20"/>
              </w:rPr>
              <w:t>Impact</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4163B9E9">
            <w:pPr>
              <w:jc w:val="left"/>
            </w:pPr>
            <w:r>
              <w:rPr>
                <w:rFonts w:ascii="Arial" w:hAnsi="Arial" w:eastAsia="Arial" w:cs="Arial"/>
                <w:b/>
                <w:bCs/>
                <w:color w:val="FFFFFF"/>
                <w:sz w:val="20"/>
                <w:szCs w:val="20"/>
              </w:rPr>
              <w:t>Confidence</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2F65CCFE">
            <w:pPr>
              <w:jc w:val="left"/>
            </w:pPr>
            <w:r>
              <w:rPr>
                <w:rFonts w:ascii="Arial" w:hAnsi="Arial" w:eastAsia="Arial" w:cs="Arial"/>
                <w:b/>
                <w:bCs/>
                <w:color w:val="FFFFFF"/>
                <w:sz w:val="20"/>
                <w:szCs w:val="20"/>
              </w:rPr>
              <w:t>Effort</w:t>
            </w:r>
          </w:p>
        </w:tc>
        <w:tc>
          <w:tcPr>
            <w:tcW w:w="2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198515B9">
            <w:pPr>
              <w:jc w:val="left"/>
            </w:pPr>
            <w:r>
              <w:rPr>
                <w:rFonts w:ascii="Arial" w:hAnsi="Arial" w:eastAsia="Arial" w:cs="Arial"/>
                <w:b/>
                <w:bCs/>
                <w:color w:val="FFFFFF"/>
                <w:sz w:val="20"/>
                <w:szCs w:val="20"/>
              </w:rPr>
              <w:t>RICE score</w:t>
            </w:r>
          </w:p>
        </w:tc>
      </w:tr>
      <w:tr w14:paraId="4CA35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6AF195D">
            <w:pPr>
              <w:jc w:val="left"/>
            </w:pPr>
            <w:r>
              <w:rPr>
                <w:rFonts w:ascii="Arial" w:hAnsi="Arial" w:eastAsia="Arial" w:cs="Arial"/>
                <w:b w:val="0"/>
                <w:bCs w:val="0"/>
                <w:color w:val="1A1A1A"/>
                <w:sz w:val="20"/>
                <w:szCs w:val="20"/>
              </w:rPr>
              <w:t>3/5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425C27A">
            <w:pPr>
              <w:jc w:val="left"/>
            </w:pPr>
            <w:r>
              <w:rPr>
                <w:rFonts w:ascii="Arial" w:hAnsi="Arial" w:eastAsia="Arial" w:cs="Arial"/>
                <w:b w:val="0"/>
                <w:bCs w:val="0"/>
                <w:color w:val="1A1A1A"/>
                <w:sz w:val="20"/>
                <w:szCs w:val="20"/>
              </w:rPr>
              <w:t>3/5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C6FF07E">
            <w:pPr>
              <w:jc w:val="left"/>
            </w:pPr>
            <w:r>
              <w:rPr>
                <w:rFonts w:ascii="Arial" w:hAnsi="Arial" w:eastAsia="Arial" w:cs="Arial"/>
                <w:b w:val="0"/>
                <w:bCs w:val="0"/>
                <w:color w:val="1A1A1A"/>
                <w:sz w:val="20"/>
                <w:szCs w:val="20"/>
              </w:rPr>
              <w:t>0.55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7AC0C2F">
            <w:pPr>
              <w:jc w:val="left"/>
            </w:pPr>
            <w:r>
              <w:rPr>
                <w:rFonts w:ascii="Arial" w:hAnsi="Arial" w:eastAsia="Arial" w:cs="Arial"/>
                <w:b w:val="0"/>
                <w:bCs w:val="0"/>
                <w:color w:val="1A1A1A"/>
                <w:sz w:val="20"/>
                <w:szCs w:val="20"/>
              </w:rPr>
              <w:t>5/5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B00BC4D">
            <w:pPr>
              <w:jc w:val="left"/>
            </w:pPr>
            <w:r>
              <w:rPr>
                <w:rFonts w:ascii="Arial" w:hAnsi="Arial" w:eastAsia="Arial" w:cs="Arial"/>
                <w:b w:val="0"/>
                <w:bCs w:val="0"/>
                <w:color w:val="1A1A1A"/>
                <w:sz w:val="20"/>
                <w:szCs w:val="20"/>
              </w:rPr>
              <w:t>10</w:t>
            </w:r>
          </w:p>
        </w:tc>
      </w:tr>
    </w:tbl>
    <w:p w14:paraId="1783FCC4">
      <w:pPr>
        <w:spacing w:before="80" w:after="80"/>
      </w:pPr>
    </w:p>
    <w:p w14:paraId="776D40E2">
      <w:pPr>
        <w:pStyle w:val="4"/>
        <w:spacing w:before="200" w:after="100"/>
      </w:pPr>
      <w:r>
        <w:rPr>
          <w:rFonts w:ascii="Arial" w:hAnsi="Arial" w:eastAsia="Arial" w:cs="Arial"/>
          <w:b/>
          <w:bCs/>
          <w:color w:val="333333"/>
          <w:sz w:val="22"/>
          <w:szCs w:val="22"/>
        </w:rPr>
        <w:t>Benefit breakdown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4DCC4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0D6E6E"/>
            <w:tcMar>
              <w:top w:w="80" w:type="dxa"/>
              <w:left w:w="120" w:type="dxa"/>
              <w:bottom w:w="80" w:type="dxa"/>
              <w:right w:w="120" w:type="dxa"/>
            </w:tcMar>
            <w:vAlign w:val="top"/>
          </w:tcPr>
          <w:p w14:paraId="138B7CBD">
            <w:pPr>
              <w:jc w:val="left"/>
            </w:pPr>
            <w:r>
              <w:rPr>
                <w:rFonts w:ascii="Arial" w:hAnsi="Arial" w:eastAsia="Arial" w:cs="Arial"/>
                <w:b/>
                <w:bCs/>
                <w:color w:val="FFFFFF"/>
                <w:sz w:val="20"/>
                <w:szCs w:val="20"/>
              </w:rPr>
              <w:t>Phase 1 — Initial development</w:t>
            </w:r>
          </w:p>
        </w:tc>
        <w:tc>
          <w:tcPr>
            <w:tcW w:w="6240" w:type="dxa"/>
            <w:tcBorders>
              <w:top w:val="single" w:color="CCCCCC" w:sz="0" w:space="0"/>
              <w:left w:val="single" w:color="CCCCCC" w:sz="0" w:space="0"/>
              <w:bottom w:val="single" w:color="CCCCCC" w:sz="0" w:space="0"/>
              <w:right w:val="single" w:color="CCCCCC" w:sz="0" w:space="0"/>
            </w:tcBorders>
            <w:shd w:val="clear" w:color="auto" w:fill="0D6E6E"/>
            <w:tcMar>
              <w:top w:w="80" w:type="dxa"/>
              <w:left w:w="120" w:type="dxa"/>
              <w:bottom w:w="80" w:type="dxa"/>
              <w:right w:w="120" w:type="dxa"/>
            </w:tcMar>
            <w:vAlign w:val="top"/>
          </w:tcPr>
          <w:p w14:paraId="693CA717">
            <w:pPr>
              <w:jc w:val="left"/>
            </w:pPr>
          </w:p>
        </w:tc>
      </w:tr>
      <w:tr w14:paraId="1A581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2C0CE88">
            <w:pPr>
              <w:jc w:val="left"/>
            </w:pPr>
            <w:r>
              <w:rPr>
                <w:rFonts w:ascii="Arial" w:hAnsi="Arial" w:eastAsia="Arial" w:cs="Arial"/>
                <w:b w:val="0"/>
                <w:bCs w:val="0"/>
                <w:color w:val="1A1A1A"/>
                <w:sz w:val="20"/>
                <w:szCs w:val="20"/>
              </w:rPr>
              <w:t>Typical events</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5C7D225">
            <w:pPr>
              <w:jc w:val="left"/>
            </w:pPr>
            <w:r>
              <w:rPr>
                <w:rFonts w:ascii="Arial" w:hAnsi="Arial" w:eastAsia="Arial" w:cs="Arial"/>
                <w:b w:val="0"/>
                <w:bCs w:val="0"/>
                <w:color w:val="1A1A1A"/>
                <w:sz w:val="20"/>
                <w:szCs w:val="20"/>
              </w:rPr>
              <w:t>1–2 pre-submission readiness checks before first filing</w:t>
            </w:r>
          </w:p>
        </w:tc>
      </w:tr>
      <w:tr w14:paraId="59D7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07F968F">
            <w:pPr>
              <w:jc w:val="left"/>
            </w:pPr>
            <w:r>
              <w:rPr>
                <w:rFonts w:ascii="Arial" w:hAnsi="Arial" w:eastAsia="Arial" w:cs="Arial"/>
                <w:b w:val="0"/>
                <w:bCs w:val="0"/>
                <w:color w:val="1A1A1A"/>
                <w:sz w:val="20"/>
                <w:szCs w:val="20"/>
              </w:rPr>
              <w:t>Time saved per event</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FDB5977">
            <w:pPr>
              <w:jc w:val="left"/>
            </w:pPr>
            <w:r>
              <w:rPr>
                <w:rFonts w:ascii="Arial" w:hAnsi="Arial" w:eastAsia="Arial" w:cs="Arial"/>
                <w:b w:val="0"/>
                <w:bCs w:val="0"/>
                <w:color w:val="1A1A1A"/>
                <w:sz w:val="20"/>
                <w:szCs w:val="20"/>
              </w:rPr>
              <w:t>15–40 hours of manual traceability consolidation</w:t>
            </w:r>
          </w:p>
        </w:tc>
      </w:tr>
      <w:tr w14:paraId="1487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B976166">
            <w:pPr>
              <w:jc w:val="left"/>
            </w:pPr>
            <w:r>
              <w:rPr>
                <w:rFonts w:ascii="Arial" w:hAnsi="Arial" w:eastAsia="Arial" w:cs="Arial"/>
                <w:b w:val="0"/>
                <w:bCs w:val="0"/>
                <w:color w:val="1A1A1A"/>
                <w:sz w:val="20"/>
                <w:szCs w:val="20"/>
              </w:rPr>
              <w:t>Total time saving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AF1C557">
            <w:pPr>
              <w:jc w:val="left"/>
            </w:pPr>
            <w:r>
              <w:rPr>
                <w:rFonts w:ascii="Arial" w:hAnsi="Arial" w:eastAsia="Arial" w:cs="Arial"/>
                <w:b w:val="0"/>
                <w:bCs w:val="0"/>
                <w:color w:val="1A1A1A"/>
                <w:sz w:val="20"/>
                <w:szCs w:val="20"/>
              </w:rPr>
              <w:t>15–80 hours = 2,000–10,400€</w:t>
            </w:r>
          </w:p>
        </w:tc>
      </w:tr>
      <w:tr w14:paraId="1F1F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9068314">
            <w:pPr>
              <w:jc w:val="left"/>
            </w:pPr>
            <w:r>
              <w:rPr>
                <w:rFonts w:ascii="Arial" w:hAnsi="Arial" w:eastAsia="Arial" w:cs="Arial"/>
                <w:b w:val="0"/>
                <w:bCs w:val="0"/>
                <w:color w:val="1A1A1A"/>
                <w:sz w:val="20"/>
                <w:szCs w:val="20"/>
              </w:rPr>
              <w:t>Regulatory cost avoided</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D926671">
            <w:pPr>
              <w:jc w:val="left"/>
            </w:pPr>
            <w:r>
              <w:rPr>
                <w:rFonts w:ascii="Arial" w:hAnsi="Arial" w:eastAsia="Arial" w:cs="Arial"/>
                <w:b w:val="0"/>
                <w:bCs w:val="0"/>
                <w:color w:val="1A1A1A"/>
                <w:sz w:val="20"/>
                <w:szCs w:val="20"/>
              </w:rPr>
              <w:t>10–30k€ (pre-submission gap analysis reduces deficiencies at first review)</w:t>
            </w:r>
          </w:p>
        </w:tc>
      </w:tr>
    </w:tbl>
    <w:p w14:paraId="0531E108">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03241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7D31F569">
            <w:pPr>
              <w:jc w:val="left"/>
            </w:pPr>
            <w:r>
              <w:rPr>
                <w:rFonts w:ascii="Arial" w:hAnsi="Arial" w:eastAsia="Arial" w:cs="Arial"/>
                <w:b/>
                <w:bCs/>
                <w:color w:val="FFFFFF"/>
                <w:sz w:val="20"/>
                <w:szCs w:val="20"/>
              </w:rPr>
              <w:t>Phase 2 — Ongoing maintenance</w:t>
            </w:r>
          </w:p>
        </w:tc>
        <w:tc>
          <w:tcPr>
            <w:tcW w:w="62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0BB2FFFE">
            <w:pPr>
              <w:jc w:val="left"/>
            </w:pPr>
          </w:p>
        </w:tc>
      </w:tr>
      <w:tr w14:paraId="2BDCA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8963036">
            <w:pPr>
              <w:jc w:val="left"/>
            </w:pPr>
            <w:r>
              <w:rPr>
                <w:rFonts w:ascii="Arial" w:hAnsi="Arial" w:eastAsia="Arial" w:cs="Arial"/>
                <w:b w:val="0"/>
                <w:bCs w:val="0"/>
                <w:color w:val="1A1A1A"/>
                <w:sz w:val="20"/>
                <w:szCs w:val="20"/>
              </w:rPr>
              <w:t>Annual events per product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F34858C">
            <w:pPr>
              <w:jc w:val="left"/>
            </w:pPr>
            <w:r>
              <w:rPr>
                <w:rFonts w:ascii="Arial" w:hAnsi="Arial" w:eastAsia="Arial" w:cs="Arial"/>
                <w:b w:val="0"/>
                <w:bCs w:val="0"/>
                <w:color w:val="1A1A1A"/>
                <w:sz w:val="20"/>
                <w:szCs w:val="20"/>
              </w:rPr>
              <w:t>0.5–1 major audit or submission per year</w:t>
            </w:r>
          </w:p>
        </w:tc>
      </w:tr>
      <w:tr w14:paraId="754C0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4D4E750">
            <w:pPr>
              <w:jc w:val="left"/>
            </w:pPr>
            <w:r>
              <w:rPr>
                <w:rFonts w:ascii="Arial" w:hAnsi="Arial" w:eastAsia="Arial" w:cs="Arial"/>
                <w:b w:val="0"/>
                <w:bCs w:val="0"/>
                <w:color w:val="1A1A1A"/>
                <w:sz w:val="20"/>
                <w:szCs w:val="20"/>
              </w:rPr>
              <w:t>Time saved per event</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B51CF8F">
            <w:pPr>
              <w:jc w:val="left"/>
            </w:pPr>
            <w:r>
              <w:rPr>
                <w:rFonts w:ascii="Arial" w:hAnsi="Arial" w:eastAsia="Arial" w:cs="Arial"/>
                <w:b w:val="0"/>
                <w:bCs w:val="0"/>
                <w:color w:val="1A1A1A"/>
                <w:sz w:val="20"/>
                <w:szCs w:val="20"/>
              </w:rPr>
              <w:t>10–30 hours of manual preparation</w:t>
            </w:r>
          </w:p>
        </w:tc>
      </w:tr>
      <w:tr w14:paraId="0070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260F16C">
            <w:pPr>
              <w:jc w:val="left"/>
            </w:pPr>
            <w:r>
              <w:rPr>
                <w:rFonts w:ascii="Arial" w:hAnsi="Arial" w:eastAsia="Arial" w:cs="Arial"/>
                <w:b w:val="0"/>
                <w:bCs w:val="0"/>
                <w:color w:val="1A1A1A"/>
                <w:sz w:val="20"/>
                <w:szCs w:val="20"/>
              </w:rPr>
              <w:t>Annual time saving</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81BB824">
            <w:pPr>
              <w:jc w:val="left"/>
            </w:pPr>
            <w:r>
              <w:rPr>
                <w:rFonts w:ascii="Arial" w:hAnsi="Arial" w:eastAsia="Arial" w:cs="Arial"/>
                <w:b w:val="0"/>
                <w:bCs w:val="0"/>
                <w:color w:val="1A1A1A"/>
                <w:sz w:val="20"/>
                <w:szCs w:val="20"/>
              </w:rPr>
              <w:t>5–30 hours = 650–3,900€</w:t>
            </w:r>
          </w:p>
        </w:tc>
      </w:tr>
      <w:tr w14:paraId="6A541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A84E7F3">
            <w:pPr>
              <w:jc w:val="left"/>
            </w:pPr>
            <w:r>
              <w:rPr>
                <w:rFonts w:ascii="Arial" w:hAnsi="Arial" w:eastAsia="Arial" w:cs="Arial"/>
                <w:b w:val="0"/>
                <w:bCs w:val="0"/>
                <w:color w:val="1A1A1A"/>
                <w:sz w:val="20"/>
                <w:szCs w:val="20"/>
              </w:rPr>
              <w:t>Regulatory cost avoided</w:t>
            </w:r>
          </w:p>
        </w:tc>
        <w:tc>
          <w:tcPr>
            <w:tcW w:w="6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2E7B5E6">
            <w:pPr>
              <w:jc w:val="left"/>
            </w:pPr>
            <w:r>
              <w:rPr>
                <w:rFonts w:ascii="Arial" w:hAnsi="Arial" w:eastAsia="Arial" w:cs="Arial"/>
                <w:b w:val="0"/>
                <w:bCs w:val="0"/>
                <w:color w:val="1A1A1A"/>
                <w:sz w:val="20"/>
                <w:szCs w:val="20"/>
              </w:rPr>
              <w:t>10–20k€ per year</w:t>
            </w:r>
          </w:p>
        </w:tc>
      </w:tr>
      <w:tr w14:paraId="3CB0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D5A7986">
            <w:pPr>
              <w:jc w:val="left"/>
            </w:pPr>
            <w:r>
              <w:rPr>
                <w:rFonts w:ascii="Arial" w:hAnsi="Arial" w:eastAsia="Arial" w:cs="Arial"/>
                <w:b w:val="0"/>
                <w:bCs w:val="0"/>
                <w:color w:val="1A1A1A"/>
                <w:sz w:val="20"/>
                <w:szCs w:val="20"/>
              </w:rPr>
              <w:t>LLM operating cost</w:t>
            </w:r>
          </w:p>
        </w:tc>
        <w:tc>
          <w:tcPr>
            <w:tcW w:w="6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753BB1C">
            <w:pPr>
              <w:jc w:val="left"/>
            </w:pPr>
            <w:r>
              <w:rPr>
                <w:rFonts w:ascii="Arial" w:hAnsi="Arial" w:eastAsia="Arial" w:cs="Arial"/>
                <w:b w:val="0"/>
                <w:bCs w:val="0"/>
                <w:color w:val="1A1A1A"/>
                <w:sz w:val="20"/>
                <w:szCs w:val="20"/>
              </w:rPr>
              <w:t>Negligible</w:t>
            </w:r>
          </w:p>
        </w:tc>
      </w:tr>
    </w:tbl>
    <w:p w14:paraId="58DA53ED">
      <w:pPr>
        <w:spacing w:before="80" w:after="80"/>
      </w:pPr>
    </w:p>
    <w:p w14:paraId="07DAA9BE">
      <w:pPr>
        <w:pStyle w:val="4"/>
        <w:spacing w:before="200" w:after="100"/>
      </w:pPr>
      <w:r>
        <w:rPr>
          <w:rFonts w:ascii="Arial" w:hAnsi="Arial" w:eastAsia="Arial" w:cs="Arial"/>
          <w:b/>
          <w:bCs/>
          <w:color w:val="333333"/>
          <w:sz w:val="22"/>
          <w:szCs w:val="22"/>
        </w:rPr>
        <w:t>Key assumptions</w:t>
      </w:r>
    </w:p>
    <w:p w14:paraId="36A8195A">
      <w:pPr>
        <w:pStyle w:val="14"/>
        <w:numPr>
          <w:ilvl w:val="0"/>
          <w:numId w:val="1"/>
        </w:numPr>
        <w:spacing w:before="40" w:after="40"/>
      </w:pPr>
      <w:r>
        <w:rPr>
          <w:rFonts w:ascii="Arial" w:hAnsi="Arial" w:eastAsia="Arial" w:cs="Arial"/>
          <w:sz w:val="22"/>
          <w:szCs w:val="22"/>
        </w:rPr>
        <w:t>UC6 is a reporting layer on top of all previous use cases. Its value depends entirely on the findings history quality from UC1–UC5. Minimum 6 months of production operation required for meaningful output.</w:t>
      </w:r>
    </w:p>
    <w:p w14:paraId="0F863240">
      <w:pPr>
        <w:pStyle w:val="14"/>
        <w:numPr>
          <w:ilvl w:val="0"/>
          <w:numId w:val="1"/>
        </w:numPr>
        <w:spacing w:before="40" w:after="40"/>
      </w:pPr>
      <w:r>
        <w:rPr>
          <w:rFonts w:ascii="Arial" w:hAnsi="Arial" w:eastAsia="Arial" w:cs="Arial"/>
          <w:sz w:val="22"/>
          <w:szCs w:val="22"/>
        </w:rPr>
        <w:t>Output format requirements vary by notified body and FDA review division. Significant customisation may be required per submission.</w:t>
      </w:r>
    </w:p>
    <w:p w14:paraId="607703B2">
      <w:pPr>
        <w:spacing w:before="80" w:after="80"/>
      </w:pPr>
    </w:p>
    <w:p w14:paraId="0DDFF9CC">
      <w:pPr>
        <w:pStyle w:val="4"/>
        <w:spacing w:before="200" w:after="100"/>
      </w:pPr>
      <w:r>
        <w:rPr>
          <w:rFonts w:ascii="Arial" w:hAnsi="Arial" w:eastAsia="Arial" w:cs="Arial"/>
          <w:b/>
          <w:bCs/>
          <w:color w:val="333333"/>
          <w:sz w:val="22"/>
          <w:szCs w:val="22"/>
        </w:rPr>
        <w:t>Rationale for ‘Later’ placement</w:t>
      </w:r>
    </w:p>
    <w:p w14:paraId="6D079532">
      <w:pPr>
        <w:spacing w:before="80" w:after="80"/>
      </w:pPr>
      <w:r>
        <w:rPr>
          <w:rFonts w:ascii="Arial" w:hAnsi="Arial" w:eastAsia="Arial" w:cs="Arial"/>
          <w:sz w:val="22"/>
          <w:szCs w:val="22"/>
        </w:rPr>
        <w:t>‘Later’ does not mean ‘never.’ UC6 cannot be built or validated until the product has been running long enough to generate meaningful findings history. A team using UC1–UC5 consistently for 6–12 months will have exactly the data needed to make UC6 genuinely useful.</w:t>
      </w:r>
    </w:p>
    <w:p w14:paraId="796A9E8C">
      <w:r>
        <w:br w:type="page"/>
      </w:r>
    </w:p>
    <w:p w14:paraId="3777514C">
      <w:pPr>
        <w:pStyle w:val="2"/>
        <w:pBdr>
          <w:bottom w:val="single" w:color="2E75B6" w:sz="8" w:space="4"/>
        </w:pBdr>
        <w:spacing w:before="400" w:after="160"/>
      </w:pPr>
      <w:r>
        <w:rPr>
          <w:rFonts w:ascii="Arial" w:hAnsi="Arial" w:eastAsia="Arial" w:cs="Arial"/>
          <w:b/>
          <w:bCs/>
          <w:color w:val="1F4E79"/>
          <w:sz w:val="32"/>
          <w:szCs w:val="32"/>
        </w:rPr>
        <w:t>6. Comparative view</w:t>
      </w: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2"/>
        <w:gridCol w:w="985"/>
        <w:gridCol w:w="947"/>
        <w:gridCol w:w="1329"/>
        <w:gridCol w:w="928"/>
        <w:gridCol w:w="833"/>
        <w:gridCol w:w="1250"/>
        <w:gridCol w:w="1350"/>
        <w:gridCol w:w="996"/>
      </w:tblGrid>
      <w:tr w14:paraId="57B2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3AC37DCD">
            <w:pPr>
              <w:jc w:val="left"/>
            </w:pPr>
            <w:r>
              <w:rPr>
                <w:rFonts w:ascii="Arial" w:hAnsi="Arial" w:eastAsia="Arial" w:cs="Arial"/>
                <w:b/>
                <w:bCs/>
                <w:color w:val="FFFFFF"/>
                <w:sz w:val="20"/>
                <w:szCs w:val="20"/>
              </w:rPr>
              <w:t>Use case</w:t>
            </w:r>
          </w:p>
        </w:tc>
        <w:tc>
          <w:tcPr>
            <w:tcW w:w="9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5ADBAB55">
            <w:pPr>
              <w:jc w:val="left"/>
            </w:pPr>
            <w:r>
              <w:rPr>
                <w:rFonts w:ascii="Arial" w:hAnsi="Arial" w:eastAsia="Arial" w:cs="Arial"/>
                <w:b/>
                <w:bCs/>
                <w:color w:val="FFFFFF"/>
                <w:sz w:val="20"/>
                <w:szCs w:val="20"/>
              </w:rPr>
              <w:t>Risk savings</w:t>
            </w:r>
          </w:p>
        </w:tc>
        <w:tc>
          <w:tcPr>
            <w:tcW w:w="9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6EA00F25">
            <w:pPr>
              <w:jc w:val="left"/>
            </w:pPr>
            <w:r>
              <w:rPr>
                <w:rFonts w:ascii="Arial" w:hAnsi="Arial" w:eastAsia="Arial" w:cs="Arial"/>
                <w:b/>
                <w:bCs/>
                <w:color w:val="FFFFFF"/>
                <w:sz w:val="20"/>
                <w:szCs w:val="20"/>
              </w:rPr>
              <w:t>Impact</w:t>
            </w:r>
          </w:p>
        </w:tc>
        <w:tc>
          <w:tcPr>
            <w:tcW w:w="10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1E8FBA8E">
            <w:pPr>
              <w:jc w:val="left"/>
            </w:pPr>
            <w:r>
              <w:rPr>
                <w:rFonts w:ascii="Arial" w:hAnsi="Arial" w:eastAsia="Arial" w:cs="Arial"/>
                <w:b/>
                <w:bCs/>
                <w:color w:val="FFFFFF"/>
                <w:sz w:val="20"/>
                <w:szCs w:val="20"/>
              </w:rPr>
              <w:t>Confidence</w:t>
            </w:r>
          </w:p>
        </w:tc>
        <w:tc>
          <w:tcPr>
            <w:tcW w:w="9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7AA33587">
            <w:pPr>
              <w:jc w:val="left"/>
            </w:pPr>
            <w:r>
              <w:rPr>
                <w:rFonts w:ascii="Arial" w:hAnsi="Arial" w:eastAsia="Arial" w:cs="Arial"/>
                <w:b/>
                <w:bCs/>
                <w:color w:val="FFFFFF"/>
                <w:sz w:val="20"/>
                <w:szCs w:val="20"/>
              </w:rPr>
              <w:t>Effort</w:t>
            </w:r>
          </w:p>
        </w:tc>
        <w:tc>
          <w:tcPr>
            <w:tcW w:w="8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3335B44C">
            <w:pPr>
              <w:jc w:val="left"/>
            </w:pPr>
            <w:r>
              <w:rPr>
                <w:rFonts w:ascii="Arial" w:hAnsi="Arial" w:eastAsia="Arial" w:cs="Arial"/>
                <w:b/>
                <w:bCs/>
                <w:color w:val="FFFFFF"/>
                <w:sz w:val="20"/>
                <w:szCs w:val="20"/>
              </w:rPr>
              <w:t>Score</w:t>
            </w:r>
          </w:p>
        </w:tc>
        <w:tc>
          <w:tcPr>
            <w:tcW w:w="13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0E6DD7B7">
            <w:pPr>
              <w:jc w:val="left"/>
            </w:pPr>
            <w:r>
              <w:rPr>
                <w:rFonts w:ascii="Arial" w:hAnsi="Arial" w:eastAsia="Arial" w:cs="Arial"/>
                <w:b/>
                <w:bCs/>
                <w:color w:val="FFFFFF"/>
                <w:sz w:val="20"/>
                <w:szCs w:val="20"/>
              </w:rPr>
              <w:t>Phase 1 saving</w:t>
            </w:r>
          </w:p>
        </w:tc>
        <w:tc>
          <w:tcPr>
            <w:tcW w:w="14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049E4AB3">
            <w:pPr>
              <w:jc w:val="left"/>
            </w:pPr>
            <w:r>
              <w:rPr>
                <w:rFonts w:ascii="Arial" w:hAnsi="Arial" w:eastAsia="Arial" w:cs="Arial"/>
                <w:b/>
                <w:bCs/>
                <w:color w:val="FFFFFF"/>
                <w:sz w:val="20"/>
                <w:szCs w:val="20"/>
              </w:rPr>
              <w:t>Phase 2/yr saving</w:t>
            </w:r>
          </w:p>
        </w:tc>
        <w:tc>
          <w:tcPr>
            <w:tcW w:w="1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1577C31C">
            <w:pPr>
              <w:jc w:val="left"/>
            </w:pPr>
            <w:r>
              <w:rPr>
                <w:rFonts w:ascii="Arial" w:hAnsi="Arial" w:eastAsia="Arial" w:cs="Arial"/>
                <w:b/>
                <w:bCs/>
                <w:color w:val="FFFFFF"/>
                <w:sz w:val="20"/>
                <w:szCs w:val="20"/>
              </w:rPr>
              <w:t>Tier</w:t>
            </w:r>
          </w:p>
        </w:tc>
      </w:tr>
      <w:tr w14:paraId="35E5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2EAA24E">
            <w:pPr>
              <w:jc w:val="left"/>
            </w:pPr>
            <w:r>
              <w:rPr>
                <w:rFonts w:ascii="Arial" w:hAnsi="Arial" w:eastAsia="Arial" w:cs="Arial"/>
                <w:b w:val="0"/>
                <w:bCs w:val="0"/>
                <w:color w:val="1A1A1A"/>
                <w:sz w:val="20"/>
                <w:szCs w:val="20"/>
              </w:rPr>
              <w:t>UC3 Risk traceability</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AB0F5D0">
            <w:pPr>
              <w:jc w:val="left"/>
            </w:pPr>
            <w:r>
              <w:rPr>
                <w:rFonts w:ascii="Arial" w:hAnsi="Arial" w:eastAsia="Arial" w:cs="Arial"/>
                <w:b w:val="0"/>
                <w:bCs w:val="0"/>
                <w:color w:val="1A1A1A"/>
                <w:sz w:val="20"/>
                <w:szCs w:val="20"/>
              </w:rPr>
              <w:t>5/5</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22F0BC8">
            <w:pPr>
              <w:jc w:val="left"/>
            </w:pPr>
            <w:r>
              <w:rPr>
                <w:rFonts w:ascii="Arial" w:hAnsi="Arial" w:eastAsia="Arial" w:cs="Arial"/>
                <w:b w:val="0"/>
                <w:bCs w:val="0"/>
                <w:color w:val="1A1A1A"/>
                <w:sz w:val="20"/>
                <w:szCs w:val="20"/>
              </w:rPr>
              <w:t>4/5</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42F3660">
            <w:pPr>
              <w:jc w:val="left"/>
            </w:pPr>
            <w:r>
              <w:rPr>
                <w:rFonts w:ascii="Arial" w:hAnsi="Arial" w:eastAsia="Arial" w:cs="Arial"/>
                <w:b w:val="0"/>
                <w:bCs w:val="0"/>
                <w:color w:val="1A1A1A"/>
                <w:sz w:val="20"/>
                <w:szCs w:val="20"/>
              </w:rPr>
              <w:t>0.85</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4E98EA7">
            <w:pPr>
              <w:jc w:val="left"/>
            </w:pPr>
            <w:r>
              <w:rPr>
                <w:rFonts w:ascii="Arial" w:hAnsi="Arial" w:eastAsia="Arial" w:cs="Arial"/>
                <w:b w:val="0"/>
                <w:bCs w:val="0"/>
                <w:color w:val="1A1A1A"/>
                <w:sz w:val="20"/>
                <w:szCs w:val="20"/>
              </w:rPr>
              <w:t>2/5</w:t>
            </w:r>
          </w:p>
        </w:tc>
        <w:tc>
          <w:tcPr>
            <w:tcW w:w="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686713D">
            <w:pPr>
              <w:jc w:val="left"/>
            </w:pPr>
            <w:r>
              <w:rPr>
                <w:rFonts w:ascii="Arial" w:hAnsi="Arial" w:eastAsia="Arial" w:cs="Arial"/>
                <w:b w:val="0"/>
                <w:bCs w:val="0"/>
                <w:color w:val="1A1A1A"/>
                <w:sz w:val="20"/>
                <w:szCs w:val="20"/>
              </w:rPr>
              <w:t>85</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BB718F6">
            <w:pPr>
              <w:jc w:val="left"/>
            </w:pPr>
            <w:r>
              <w:rPr>
                <w:rFonts w:ascii="Arial" w:hAnsi="Arial" w:eastAsia="Arial" w:cs="Arial"/>
                <w:b w:val="0"/>
                <w:bCs w:val="0"/>
                <w:color w:val="1A1A1A"/>
                <w:sz w:val="20"/>
                <w:szCs w:val="20"/>
              </w:rPr>
              <w:t>20–100 h</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85EB5D6">
            <w:pPr>
              <w:jc w:val="left"/>
            </w:pPr>
            <w:r>
              <w:rPr>
                <w:rFonts w:ascii="Arial" w:hAnsi="Arial" w:eastAsia="Arial" w:cs="Arial"/>
                <w:b w:val="0"/>
                <w:bCs w:val="0"/>
                <w:color w:val="1A1A1A"/>
                <w:sz w:val="20"/>
                <w:szCs w:val="20"/>
              </w:rPr>
              <w:t>24–160 h/yr</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3D88AEA">
            <w:pPr>
              <w:jc w:val="left"/>
            </w:pPr>
            <w:r>
              <w:rPr>
                <w:rFonts w:ascii="Arial" w:hAnsi="Arial" w:eastAsia="Arial" w:cs="Arial"/>
                <w:b w:val="0"/>
                <w:bCs w:val="0"/>
                <w:color w:val="1A1A1A"/>
                <w:sz w:val="20"/>
                <w:szCs w:val="20"/>
              </w:rPr>
              <w:t>Initial</w:t>
            </w:r>
          </w:p>
        </w:tc>
      </w:tr>
      <w:tr w14:paraId="69AC4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7E6ADC1">
            <w:pPr>
              <w:jc w:val="left"/>
            </w:pPr>
            <w:r>
              <w:rPr>
                <w:rFonts w:ascii="Arial" w:hAnsi="Arial" w:eastAsia="Arial" w:cs="Arial"/>
                <w:b w:val="0"/>
                <w:bCs w:val="0"/>
                <w:color w:val="1A1A1A"/>
                <w:sz w:val="20"/>
                <w:szCs w:val="20"/>
              </w:rPr>
              <w:t>UC1 SRS monitoring</w:t>
            </w:r>
          </w:p>
        </w:tc>
        <w:tc>
          <w:tcPr>
            <w:tcW w:w="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4947840">
            <w:pPr>
              <w:jc w:val="left"/>
            </w:pPr>
            <w:r>
              <w:rPr>
                <w:rFonts w:ascii="Arial" w:hAnsi="Arial" w:eastAsia="Arial" w:cs="Arial"/>
                <w:b w:val="0"/>
                <w:bCs w:val="0"/>
                <w:color w:val="1A1A1A"/>
                <w:sz w:val="20"/>
                <w:szCs w:val="20"/>
              </w:rPr>
              <w:t>4/5</w:t>
            </w:r>
          </w:p>
        </w:tc>
        <w:tc>
          <w:tcPr>
            <w:tcW w:w="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375D47B6">
            <w:pPr>
              <w:jc w:val="left"/>
            </w:pPr>
            <w:r>
              <w:rPr>
                <w:rFonts w:ascii="Arial" w:hAnsi="Arial" w:eastAsia="Arial" w:cs="Arial"/>
                <w:b w:val="0"/>
                <w:bCs w:val="0"/>
                <w:color w:val="1A1A1A"/>
                <w:sz w:val="20"/>
                <w:szCs w:val="20"/>
              </w:rPr>
              <w:t>4/5</w:t>
            </w:r>
          </w:p>
        </w:tc>
        <w:tc>
          <w:tcPr>
            <w:tcW w:w="10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9527EB7">
            <w:pPr>
              <w:jc w:val="left"/>
            </w:pPr>
            <w:r>
              <w:rPr>
                <w:rFonts w:ascii="Arial" w:hAnsi="Arial" w:eastAsia="Arial" w:cs="Arial"/>
                <w:b w:val="0"/>
                <w:bCs w:val="0"/>
                <w:color w:val="1A1A1A"/>
                <w:sz w:val="20"/>
                <w:szCs w:val="20"/>
              </w:rPr>
              <w:t>0.90</w:t>
            </w:r>
          </w:p>
        </w:tc>
        <w:tc>
          <w:tcPr>
            <w:tcW w:w="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D68614A">
            <w:pPr>
              <w:jc w:val="left"/>
            </w:pPr>
            <w:r>
              <w:rPr>
                <w:rFonts w:ascii="Arial" w:hAnsi="Arial" w:eastAsia="Arial" w:cs="Arial"/>
                <w:b w:val="0"/>
                <w:bCs w:val="0"/>
                <w:color w:val="1A1A1A"/>
                <w:sz w:val="20"/>
                <w:szCs w:val="20"/>
              </w:rPr>
              <w:t>2/5</w:t>
            </w:r>
          </w:p>
        </w:tc>
        <w:tc>
          <w:tcPr>
            <w:tcW w:w="8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5BDF9B6">
            <w:pPr>
              <w:jc w:val="left"/>
            </w:pPr>
            <w:r>
              <w:rPr>
                <w:rFonts w:ascii="Arial" w:hAnsi="Arial" w:eastAsia="Arial" w:cs="Arial"/>
                <w:b w:val="0"/>
                <w:bCs w:val="0"/>
                <w:color w:val="1A1A1A"/>
                <w:sz w:val="20"/>
                <w:szCs w:val="20"/>
              </w:rPr>
              <w:t>72</w:t>
            </w:r>
          </w:p>
        </w:tc>
        <w:tc>
          <w:tcPr>
            <w:tcW w:w="13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79380B1">
            <w:pPr>
              <w:jc w:val="left"/>
            </w:pPr>
            <w:r>
              <w:rPr>
                <w:rFonts w:ascii="Arial" w:hAnsi="Arial" w:eastAsia="Arial" w:cs="Arial"/>
                <w:b w:val="0"/>
                <w:bCs w:val="0"/>
                <w:color w:val="1A1A1A"/>
                <w:sz w:val="20"/>
                <w:szCs w:val="20"/>
              </w:rPr>
              <w:t>15–160 h</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F9E07CE">
            <w:pPr>
              <w:jc w:val="left"/>
            </w:pPr>
            <w:r>
              <w:rPr>
                <w:rFonts w:ascii="Arial" w:hAnsi="Arial" w:eastAsia="Arial" w:cs="Arial"/>
                <w:b w:val="0"/>
                <w:bCs w:val="0"/>
                <w:color w:val="1A1A1A"/>
                <w:sz w:val="20"/>
                <w:szCs w:val="20"/>
              </w:rPr>
              <w:t>20–120 h/yr</w:t>
            </w:r>
          </w:p>
        </w:tc>
        <w:tc>
          <w:tcPr>
            <w:tcW w:w="1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3D3643B">
            <w:pPr>
              <w:jc w:val="left"/>
            </w:pPr>
            <w:r>
              <w:rPr>
                <w:rFonts w:ascii="Arial" w:hAnsi="Arial" w:eastAsia="Arial" w:cs="Arial"/>
                <w:b w:val="0"/>
                <w:bCs w:val="0"/>
                <w:color w:val="1A1A1A"/>
                <w:sz w:val="20"/>
                <w:szCs w:val="20"/>
              </w:rPr>
              <w:t>Initial</w:t>
            </w:r>
          </w:p>
        </w:tc>
      </w:tr>
      <w:tr w14:paraId="3F1A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D7DF0E8">
            <w:pPr>
              <w:jc w:val="left"/>
            </w:pPr>
            <w:r>
              <w:rPr>
                <w:rFonts w:ascii="Arial" w:hAnsi="Arial" w:eastAsia="Arial" w:cs="Arial"/>
                <w:b w:val="0"/>
                <w:bCs w:val="0"/>
                <w:color w:val="1A1A1A"/>
                <w:sz w:val="20"/>
                <w:szCs w:val="20"/>
              </w:rPr>
              <w:t>UC2 Baseline → SRS</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B3CD0B1">
            <w:pPr>
              <w:jc w:val="left"/>
            </w:pPr>
            <w:r>
              <w:rPr>
                <w:rFonts w:ascii="Arial" w:hAnsi="Arial" w:eastAsia="Arial" w:cs="Arial"/>
                <w:b w:val="0"/>
                <w:bCs w:val="0"/>
                <w:color w:val="1A1A1A"/>
                <w:sz w:val="20"/>
                <w:szCs w:val="20"/>
              </w:rPr>
              <w:t>3/5</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1AD61F8">
            <w:pPr>
              <w:jc w:val="left"/>
            </w:pPr>
            <w:r>
              <w:rPr>
                <w:rFonts w:ascii="Arial" w:hAnsi="Arial" w:eastAsia="Arial" w:cs="Arial"/>
                <w:b w:val="0"/>
                <w:bCs w:val="0"/>
                <w:color w:val="1A1A1A"/>
                <w:sz w:val="20"/>
                <w:szCs w:val="20"/>
              </w:rPr>
              <w:t>4/5</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692984D">
            <w:pPr>
              <w:jc w:val="left"/>
            </w:pPr>
            <w:r>
              <w:rPr>
                <w:rFonts w:ascii="Arial" w:hAnsi="Arial" w:eastAsia="Arial" w:cs="Arial"/>
                <w:b w:val="0"/>
                <w:bCs w:val="0"/>
                <w:color w:val="1A1A1A"/>
                <w:sz w:val="20"/>
                <w:szCs w:val="20"/>
              </w:rPr>
              <w:t>0.75</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B3810A8">
            <w:pPr>
              <w:jc w:val="left"/>
            </w:pPr>
            <w:r>
              <w:rPr>
                <w:rFonts w:ascii="Arial" w:hAnsi="Arial" w:eastAsia="Arial" w:cs="Arial"/>
                <w:b w:val="0"/>
                <w:bCs w:val="0"/>
                <w:color w:val="1A1A1A"/>
                <w:sz w:val="20"/>
                <w:szCs w:val="20"/>
              </w:rPr>
              <w:t>3/5</w:t>
            </w:r>
          </w:p>
        </w:tc>
        <w:tc>
          <w:tcPr>
            <w:tcW w:w="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131C413">
            <w:pPr>
              <w:jc w:val="left"/>
            </w:pPr>
            <w:r>
              <w:rPr>
                <w:rFonts w:ascii="Arial" w:hAnsi="Arial" w:eastAsia="Arial" w:cs="Arial"/>
                <w:b w:val="0"/>
                <w:bCs w:val="0"/>
                <w:color w:val="1A1A1A"/>
                <w:sz w:val="20"/>
                <w:szCs w:val="20"/>
              </w:rPr>
              <w:t>30</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B0EC2ED">
            <w:pPr>
              <w:jc w:val="left"/>
            </w:pPr>
            <w:r>
              <w:rPr>
                <w:rFonts w:ascii="Arial" w:hAnsi="Arial" w:eastAsia="Arial" w:cs="Arial"/>
                <w:b w:val="0"/>
                <w:bCs w:val="0"/>
                <w:color w:val="1A1A1A"/>
                <w:sz w:val="20"/>
                <w:szCs w:val="20"/>
              </w:rPr>
              <w:t>24–120 h</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89FA50F">
            <w:pPr>
              <w:jc w:val="left"/>
            </w:pPr>
            <w:r>
              <w:rPr>
                <w:rFonts w:ascii="Arial" w:hAnsi="Arial" w:eastAsia="Arial" w:cs="Arial"/>
                <w:b w:val="0"/>
                <w:bCs w:val="0"/>
                <w:color w:val="1A1A1A"/>
                <w:sz w:val="20"/>
                <w:szCs w:val="20"/>
              </w:rPr>
              <w:t>2–24 h/yr</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E9308B4">
            <w:pPr>
              <w:jc w:val="left"/>
            </w:pPr>
            <w:r>
              <w:rPr>
                <w:rFonts w:ascii="Arial" w:hAnsi="Arial" w:eastAsia="Arial" w:cs="Arial"/>
                <w:b w:val="0"/>
                <w:bCs w:val="0"/>
                <w:color w:val="1A1A1A"/>
                <w:sz w:val="20"/>
                <w:szCs w:val="20"/>
              </w:rPr>
              <w:t>Release 2</w:t>
            </w:r>
          </w:p>
        </w:tc>
      </w:tr>
      <w:tr w14:paraId="44F4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2621783">
            <w:pPr>
              <w:jc w:val="left"/>
            </w:pPr>
            <w:r>
              <w:rPr>
                <w:rFonts w:ascii="Arial" w:hAnsi="Arial" w:eastAsia="Arial" w:cs="Arial"/>
                <w:b w:val="0"/>
                <w:bCs w:val="0"/>
                <w:color w:val="1A1A1A"/>
                <w:sz w:val="20"/>
                <w:szCs w:val="20"/>
              </w:rPr>
              <w:t>UC4 Change control plan</w:t>
            </w:r>
          </w:p>
        </w:tc>
        <w:tc>
          <w:tcPr>
            <w:tcW w:w="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A8D3B44">
            <w:pPr>
              <w:jc w:val="left"/>
            </w:pPr>
            <w:r>
              <w:rPr>
                <w:rFonts w:ascii="Arial" w:hAnsi="Arial" w:eastAsia="Arial" w:cs="Arial"/>
                <w:b w:val="0"/>
                <w:bCs w:val="0"/>
                <w:color w:val="1A1A1A"/>
                <w:sz w:val="20"/>
                <w:szCs w:val="20"/>
              </w:rPr>
              <w:t>5/5</w:t>
            </w:r>
          </w:p>
        </w:tc>
        <w:tc>
          <w:tcPr>
            <w:tcW w:w="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9E07785">
            <w:pPr>
              <w:jc w:val="left"/>
            </w:pPr>
            <w:r>
              <w:rPr>
                <w:rFonts w:ascii="Arial" w:hAnsi="Arial" w:eastAsia="Arial" w:cs="Arial"/>
                <w:b w:val="0"/>
                <w:bCs w:val="0"/>
                <w:color w:val="1A1A1A"/>
                <w:sz w:val="20"/>
                <w:szCs w:val="20"/>
              </w:rPr>
              <w:t>3/5</w:t>
            </w:r>
          </w:p>
        </w:tc>
        <w:tc>
          <w:tcPr>
            <w:tcW w:w="10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F1480C5">
            <w:pPr>
              <w:jc w:val="left"/>
            </w:pPr>
            <w:r>
              <w:rPr>
                <w:rFonts w:ascii="Arial" w:hAnsi="Arial" w:eastAsia="Arial" w:cs="Arial"/>
                <w:b w:val="0"/>
                <w:bCs w:val="0"/>
                <w:color w:val="1A1A1A"/>
                <w:sz w:val="20"/>
                <w:szCs w:val="20"/>
              </w:rPr>
              <w:t>0.60</w:t>
            </w:r>
          </w:p>
        </w:tc>
        <w:tc>
          <w:tcPr>
            <w:tcW w:w="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A198372">
            <w:pPr>
              <w:jc w:val="left"/>
            </w:pPr>
            <w:r>
              <w:rPr>
                <w:rFonts w:ascii="Arial" w:hAnsi="Arial" w:eastAsia="Arial" w:cs="Arial"/>
                <w:b w:val="0"/>
                <w:bCs w:val="0"/>
                <w:color w:val="1A1A1A"/>
                <w:sz w:val="20"/>
                <w:szCs w:val="20"/>
              </w:rPr>
              <w:t>4/5</w:t>
            </w:r>
          </w:p>
        </w:tc>
        <w:tc>
          <w:tcPr>
            <w:tcW w:w="8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98BE95E">
            <w:pPr>
              <w:jc w:val="left"/>
            </w:pPr>
            <w:r>
              <w:rPr>
                <w:rFonts w:ascii="Arial" w:hAnsi="Arial" w:eastAsia="Arial" w:cs="Arial"/>
                <w:b w:val="0"/>
                <w:bCs w:val="0"/>
                <w:color w:val="1A1A1A"/>
                <w:sz w:val="20"/>
                <w:szCs w:val="20"/>
              </w:rPr>
              <w:t>23</w:t>
            </w:r>
          </w:p>
        </w:tc>
        <w:tc>
          <w:tcPr>
            <w:tcW w:w="13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0245F81">
            <w:pPr>
              <w:jc w:val="left"/>
            </w:pPr>
            <w:r>
              <w:rPr>
                <w:rFonts w:ascii="Arial" w:hAnsi="Arial" w:eastAsia="Arial" w:cs="Arial"/>
                <w:b w:val="0"/>
                <w:bCs w:val="0"/>
                <w:color w:val="1A1A1A"/>
                <w:sz w:val="20"/>
                <w:szCs w:val="20"/>
              </w:rPr>
              <w:t>9–80 h</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419EB9A">
            <w:pPr>
              <w:jc w:val="left"/>
            </w:pPr>
            <w:r>
              <w:rPr>
                <w:rFonts w:ascii="Arial" w:hAnsi="Arial" w:eastAsia="Arial" w:cs="Arial"/>
                <w:b w:val="0"/>
                <w:bCs w:val="0"/>
                <w:color w:val="1A1A1A"/>
                <w:sz w:val="20"/>
                <w:szCs w:val="20"/>
              </w:rPr>
              <w:t>10–150 h/yr</w:t>
            </w:r>
          </w:p>
        </w:tc>
        <w:tc>
          <w:tcPr>
            <w:tcW w:w="1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983A601">
            <w:pPr>
              <w:jc w:val="left"/>
            </w:pPr>
            <w:r>
              <w:rPr>
                <w:rFonts w:ascii="Arial" w:hAnsi="Arial" w:eastAsia="Arial" w:cs="Arial"/>
                <w:b w:val="0"/>
                <w:bCs w:val="0"/>
                <w:color w:val="1A1A1A"/>
                <w:sz w:val="20"/>
                <w:szCs w:val="20"/>
              </w:rPr>
              <w:t>Release 3</w:t>
            </w:r>
          </w:p>
        </w:tc>
      </w:tr>
      <w:tr w14:paraId="58EBD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41E4959">
            <w:pPr>
              <w:jc w:val="left"/>
            </w:pPr>
            <w:r>
              <w:rPr>
                <w:rFonts w:ascii="Arial" w:hAnsi="Arial" w:eastAsia="Arial" w:cs="Arial"/>
                <w:b w:val="0"/>
                <w:bCs w:val="0"/>
                <w:color w:val="1A1A1A"/>
                <w:sz w:val="20"/>
                <w:szCs w:val="20"/>
              </w:rPr>
              <w:t>UC5 Cybersecurity</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A078D51">
            <w:pPr>
              <w:jc w:val="left"/>
            </w:pPr>
            <w:r>
              <w:rPr>
                <w:rFonts w:ascii="Arial" w:hAnsi="Arial" w:eastAsia="Arial" w:cs="Arial"/>
                <w:b w:val="0"/>
                <w:bCs w:val="0"/>
                <w:color w:val="1A1A1A"/>
                <w:sz w:val="20"/>
                <w:szCs w:val="20"/>
              </w:rPr>
              <w:t>3/5</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02CC812">
            <w:pPr>
              <w:jc w:val="left"/>
            </w:pPr>
            <w:r>
              <w:rPr>
                <w:rFonts w:ascii="Arial" w:hAnsi="Arial" w:eastAsia="Arial" w:cs="Arial"/>
                <w:b w:val="0"/>
                <w:bCs w:val="0"/>
                <w:color w:val="1A1A1A"/>
                <w:sz w:val="20"/>
                <w:szCs w:val="20"/>
              </w:rPr>
              <w:t>3/5</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793D63F">
            <w:pPr>
              <w:jc w:val="left"/>
            </w:pPr>
            <w:r>
              <w:rPr>
                <w:rFonts w:ascii="Arial" w:hAnsi="Arial" w:eastAsia="Arial" w:cs="Arial"/>
                <w:b w:val="0"/>
                <w:bCs w:val="0"/>
                <w:color w:val="1A1A1A"/>
                <w:sz w:val="20"/>
                <w:szCs w:val="20"/>
              </w:rPr>
              <w:t>0.70</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0FFEBDD">
            <w:pPr>
              <w:jc w:val="left"/>
            </w:pPr>
            <w:r>
              <w:rPr>
                <w:rFonts w:ascii="Arial" w:hAnsi="Arial" w:eastAsia="Arial" w:cs="Arial"/>
                <w:b w:val="0"/>
                <w:bCs w:val="0"/>
                <w:color w:val="1A1A1A"/>
                <w:sz w:val="20"/>
                <w:szCs w:val="20"/>
              </w:rPr>
              <w:t>3/5</w:t>
            </w:r>
          </w:p>
        </w:tc>
        <w:tc>
          <w:tcPr>
            <w:tcW w:w="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858AC98">
            <w:pPr>
              <w:jc w:val="left"/>
            </w:pPr>
            <w:r>
              <w:rPr>
                <w:rFonts w:ascii="Arial" w:hAnsi="Arial" w:eastAsia="Arial" w:cs="Arial"/>
                <w:b w:val="0"/>
                <w:bCs w:val="0"/>
                <w:color w:val="1A1A1A"/>
                <w:sz w:val="20"/>
                <w:szCs w:val="20"/>
              </w:rPr>
              <w:t>21</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6C1364D">
            <w:pPr>
              <w:jc w:val="left"/>
            </w:pPr>
            <w:r>
              <w:rPr>
                <w:rFonts w:ascii="Arial" w:hAnsi="Arial" w:eastAsia="Arial" w:cs="Arial"/>
                <w:b w:val="0"/>
                <w:bCs w:val="0"/>
                <w:color w:val="1A1A1A"/>
                <w:sz w:val="20"/>
                <w:szCs w:val="20"/>
              </w:rPr>
              <w:t>10–75 h</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76A183A">
            <w:pPr>
              <w:jc w:val="left"/>
            </w:pPr>
            <w:r>
              <w:rPr>
                <w:rFonts w:ascii="Arial" w:hAnsi="Arial" w:eastAsia="Arial" w:cs="Arial"/>
                <w:b w:val="0"/>
                <w:bCs w:val="0"/>
                <w:color w:val="1A1A1A"/>
                <w:sz w:val="20"/>
                <w:szCs w:val="20"/>
              </w:rPr>
              <w:t>6–64 h/yr</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9B94D46">
            <w:pPr>
              <w:jc w:val="left"/>
            </w:pPr>
            <w:r>
              <w:rPr>
                <w:rFonts w:ascii="Arial" w:hAnsi="Arial" w:eastAsia="Arial" w:cs="Arial"/>
                <w:b w:val="0"/>
                <w:bCs w:val="0"/>
                <w:color w:val="1A1A1A"/>
                <w:sz w:val="20"/>
                <w:szCs w:val="20"/>
              </w:rPr>
              <w:t>Release 2</w:t>
            </w:r>
          </w:p>
        </w:tc>
      </w:tr>
      <w:tr w14:paraId="410E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1FEDE26">
            <w:pPr>
              <w:jc w:val="left"/>
            </w:pPr>
            <w:r>
              <w:rPr>
                <w:rFonts w:ascii="Arial" w:hAnsi="Arial" w:eastAsia="Arial" w:cs="Arial"/>
                <w:b w:val="0"/>
                <w:bCs w:val="0"/>
                <w:color w:val="1A1A1A"/>
                <w:sz w:val="20"/>
                <w:szCs w:val="20"/>
              </w:rPr>
              <w:t>UC6 Inspection prep</w:t>
            </w:r>
          </w:p>
        </w:tc>
        <w:tc>
          <w:tcPr>
            <w:tcW w:w="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962814C">
            <w:pPr>
              <w:jc w:val="left"/>
            </w:pPr>
            <w:r>
              <w:rPr>
                <w:rFonts w:ascii="Arial" w:hAnsi="Arial" w:eastAsia="Arial" w:cs="Arial"/>
                <w:b w:val="0"/>
                <w:bCs w:val="0"/>
                <w:color w:val="1A1A1A"/>
                <w:sz w:val="20"/>
                <w:szCs w:val="20"/>
              </w:rPr>
              <w:t>3/5</w:t>
            </w:r>
          </w:p>
        </w:tc>
        <w:tc>
          <w:tcPr>
            <w:tcW w:w="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12C592C">
            <w:pPr>
              <w:jc w:val="left"/>
            </w:pPr>
            <w:r>
              <w:rPr>
                <w:rFonts w:ascii="Arial" w:hAnsi="Arial" w:eastAsia="Arial" w:cs="Arial"/>
                <w:b w:val="0"/>
                <w:bCs w:val="0"/>
                <w:color w:val="1A1A1A"/>
                <w:sz w:val="20"/>
                <w:szCs w:val="20"/>
              </w:rPr>
              <w:t>3/5</w:t>
            </w:r>
          </w:p>
        </w:tc>
        <w:tc>
          <w:tcPr>
            <w:tcW w:w="10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44BA20AB">
            <w:pPr>
              <w:jc w:val="left"/>
            </w:pPr>
            <w:r>
              <w:rPr>
                <w:rFonts w:ascii="Arial" w:hAnsi="Arial" w:eastAsia="Arial" w:cs="Arial"/>
                <w:b w:val="0"/>
                <w:bCs w:val="0"/>
                <w:color w:val="1A1A1A"/>
                <w:sz w:val="20"/>
                <w:szCs w:val="20"/>
              </w:rPr>
              <w:t>0.55</w:t>
            </w:r>
          </w:p>
        </w:tc>
        <w:tc>
          <w:tcPr>
            <w:tcW w:w="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28200A9">
            <w:pPr>
              <w:jc w:val="left"/>
            </w:pPr>
            <w:r>
              <w:rPr>
                <w:rFonts w:ascii="Arial" w:hAnsi="Arial" w:eastAsia="Arial" w:cs="Arial"/>
                <w:b w:val="0"/>
                <w:bCs w:val="0"/>
                <w:color w:val="1A1A1A"/>
                <w:sz w:val="20"/>
                <w:szCs w:val="20"/>
              </w:rPr>
              <w:t>5/5</w:t>
            </w:r>
          </w:p>
        </w:tc>
        <w:tc>
          <w:tcPr>
            <w:tcW w:w="8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EF74024">
            <w:pPr>
              <w:jc w:val="left"/>
            </w:pPr>
            <w:r>
              <w:rPr>
                <w:rFonts w:ascii="Arial" w:hAnsi="Arial" w:eastAsia="Arial" w:cs="Arial"/>
                <w:b w:val="0"/>
                <w:bCs w:val="0"/>
                <w:color w:val="1A1A1A"/>
                <w:sz w:val="20"/>
                <w:szCs w:val="20"/>
              </w:rPr>
              <w:t>10</w:t>
            </w:r>
          </w:p>
        </w:tc>
        <w:tc>
          <w:tcPr>
            <w:tcW w:w="13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CAC6749">
            <w:pPr>
              <w:jc w:val="left"/>
            </w:pPr>
            <w:r>
              <w:rPr>
                <w:rFonts w:ascii="Arial" w:hAnsi="Arial" w:eastAsia="Arial" w:cs="Arial"/>
                <w:b w:val="0"/>
                <w:bCs w:val="0"/>
                <w:color w:val="1A1A1A"/>
                <w:sz w:val="20"/>
                <w:szCs w:val="20"/>
              </w:rPr>
              <w:t>15–80 h</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1E6E32B">
            <w:pPr>
              <w:jc w:val="left"/>
            </w:pPr>
            <w:r>
              <w:rPr>
                <w:rFonts w:ascii="Arial" w:hAnsi="Arial" w:eastAsia="Arial" w:cs="Arial"/>
                <w:b w:val="0"/>
                <w:bCs w:val="0"/>
                <w:color w:val="1A1A1A"/>
                <w:sz w:val="20"/>
                <w:szCs w:val="20"/>
              </w:rPr>
              <w:t>5–30 h/yr</w:t>
            </w:r>
          </w:p>
        </w:tc>
        <w:tc>
          <w:tcPr>
            <w:tcW w:w="1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CDE8968">
            <w:pPr>
              <w:jc w:val="left"/>
            </w:pPr>
            <w:r>
              <w:rPr>
                <w:rFonts w:ascii="Arial" w:hAnsi="Arial" w:eastAsia="Arial" w:cs="Arial"/>
                <w:b w:val="0"/>
                <w:bCs w:val="0"/>
                <w:color w:val="1A1A1A"/>
                <w:sz w:val="20"/>
                <w:szCs w:val="20"/>
              </w:rPr>
              <w:t>Later</w:t>
            </w:r>
          </w:p>
        </w:tc>
      </w:tr>
    </w:tbl>
    <w:p w14:paraId="26D09271">
      <w:pPr>
        <w:spacing w:before="80" w:after="80"/>
      </w:pPr>
    </w:p>
    <w:p w14:paraId="30C0CD99">
      <w:pPr>
        <w:pStyle w:val="3"/>
        <w:spacing w:before="280" w:after="120"/>
      </w:pPr>
      <w:r>
        <w:rPr>
          <w:rFonts w:ascii="Arial" w:hAnsi="Arial" w:eastAsia="Arial" w:cs="Arial"/>
          <w:b/>
          <w:bCs/>
          <w:color w:val="2E75B6"/>
          <w:sz w:val="26"/>
          <w:szCs w:val="26"/>
        </w:rPr>
        <w:t>Why the ranking is what it is</w:t>
      </w:r>
    </w:p>
    <w:p w14:paraId="598E9054">
      <w:pPr>
        <w:spacing w:before="80" w:after="80"/>
      </w:pPr>
      <w:r>
        <w:rPr>
          <w:rFonts w:ascii="Arial" w:hAnsi="Arial" w:eastAsia="Arial" w:cs="Arial"/>
          <w:sz w:val="22"/>
          <w:szCs w:val="22"/>
        </w:rPr>
        <w:t>UC3 scores highest despite not being the most visible use case. Broken traceability between risk controls and SRS requirements is consistently the most common cause of deficiency rounds in SaMD submissions — cited repeatedly in both EU MDR notified body findings and FDA additional information requests. It is also cheap to build (Effort: 2/5).</w:t>
      </w:r>
    </w:p>
    <w:p w14:paraId="7AE82888">
      <w:pPr>
        <w:spacing w:before="80" w:after="80"/>
      </w:pPr>
    </w:p>
    <w:p w14:paraId="3D3DAE7D">
      <w:pPr>
        <w:spacing w:before="80" w:after="80"/>
      </w:pPr>
      <w:r>
        <w:rPr>
          <w:rFonts w:ascii="Arial" w:hAnsi="Arial" w:eastAsia="Arial" w:cs="Arial"/>
          <w:sz w:val="22"/>
          <w:szCs w:val="22"/>
        </w:rPr>
        <w:t>UC4 has a Risk Savings score of 5 — matching UC3 — but its RICE score is much lower because the AI/ML change control plan guidance is still maturing in both markets, and the document parsing challenge is significant. Building UC4 before the foundation is proven would be premature.</w:t>
      </w:r>
    </w:p>
    <w:p w14:paraId="3C9E0AC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BBF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2E75B6"/>
            <w:tcMar>
              <w:top w:w="60" w:type="dxa"/>
              <w:left w:w="160" w:type="dxa"/>
              <w:bottom w:w="60" w:type="dxa"/>
              <w:right w:w="160" w:type="dxa"/>
            </w:tcMar>
          </w:tcPr>
          <w:p w14:paraId="5680981E">
            <w:r>
              <w:rPr>
                <w:rFonts w:ascii="Arial" w:hAnsi="Arial" w:eastAsia="Arial" w:cs="Arial"/>
                <w:b/>
                <w:bCs/>
                <w:color w:val="FFFFFF"/>
                <w:sz w:val="18"/>
                <w:szCs w:val="18"/>
              </w:rPr>
              <w:t>Dual-jurisdiction note</w:t>
            </w:r>
          </w:p>
        </w:tc>
      </w:tr>
      <w:tr w14:paraId="5E88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0"/>
            <w:tcMar>
              <w:top w:w="100" w:type="dxa"/>
              <w:left w:w="160" w:type="dxa"/>
              <w:bottom w:w="100" w:type="dxa"/>
              <w:right w:w="160" w:type="dxa"/>
            </w:tcMar>
          </w:tcPr>
          <w:p w14:paraId="6B2DAB49">
            <w:r>
              <w:rPr>
                <w:rFonts w:ascii="Arial" w:hAnsi="Arial" w:eastAsia="Arial" w:cs="Arial"/>
                <w:color w:val="1A1A1A"/>
                <w:sz w:val="20"/>
                <w:szCs w:val="20"/>
              </w:rPr>
              <w:t>All six use cases apply to both EU MDR and FDA-regulated products. The specific standard clauses cited in findings differ by jurisdiction (ISO 14971:2019 section 7.3.3 vs. FDA 21 CFR 820.30 design input traceability) but the underlying gap detected is identical. For products submitting to both markets, the avoided cost estimates can be applied additively where the same gap would have caused deficiencies in both.</w:t>
            </w:r>
          </w:p>
        </w:tc>
      </w:tr>
    </w:tbl>
    <w:p w14:paraId="3DF92F55">
      <w:r>
        <w:br w:type="page"/>
      </w:r>
    </w:p>
    <w:p w14:paraId="2B8FB9E6">
      <w:pPr>
        <w:pStyle w:val="2"/>
        <w:pBdr>
          <w:bottom w:val="single" w:color="2E75B6" w:sz="8" w:space="4"/>
        </w:pBdr>
        <w:spacing w:before="400" w:after="160"/>
      </w:pPr>
      <w:r>
        <w:rPr>
          <w:rFonts w:ascii="Arial" w:hAnsi="Arial" w:eastAsia="Arial" w:cs="Arial"/>
          <w:b/>
          <w:bCs/>
          <w:color w:val="1F4E79"/>
          <w:sz w:val="32"/>
          <w:szCs w:val="32"/>
        </w:rPr>
        <w:t>7. Roadmap recommendation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160"/>
        <w:gridCol w:w="5640"/>
      </w:tblGrid>
      <w:tr w14:paraId="136B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6F29CBA2">
            <w:pPr>
              <w:jc w:val="left"/>
            </w:pPr>
            <w:r>
              <w:rPr>
                <w:rFonts w:ascii="Arial" w:hAnsi="Arial" w:eastAsia="Arial" w:cs="Arial"/>
                <w:b/>
                <w:bCs/>
                <w:color w:val="FFFFFF"/>
                <w:sz w:val="20"/>
                <w:szCs w:val="20"/>
              </w:rPr>
              <w:t>Release</w:t>
            </w:r>
          </w:p>
        </w:tc>
        <w:tc>
          <w:tcPr>
            <w:tcW w:w="2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4F2E89B1">
            <w:pPr>
              <w:jc w:val="left"/>
            </w:pPr>
            <w:r>
              <w:rPr>
                <w:rFonts w:ascii="Arial" w:hAnsi="Arial" w:eastAsia="Arial" w:cs="Arial"/>
                <w:b/>
                <w:bCs/>
                <w:color w:val="FFFFFF"/>
                <w:sz w:val="20"/>
                <w:szCs w:val="20"/>
              </w:rPr>
              <w:t>Use cases</w:t>
            </w:r>
          </w:p>
        </w:tc>
        <w:tc>
          <w:tcPr>
            <w:tcW w:w="56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7074E9C9">
            <w:pPr>
              <w:jc w:val="left"/>
            </w:pPr>
            <w:r>
              <w:rPr>
                <w:rFonts w:ascii="Arial" w:hAnsi="Arial" w:eastAsia="Arial" w:cs="Arial"/>
                <w:b/>
                <w:bCs/>
                <w:color w:val="FFFFFF"/>
                <w:sz w:val="20"/>
                <w:szCs w:val="20"/>
              </w:rPr>
              <w:t>Rationale</w:t>
            </w:r>
          </w:p>
        </w:tc>
      </w:tr>
      <w:tr w14:paraId="2C81D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6ADDD4C">
            <w:pPr>
              <w:jc w:val="left"/>
            </w:pPr>
            <w:r>
              <w:rPr>
                <w:rFonts w:ascii="Arial" w:hAnsi="Arial" w:eastAsia="Arial" w:cs="Arial"/>
                <w:b w:val="0"/>
                <w:bCs w:val="0"/>
                <w:color w:val="1A1A1A"/>
                <w:sz w:val="20"/>
                <w:szCs w:val="20"/>
              </w:rPr>
              <w:t>Initial release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0EEB739">
            <w:pPr>
              <w:jc w:val="left"/>
            </w:pPr>
            <w:r>
              <w:rPr>
                <w:rFonts w:ascii="Arial" w:hAnsi="Arial" w:eastAsia="Arial" w:cs="Arial"/>
                <w:b w:val="0"/>
                <w:bCs w:val="0"/>
                <w:color w:val="1A1A1A"/>
                <w:sz w:val="20"/>
                <w:szCs w:val="20"/>
              </w:rPr>
              <w:t>UC1 + UC3
(build together)</w:t>
            </w:r>
          </w:p>
        </w:tc>
        <w:tc>
          <w:tcPr>
            <w:tcW w:w="5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F314AE9">
            <w:pPr>
              <w:jc w:val="left"/>
            </w:pPr>
            <w:r>
              <w:rPr>
                <w:rFonts w:ascii="Arial" w:hAnsi="Arial" w:eastAsia="Arial" w:cs="Arial"/>
                <w:b w:val="0"/>
                <w:bCs w:val="0"/>
                <w:color w:val="1A1A1A"/>
                <w:sz w:val="20"/>
                <w:szCs w:val="20"/>
              </w:rPr>
              <w:t>Shared infrastructure; delivers the full detection → classification → traceability → finding workflow. Applicable to both EU and US regulatory contexts from day one.</w:t>
            </w:r>
          </w:p>
        </w:tc>
      </w:tr>
      <w:tr w14:paraId="624F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286D083">
            <w:pPr>
              <w:jc w:val="left"/>
            </w:pPr>
            <w:r>
              <w:rPr>
                <w:rFonts w:ascii="Arial" w:hAnsi="Arial" w:eastAsia="Arial" w:cs="Arial"/>
                <w:b w:val="0"/>
                <w:bCs w:val="0"/>
                <w:color w:val="1A1A1A"/>
                <w:sz w:val="20"/>
                <w:szCs w:val="20"/>
              </w:rPr>
              <w:t>Release 2</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3283C809">
            <w:pPr>
              <w:jc w:val="left"/>
            </w:pPr>
            <w:r>
              <w:rPr>
                <w:rFonts w:ascii="Arial" w:hAnsi="Arial" w:eastAsia="Arial" w:cs="Arial"/>
                <w:b w:val="0"/>
                <w:bCs w:val="0"/>
                <w:color w:val="1A1A1A"/>
                <w:sz w:val="20"/>
                <w:szCs w:val="20"/>
              </w:rPr>
              <w:t>UC2 + UC5
(parallel or sequential)</w:t>
            </w:r>
          </w:p>
        </w:tc>
        <w:tc>
          <w:tcPr>
            <w:tcW w:w="56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345BA88E">
            <w:pPr>
              <w:jc w:val="left"/>
            </w:pPr>
            <w:r>
              <w:rPr>
                <w:rFonts w:ascii="Arial" w:hAnsi="Arial" w:eastAsia="Arial" w:cs="Arial"/>
                <w:b w:val="0"/>
                <w:bCs w:val="0"/>
                <w:color w:val="1A1A1A"/>
                <w:sz w:val="20"/>
                <w:szCs w:val="20"/>
              </w:rPr>
              <w:t>Both extend initial release infrastructure without requiring new core architecture. UC2 first if sequential, as it reuses more of the existing pipeline.</w:t>
            </w:r>
          </w:p>
        </w:tc>
      </w:tr>
      <w:tr w14:paraId="26E0C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957D9EA">
            <w:pPr>
              <w:jc w:val="left"/>
            </w:pPr>
            <w:r>
              <w:rPr>
                <w:rFonts w:ascii="Arial" w:hAnsi="Arial" w:eastAsia="Arial" w:cs="Arial"/>
                <w:b w:val="0"/>
                <w:bCs w:val="0"/>
                <w:color w:val="1A1A1A"/>
                <w:sz w:val="20"/>
                <w:szCs w:val="20"/>
              </w:rPr>
              <w:t>Release 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900E635">
            <w:pPr>
              <w:jc w:val="left"/>
            </w:pPr>
            <w:r>
              <w:rPr>
                <w:rFonts w:ascii="Arial" w:hAnsi="Arial" w:eastAsia="Arial" w:cs="Arial"/>
                <w:b w:val="0"/>
                <w:bCs w:val="0"/>
                <w:color w:val="1A1A1A"/>
                <w:sz w:val="20"/>
                <w:szCs w:val="20"/>
              </w:rPr>
              <w:t>UC4</w:t>
            </w:r>
          </w:p>
        </w:tc>
        <w:tc>
          <w:tcPr>
            <w:tcW w:w="5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6EE3FDE">
            <w:pPr>
              <w:jc w:val="left"/>
            </w:pPr>
            <w:r>
              <w:rPr>
                <w:rFonts w:ascii="Arial" w:hAnsi="Arial" w:eastAsia="Arial" w:cs="Arial"/>
                <w:b w:val="0"/>
                <w:bCs w:val="0"/>
                <w:color w:val="1A1A1A"/>
                <w:sz w:val="20"/>
                <w:szCs w:val="20"/>
              </w:rPr>
              <w:t>Requires stable pipeline, validated classifier precision, and clearer regulatory guidance on AI/ML change control plans in both jurisdictions.</w:t>
            </w:r>
          </w:p>
        </w:tc>
      </w:tr>
      <w:tr w14:paraId="1BF7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6DF542A">
            <w:pPr>
              <w:jc w:val="left"/>
            </w:pPr>
            <w:r>
              <w:rPr>
                <w:rFonts w:ascii="Arial" w:hAnsi="Arial" w:eastAsia="Arial" w:cs="Arial"/>
                <w:b w:val="0"/>
                <w:bCs w:val="0"/>
                <w:color w:val="1A1A1A"/>
                <w:sz w:val="20"/>
                <w:szCs w:val="20"/>
              </w:rPr>
              <w:t>Later</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40961A0C">
            <w:pPr>
              <w:jc w:val="left"/>
            </w:pPr>
            <w:r>
              <w:rPr>
                <w:rFonts w:ascii="Arial" w:hAnsi="Arial" w:eastAsia="Arial" w:cs="Arial"/>
                <w:b w:val="0"/>
                <w:bCs w:val="0"/>
                <w:color w:val="1A1A1A"/>
                <w:sz w:val="20"/>
                <w:szCs w:val="20"/>
              </w:rPr>
              <w:t>UC6</w:t>
            </w:r>
          </w:p>
        </w:tc>
        <w:tc>
          <w:tcPr>
            <w:tcW w:w="56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79914AB">
            <w:pPr>
              <w:jc w:val="left"/>
            </w:pPr>
            <w:r>
              <w:rPr>
                <w:rFonts w:ascii="Arial" w:hAnsi="Arial" w:eastAsia="Arial" w:cs="Arial"/>
                <w:b w:val="0"/>
                <w:bCs w:val="0"/>
                <w:color w:val="1A1A1A"/>
                <w:sz w:val="20"/>
                <w:szCs w:val="20"/>
              </w:rPr>
              <w:t>Requires 6+ months of production findings data and a specific submission or audit target to optimise for.</w:t>
            </w:r>
          </w:p>
        </w:tc>
      </w:tr>
    </w:tbl>
    <w:p w14:paraId="2E859B83">
      <w:pPr>
        <w:spacing w:before="80" w:after="80"/>
      </w:pPr>
    </w:p>
    <w:p w14:paraId="5C7CA988">
      <w:pPr>
        <w:pStyle w:val="3"/>
        <w:spacing w:before="280" w:after="120"/>
      </w:pPr>
      <w:r>
        <w:rPr>
          <w:rFonts w:ascii="Arial" w:hAnsi="Arial" w:eastAsia="Arial" w:cs="Arial"/>
          <w:b/>
          <w:bCs/>
          <w:color w:val="2E75B6"/>
          <w:sz w:val="26"/>
          <w:szCs w:val="26"/>
        </w:rPr>
        <w:t>Dependency chain</w:t>
      </w:r>
    </w:p>
    <w:p w14:paraId="2C20BA8F">
      <w:pPr>
        <w:spacing w:before="80" w:after="80"/>
      </w:pPr>
      <w:r>
        <w:rPr>
          <w:rFonts w:ascii="Arial" w:hAnsi="Arial" w:eastAsia="Arial" w:cs="Arial"/>
          <w:sz w:val="22"/>
          <w:szCs w:val="22"/>
        </w:rPr>
        <w:t>UC1 (foundation) → UC3 (same release) → UC2 / UC5 (Release 2) → UC4 (Release 3) → UC6 (Later)</w:t>
      </w:r>
    </w:p>
    <w:p w14:paraId="0545EB54">
      <w:pPr>
        <w:spacing w:before="80" w:after="80"/>
      </w:pPr>
    </w:p>
    <w:p w14:paraId="6328E753">
      <w:pPr>
        <w:pStyle w:val="3"/>
        <w:spacing w:before="280" w:after="120"/>
      </w:pPr>
      <w:r>
        <w:rPr>
          <w:rFonts w:ascii="Arial" w:hAnsi="Arial" w:eastAsia="Arial" w:cs="Arial"/>
          <w:b/>
          <w:bCs/>
          <w:color w:val="2E75B6"/>
          <w:sz w:val="26"/>
          <w:szCs w:val="26"/>
        </w:rPr>
        <w:t>Phase interaction with the roadmap</w:t>
      </w:r>
    </w:p>
    <w:p w14:paraId="5BAD9477">
      <w:pPr>
        <w:spacing w:before="80" w:after="80"/>
      </w:pPr>
      <w:r>
        <w:rPr>
          <w:rFonts w:ascii="Arial" w:hAnsi="Arial" w:eastAsia="Arial" w:cs="Arial"/>
          <w:sz w:val="22"/>
          <w:szCs w:val="22"/>
        </w:rPr>
        <w:t>The initial release (UC1 + UC3) delivers value in both Phase 1 and Phase 2, making it suitable as the starting point whether the team is building a new product or managing an existing one. Teams deploying the agent during initial development benefit from Phase 1 gap prevention through the full release roadmap. Teams deploying to an existing product primarily benefit from Phase 2 change management efficiency.</w:t>
      </w:r>
    </w:p>
    <w:p w14:paraId="17E69C58">
      <w:pPr>
        <w:spacing w:before="80" w:after="80"/>
      </w:pPr>
    </w:p>
    <w:p w14:paraId="690E9A30">
      <w:pPr>
        <w:pStyle w:val="3"/>
        <w:spacing w:before="280" w:after="120"/>
      </w:pPr>
      <w:r>
        <w:rPr>
          <w:rFonts w:ascii="Arial" w:hAnsi="Arial" w:eastAsia="Arial" w:cs="Arial"/>
          <w:b/>
          <w:bCs/>
          <w:color w:val="2E75B6"/>
          <w:sz w:val="26"/>
          <w:szCs w:val="26"/>
        </w:rPr>
        <w:t>What the AI Architect must validate before each release</w:t>
      </w:r>
    </w:p>
    <w:p w14:paraId="37C63FE9">
      <w:pPr>
        <w:pStyle w:val="14"/>
        <w:numPr>
          <w:ilvl w:val="0"/>
          <w:numId w:val="1"/>
        </w:numPr>
        <w:spacing w:before="40" w:after="40"/>
      </w:pPr>
      <w:r>
        <w:rPr>
          <w:rFonts w:ascii="Arial" w:hAnsi="Arial" w:eastAsia="Arial" w:cs="Arial"/>
          <w:sz w:val="22"/>
          <w:szCs w:val="22"/>
        </w:rPr>
        <w:t>Before initial release: confirm that change detection, SRS parsing, and document retrieval handle the structured test corpus correctly, and that the classifier achieves 85%+ precision on UC1/UC3 test scenarios.</w:t>
      </w:r>
    </w:p>
    <w:p w14:paraId="327CD5F6">
      <w:pPr>
        <w:pStyle w:val="14"/>
        <w:numPr>
          <w:ilvl w:val="0"/>
          <w:numId w:val="1"/>
        </w:numPr>
        <w:spacing w:before="40" w:after="40"/>
      </w:pPr>
      <w:r>
        <w:rPr>
          <w:rFonts w:ascii="Arial" w:hAnsi="Arial" w:eastAsia="Arial" w:cs="Arial"/>
          <w:sz w:val="22"/>
          <w:szCs w:val="22"/>
        </w:rPr>
        <w:t>Before Release 2: confirm threat model document format for UC5 (parser needed?); confirm baseline intake document format for UC2.</w:t>
      </w:r>
    </w:p>
    <w:p w14:paraId="3EB867B9">
      <w:pPr>
        <w:pStyle w:val="14"/>
        <w:numPr>
          <w:ilvl w:val="0"/>
          <w:numId w:val="1"/>
        </w:numPr>
        <w:spacing w:before="40" w:after="40"/>
      </w:pPr>
      <w:r>
        <w:rPr>
          <w:rFonts w:ascii="Arial" w:hAnsi="Arial" w:eastAsia="Arial" w:cs="Arial"/>
          <w:sz w:val="22"/>
          <w:szCs w:val="22"/>
        </w:rPr>
        <w:t>Before Release 3: re-evaluate AI/ML change control plan guidance in EU (AI Act Article 83 implementing acts) and US (FDA AI/ML SaMD lifecycle guidance). Agree a structured document format for the agent to work with.</w:t>
      </w:r>
    </w:p>
    <w:p w14:paraId="6955A288">
      <w:r>
        <w:br w:type="page"/>
      </w:r>
    </w:p>
    <w:p w14:paraId="1E320157">
      <w:pPr>
        <w:pStyle w:val="2"/>
        <w:pBdr>
          <w:bottom w:val="single" w:color="2E75B6" w:sz="8" w:space="4"/>
        </w:pBdr>
        <w:spacing w:before="400" w:after="160"/>
      </w:pPr>
      <w:r>
        <w:rPr>
          <w:rFonts w:ascii="Arial" w:hAnsi="Arial" w:eastAsia="Arial" w:cs="Arial"/>
          <w:b/>
          <w:bCs/>
          <w:color w:val="1F4E79"/>
          <w:sz w:val="32"/>
          <w:szCs w:val="32"/>
        </w:rPr>
        <w:t>8. Assumptions and limitations</w:t>
      </w:r>
    </w:p>
    <w:p w14:paraId="628305E8">
      <w:pPr>
        <w:pStyle w:val="3"/>
        <w:spacing w:before="280" w:after="120"/>
      </w:pPr>
      <w:r>
        <w:rPr>
          <w:rFonts w:ascii="Arial" w:hAnsi="Arial" w:eastAsia="Arial" w:cs="Arial"/>
          <w:b/>
          <w:bCs/>
          <w:color w:val="2E75B6"/>
          <w:sz w:val="26"/>
          <w:szCs w:val="26"/>
        </w:rPr>
        <w:t>What this model does not include</w:t>
      </w:r>
    </w:p>
    <w:p w14:paraId="37FEEFB9">
      <w:pPr>
        <w:pStyle w:val="14"/>
        <w:numPr>
          <w:ilvl w:val="0"/>
          <w:numId w:val="1"/>
        </w:numPr>
        <w:spacing w:before="40" w:after="40"/>
      </w:pPr>
      <w:r>
        <w:rPr>
          <w:rFonts w:ascii="Arial" w:hAnsi="Arial" w:eastAsia="Arial" w:cs="Arial"/>
          <w:sz w:val="22"/>
          <w:szCs w:val="22"/>
        </w:rPr>
        <w:t>Time-to-market acceleration value (faster, more confident submissions create competitive advantage in both markets).</w:t>
      </w:r>
    </w:p>
    <w:p w14:paraId="66C668D6">
      <w:pPr>
        <w:pStyle w:val="14"/>
        <w:numPr>
          <w:ilvl w:val="0"/>
          <w:numId w:val="1"/>
        </w:numPr>
        <w:spacing w:before="40" w:after="40"/>
      </w:pPr>
      <w:r>
        <w:rPr>
          <w:rFonts w:ascii="Arial" w:hAnsi="Arial" w:eastAsia="Arial" w:cs="Arial"/>
          <w:sz w:val="22"/>
          <w:szCs w:val="22"/>
        </w:rPr>
        <w:t>Knowledge retention value (institutional knowledge about which SRS changes affect which documents is currently held by individuals, not systems).</w:t>
      </w:r>
    </w:p>
    <w:p w14:paraId="7A5F6E64">
      <w:pPr>
        <w:pStyle w:val="14"/>
        <w:numPr>
          <w:ilvl w:val="0"/>
          <w:numId w:val="1"/>
        </w:numPr>
        <w:spacing w:before="40" w:after="40"/>
      </w:pPr>
      <w:r>
        <w:rPr>
          <w:rFonts w:ascii="Arial" w:hAnsi="Arial" w:eastAsia="Arial" w:cs="Arial"/>
          <w:sz w:val="22"/>
          <w:szCs w:val="22"/>
        </w:rPr>
        <w:t>Onboarding cost for new regulatory/quality staff without documented traceability context.</w:t>
      </w:r>
    </w:p>
    <w:p w14:paraId="77DE1720">
      <w:pPr>
        <w:pStyle w:val="14"/>
        <w:numPr>
          <w:ilvl w:val="0"/>
          <w:numId w:val="1"/>
        </w:numPr>
        <w:spacing w:before="40" w:after="40"/>
      </w:pPr>
      <w:r>
        <w:rPr>
          <w:rFonts w:ascii="Arial" w:hAnsi="Arial" w:eastAsia="Arial" w:cs="Arial"/>
          <w:sz w:val="22"/>
          <w:szCs w:val="22"/>
        </w:rPr>
        <w:t>Compounding effect of dual-market submissions: for products filing simultaneously to EU and US, a single traceability gap caught by the agent prevents a deficiency in both markets. Avoided cost is additive, not duplicated.</w:t>
      </w:r>
    </w:p>
    <w:p w14:paraId="0090B8F5">
      <w:pPr>
        <w:spacing w:before="80" w:after="80"/>
      </w:pPr>
    </w:p>
    <w:p w14:paraId="1A9207A9">
      <w:pPr>
        <w:pStyle w:val="3"/>
        <w:spacing w:before="280" w:after="120"/>
      </w:pPr>
      <w:r>
        <w:rPr>
          <w:rFonts w:ascii="Arial" w:hAnsi="Arial" w:eastAsia="Arial" w:cs="Arial"/>
          <w:b/>
          <w:bCs/>
          <w:color w:val="2E75B6"/>
          <w:sz w:val="26"/>
          <w:szCs w:val="26"/>
        </w:rPr>
        <w:t>Data quality</w:t>
      </w:r>
    </w:p>
    <w:p w14:paraId="5E5EFA7F">
      <w:pPr>
        <w:spacing w:before="80" w:after="80"/>
      </w:pPr>
      <w:r>
        <w:rPr>
          <w:rFonts w:ascii="Arial" w:hAnsi="Arial" w:eastAsia="Arial" w:cs="Arial"/>
          <w:sz w:val="22"/>
          <w:szCs w:val="22"/>
        </w:rPr>
        <w:t>Benchmarks are calibrated against two reference points: the OpenRegulatory technical file template for a Class B / Class II equivalent SaMD, and analysis of a complex multi-integration SaMD product active in both FDA and EU markets. These are representative but not universal. Teams on simpler products should use the lower end of all ranges; teams on Class III / PMA-level products should consider the upper end or beyond.</w:t>
      </w:r>
    </w:p>
    <w:p w14:paraId="68D1D3D8">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A2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7B4F00"/>
            <w:tcMar>
              <w:top w:w="60" w:type="dxa"/>
              <w:left w:w="160" w:type="dxa"/>
              <w:bottom w:w="60" w:type="dxa"/>
              <w:right w:w="160" w:type="dxa"/>
            </w:tcMar>
          </w:tcPr>
          <w:p w14:paraId="75C44719">
            <w:r>
              <w:rPr>
                <w:rFonts w:ascii="Arial" w:hAnsi="Arial" w:eastAsia="Arial" w:cs="Arial"/>
                <w:b/>
                <w:bCs/>
                <w:color w:val="FFFFFF"/>
                <w:sz w:val="18"/>
                <w:szCs w:val="18"/>
              </w:rPr>
              <w:t>These are order-of-magnitude estimates</w:t>
            </w:r>
          </w:p>
        </w:tc>
      </w:tr>
      <w:tr w14:paraId="0B3E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CD"/>
            <w:tcMar>
              <w:top w:w="100" w:type="dxa"/>
              <w:left w:w="160" w:type="dxa"/>
              <w:bottom w:w="100" w:type="dxa"/>
              <w:right w:w="160" w:type="dxa"/>
            </w:tcMar>
          </w:tcPr>
          <w:p w14:paraId="0C38147D">
            <w:r>
              <w:rPr>
                <w:rFonts w:ascii="Arial" w:hAnsi="Arial" w:eastAsia="Arial" w:cs="Arial"/>
                <w:color w:val="1A1A1A"/>
                <w:sz w:val="20"/>
                <w:szCs w:val="20"/>
              </w:rPr>
              <w:t>The figures in this document are calibrated against industry benchmarks, not your specific product’s historical data (which does not yet exist). Replace them with actuals as soon as measurement data is available.</w:t>
            </w:r>
          </w:p>
        </w:tc>
      </w:tr>
    </w:tbl>
    <w:p w14:paraId="05676A41">
      <w:pPr>
        <w:spacing w:before="80" w:after="80"/>
      </w:pPr>
    </w:p>
    <w:p w14:paraId="4FE87CF6">
      <w:pPr>
        <w:pStyle w:val="3"/>
        <w:spacing w:before="280" w:after="120"/>
      </w:pPr>
      <w:r>
        <w:rPr>
          <w:rFonts w:ascii="Arial" w:hAnsi="Arial" w:eastAsia="Arial" w:cs="Arial"/>
          <w:b/>
          <w:bCs/>
          <w:color w:val="2E75B6"/>
          <w:sz w:val="26"/>
          <w:szCs w:val="26"/>
        </w:rPr>
        <w:t>Regulatory environment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011D3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3C5FF08A">
            <w:pPr>
              <w:jc w:val="left"/>
            </w:pPr>
            <w:r>
              <w:rPr>
                <w:rFonts w:ascii="Arial" w:hAnsi="Arial" w:eastAsia="Arial" w:cs="Arial"/>
                <w:b/>
                <w:bCs/>
                <w:color w:val="FFFFFF"/>
                <w:sz w:val="20"/>
                <w:szCs w:val="20"/>
              </w:rPr>
              <w:t>Item to monitor</w:t>
            </w:r>
          </w:p>
        </w:tc>
        <w:tc>
          <w:tcPr>
            <w:tcW w:w="5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5108CE0A">
            <w:pPr>
              <w:jc w:val="left"/>
            </w:pPr>
            <w:r>
              <w:rPr>
                <w:rFonts w:ascii="Arial" w:hAnsi="Arial" w:eastAsia="Arial" w:cs="Arial"/>
                <w:b/>
                <w:bCs/>
                <w:color w:val="FFFFFF"/>
                <w:sz w:val="20"/>
                <w:szCs w:val="20"/>
              </w:rPr>
              <w:t>Why it matters</w:t>
            </w:r>
          </w:p>
        </w:tc>
      </w:tr>
      <w:tr w14:paraId="6B89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285FA59">
            <w:pPr>
              <w:jc w:val="left"/>
            </w:pPr>
            <w:r>
              <w:rPr>
                <w:rFonts w:ascii="Arial" w:hAnsi="Arial" w:eastAsia="Arial" w:cs="Arial"/>
                <w:b w:val="0"/>
                <w:bCs w:val="0"/>
                <w:color w:val="1A1A1A"/>
                <w:sz w:val="20"/>
                <w:szCs w:val="20"/>
              </w:rPr>
              <w:t>EU AI Act — full enforcement August 2026</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9CD7B16">
            <w:pPr>
              <w:jc w:val="left"/>
            </w:pPr>
            <w:r>
              <w:rPr>
                <w:rFonts w:ascii="Arial" w:hAnsi="Arial" w:eastAsia="Arial" w:cs="Arial"/>
                <w:b w:val="0"/>
                <w:bCs w:val="0"/>
                <w:color w:val="1A1A1A"/>
                <w:sz w:val="20"/>
                <w:szCs w:val="20"/>
              </w:rPr>
              <w:t>If the agent itself (not the SaMD it supports) is classified as high-risk AI under the AI Act, additional transparency, logging, and documentation obligations apply to the agent’s own development.</w:t>
            </w:r>
          </w:p>
        </w:tc>
      </w:tr>
      <w:tr w14:paraId="0AE6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13B7BE5">
            <w:pPr>
              <w:jc w:val="left"/>
            </w:pPr>
            <w:r>
              <w:rPr>
                <w:rFonts w:ascii="Arial" w:hAnsi="Arial" w:eastAsia="Arial" w:cs="Arial"/>
                <w:b w:val="0"/>
                <w:bCs w:val="0"/>
                <w:color w:val="1A1A1A"/>
                <w:sz w:val="20"/>
                <w:szCs w:val="20"/>
              </w:rPr>
              <w:t>FDA AI/ML SaMD lifecycle guidance — in draft early 2026</w:t>
            </w:r>
          </w:p>
        </w:tc>
        <w:tc>
          <w:tcPr>
            <w:tcW w:w="5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07985876">
            <w:pPr>
              <w:jc w:val="left"/>
            </w:pPr>
            <w:r>
              <w:rPr>
                <w:rFonts w:ascii="Arial" w:hAnsi="Arial" w:eastAsia="Arial" w:cs="Arial"/>
                <w:b w:val="0"/>
                <w:bCs w:val="0"/>
                <w:color w:val="1A1A1A"/>
                <w:sz w:val="20"/>
                <w:szCs w:val="20"/>
              </w:rPr>
              <w:t>Finalisation will affect Confidence and Risk Savings scores for UC4.</w:t>
            </w:r>
          </w:p>
        </w:tc>
      </w:tr>
      <w:tr w14:paraId="2C5DA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2B8E4A1">
            <w:pPr>
              <w:jc w:val="left"/>
            </w:pPr>
            <w:r>
              <w:rPr>
                <w:rFonts w:ascii="Arial" w:hAnsi="Arial" w:eastAsia="Arial" w:cs="Arial"/>
                <w:b w:val="0"/>
                <w:bCs w:val="0"/>
                <w:color w:val="1A1A1A"/>
                <w:sz w:val="20"/>
                <w:szCs w:val="20"/>
              </w:rPr>
              <w:t>FDA cybersecurity guidance — updated 2026</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AE1C4D4">
            <w:pPr>
              <w:jc w:val="left"/>
            </w:pPr>
            <w:r>
              <w:rPr>
                <w:rFonts w:ascii="Arial" w:hAnsi="Arial" w:eastAsia="Arial" w:cs="Arial"/>
                <w:b w:val="0"/>
                <w:bCs w:val="0"/>
                <w:color w:val="1A1A1A"/>
                <w:sz w:val="20"/>
                <w:szCs w:val="20"/>
              </w:rPr>
              <w:t>Increases specificity of security requirements for connected devices, strengthening the case for UC5.</w:t>
            </w:r>
          </w:p>
        </w:tc>
      </w:tr>
    </w:tbl>
    <w:p w14:paraId="215588B0">
      <w:r>
        <w:br w:type="page"/>
      </w:r>
    </w:p>
    <w:p w14:paraId="2EE3FFDF">
      <w:pPr>
        <w:pStyle w:val="2"/>
        <w:pBdr>
          <w:bottom w:val="single" w:color="2E75B6" w:sz="8" w:space="4"/>
        </w:pBdr>
        <w:spacing w:before="400" w:after="160"/>
      </w:pPr>
      <w:r>
        <w:rPr>
          <w:rFonts w:ascii="Arial" w:hAnsi="Arial" w:eastAsia="Arial" w:cs="Arial"/>
          <w:b/>
          <w:bCs/>
          <w:color w:val="1F4E79"/>
          <w:sz w:val="32"/>
          <w:szCs w:val="32"/>
        </w:rPr>
        <w:t>9. How to update this document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1B1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2E75B6"/>
            <w:tcMar>
              <w:top w:w="60" w:type="dxa"/>
              <w:left w:w="160" w:type="dxa"/>
              <w:bottom w:w="60" w:type="dxa"/>
              <w:right w:w="160" w:type="dxa"/>
            </w:tcMar>
          </w:tcPr>
          <w:p w14:paraId="1C89628D">
            <w:r>
              <w:rPr>
                <w:rFonts w:ascii="Arial" w:hAnsi="Arial" w:eastAsia="Arial" w:cs="Arial"/>
                <w:b/>
                <w:bCs/>
                <w:color w:val="FFFFFF"/>
                <w:sz w:val="18"/>
                <w:szCs w:val="18"/>
              </w:rPr>
              <w:t>Update triggers</w:t>
            </w:r>
          </w:p>
        </w:tc>
      </w:tr>
      <w:tr w14:paraId="28BBC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0"/>
            <w:tcMar>
              <w:top w:w="100" w:type="dxa"/>
              <w:left w:w="160" w:type="dxa"/>
              <w:bottom w:w="100" w:type="dxa"/>
              <w:right w:w="160" w:type="dxa"/>
            </w:tcMar>
          </w:tcPr>
          <w:p w14:paraId="4D954A2A">
            <w:r>
              <w:rPr>
                <w:rFonts w:ascii="Arial" w:hAnsi="Arial" w:eastAsia="Arial" w:cs="Arial"/>
                <w:color w:val="1A1A1A"/>
                <w:sz w:val="20"/>
                <w:szCs w:val="20"/>
              </w:rPr>
              <w:t>This document should be updated at defined trigger points, not continuously. Every update should be version-controlled with a clear change record.</w:t>
            </w:r>
          </w:p>
        </w:tc>
      </w:tr>
    </w:tbl>
    <w:p w14:paraId="1BA2B5EE">
      <w:pPr>
        <w:spacing w:before="80" w:after="80"/>
      </w:pPr>
    </w:p>
    <w:p w14:paraId="3F3C3AB5">
      <w:pPr>
        <w:pStyle w:val="14"/>
        <w:numPr>
          <w:ilvl w:val="0"/>
          <w:numId w:val="1"/>
        </w:numPr>
        <w:spacing w:before="40" w:after="40"/>
      </w:pPr>
      <w:r>
        <w:rPr>
          <w:rFonts w:ascii="Arial" w:hAnsi="Arial" w:eastAsia="Arial" w:cs="Arial"/>
          <w:sz w:val="22"/>
          <w:szCs w:val="22"/>
        </w:rPr>
        <w:t>After initial release: update Confidence scores for UC2, UC4, and UC5 based on actual UC1/UC3 finding acceptance rates. If acceptance rate &lt; 70%, reduce all Confidence scores by 0.1. If &gt; 85%, increase by 0.1.</w:t>
      </w:r>
    </w:p>
    <w:p w14:paraId="1CCB209A">
      <w:pPr>
        <w:pStyle w:val="14"/>
        <w:numPr>
          <w:ilvl w:val="0"/>
          <w:numId w:val="1"/>
        </w:numPr>
        <w:spacing w:before="40" w:after="40"/>
      </w:pPr>
      <w:r>
        <w:rPr>
          <w:rFonts w:ascii="Arial" w:hAnsi="Arial" w:eastAsia="Arial" w:cs="Arial"/>
          <w:sz w:val="22"/>
          <w:szCs w:val="22"/>
        </w:rPr>
        <w:t>After Release 2: update UC4’s Effort score based on AI Architect’s assessment of change control plan document variability encountered during UC5 implementation.</w:t>
      </w:r>
    </w:p>
    <w:p w14:paraId="278D2889">
      <w:pPr>
        <w:pStyle w:val="14"/>
        <w:numPr>
          <w:ilvl w:val="0"/>
          <w:numId w:val="1"/>
        </w:numPr>
        <w:spacing w:before="40" w:after="40"/>
      </w:pPr>
      <w:r>
        <w:rPr>
          <w:rFonts w:ascii="Arial" w:hAnsi="Arial" w:eastAsia="Arial" w:cs="Arial"/>
          <w:sz w:val="22"/>
          <w:szCs w:val="22"/>
        </w:rPr>
        <w:t>After major regulatory guidance update (FDA AI/ML finalisation; EU AI Act implementing acts): review Risk Savings scores for UC4 and UC5.</w:t>
      </w:r>
    </w:p>
    <w:p w14:paraId="36FD9564">
      <w:pPr>
        <w:pStyle w:val="14"/>
        <w:numPr>
          <w:ilvl w:val="0"/>
          <w:numId w:val="1"/>
        </w:numPr>
        <w:spacing w:before="40" w:after="40"/>
      </w:pPr>
      <w:r>
        <w:rPr>
          <w:rFonts w:ascii="Arial" w:hAnsi="Arial" w:eastAsia="Arial" w:cs="Arial"/>
          <w:sz w:val="22"/>
          <w:szCs w:val="22"/>
        </w:rPr>
        <w:t>After 6 months of production data: replace Phase 2 time-saving estimates with actuals from real finding events.</w:t>
      </w:r>
    </w:p>
    <w:p w14:paraId="13445146">
      <w:pPr>
        <w:spacing w:before="80" w:after="80"/>
      </w:pPr>
    </w:p>
    <w:p w14:paraId="2966BDA4">
      <w:pPr>
        <w:pStyle w:val="3"/>
        <w:spacing w:before="280" w:after="120"/>
      </w:pPr>
      <w:r>
        <w:rPr>
          <w:rFonts w:ascii="Arial" w:hAnsi="Arial" w:eastAsia="Arial" w:cs="Arial"/>
          <w:b/>
          <w:bCs/>
          <w:color w:val="2E75B6"/>
          <w:sz w:val="26"/>
          <w:szCs w:val="26"/>
        </w:rPr>
        <w:t>Parameter ownership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120"/>
        <w:gridCol w:w="3900"/>
      </w:tblGrid>
      <w:tr w14:paraId="4ACA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1D508B03">
            <w:pPr>
              <w:jc w:val="left"/>
            </w:pPr>
            <w:r>
              <w:rPr>
                <w:rFonts w:ascii="Arial" w:hAnsi="Arial" w:eastAsia="Arial" w:cs="Arial"/>
                <w:b/>
                <w:bCs/>
                <w:color w:val="FFFFFF"/>
                <w:sz w:val="20"/>
                <w:szCs w:val="20"/>
              </w:rPr>
              <w:t>Parameter</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2AB2A494">
            <w:pPr>
              <w:jc w:val="left"/>
            </w:pPr>
            <w:r>
              <w:rPr>
                <w:rFonts w:ascii="Arial" w:hAnsi="Arial" w:eastAsia="Arial" w:cs="Arial"/>
                <w:b/>
                <w:bCs/>
                <w:color w:val="FFFFFF"/>
                <w:sz w:val="20"/>
                <w:szCs w:val="20"/>
              </w:rPr>
              <w:t>Owner</w:t>
            </w:r>
          </w:p>
        </w:tc>
        <w:tc>
          <w:tcPr>
            <w:tcW w:w="39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top"/>
          </w:tcPr>
          <w:p w14:paraId="7AB87445">
            <w:pPr>
              <w:jc w:val="left"/>
            </w:pPr>
            <w:r>
              <w:rPr>
                <w:rFonts w:ascii="Arial" w:hAnsi="Arial" w:eastAsia="Arial" w:cs="Arial"/>
                <w:b/>
                <w:bCs/>
                <w:color w:val="FFFFFF"/>
                <w:sz w:val="20"/>
                <w:szCs w:val="20"/>
              </w:rPr>
              <w:t>Update trigger</w:t>
            </w:r>
          </w:p>
        </w:tc>
      </w:tr>
      <w:tr w14:paraId="38AFF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C97D872">
            <w:pPr>
              <w:jc w:val="left"/>
            </w:pPr>
            <w:r>
              <w:rPr>
                <w:rFonts w:ascii="Arial" w:hAnsi="Arial" w:eastAsia="Arial" w:cs="Arial"/>
                <w:b w:val="0"/>
                <w:bCs w:val="0"/>
                <w:color w:val="1A1A1A"/>
                <w:sz w:val="20"/>
                <w:szCs w:val="20"/>
              </w:rPr>
              <w:t>Risk Savings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6CBCF76">
            <w:pPr>
              <w:jc w:val="left"/>
            </w:pPr>
            <w:r>
              <w:rPr>
                <w:rFonts w:ascii="Arial" w:hAnsi="Arial" w:eastAsia="Arial" w:cs="Arial"/>
                <w:b w:val="0"/>
                <w:bCs w:val="0"/>
                <w:color w:val="1A1A1A"/>
                <w:sz w:val="20"/>
                <w:szCs w:val="20"/>
              </w:rPr>
              <w:t>Regulatory Affairs / PM</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877DD7A">
            <w:pPr>
              <w:jc w:val="left"/>
            </w:pPr>
            <w:r>
              <w:rPr>
                <w:rFonts w:ascii="Arial" w:hAnsi="Arial" w:eastAsia="Arial" w:cs="Arial"/>
                <w:b w:val="0"/>
                <w:bCs w:val="0"/>
                <w:color w:val="1A1A1A"/>
                <w:sz w:val="20"/>
                <w:szCs w:val="20"/>
              </w:rPr>
              <w:t>Major guidance change or new product risk class in either jurisdiction</w:t>
            </w:r>
          </w:p>
        </w:tc>
      </w:tr>
      <w:tr w14:paraId="68B6F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642332C1">
            <w:pPr>
              <w:jc w:val="left"/>
            </w:pPr>
            <w:r>
              <w:rPr>
                <w:rFonts w:ascii="Arial" w:hAnsi="Arial" w:eastAsia="Arial" w:cs="Arial"/>
                <w:b w:val="0"/>
                <w:bCs w:val="0"/>
                <w:color w:val="1A1A1A"/>
                <w:sz w:val="20"/>
                <w:szCs w:val="20"/>
              </w:rPr>
              <w:t>Impact</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142D8BD2">
            <w:pPr>
              <w:jc w:val="left"/>
            </w:pPr>
            <w:r>
              <w:rPr>
                <w:rFonts w:ascii="Arial" w:hAnsi="Arial" w:eastAsia="Arial" w:cs="Arial"/>
                <w:b w:val="0"/>
                <w:bCs w:val="0"/>
                <w:color w:val="1A1A1A"/>
                <w:sz w:val="20"/>
                <w:szCs w:val="20"/>
              </w:rPr>
              <w:t>PM (with regulatory input)</w:t>
            </w:r>
          </w:p>
        </w:tc>
        <w:tc>
          <w:tcPr>
            <w:tcW w:w="3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0B279EB">
            <w:pPr>
              <w:jc w:val="left"/>
            </w:pPr>
            <w:r>
              <w:rPr>
                <w:rFonts w:ascii="Arial" w:hAnsi="Arial" w:eastAsia="Arial" w:cs="Arial"/>
                <w:b w:val="0"/>
                <w:bCs w:val="0"/>
                <w:color w:val="1A1A1A"/>
                <w:sz w:val="20"/>
                <w:szCs w:val="20"/>
              </w:rPr>
              <w:t>After each release, based on document owner feedback</w:t>
            </w:r>
          </w:p>
        </w:tc>
      </w:tr>
      <w:tr w14:paraId="1F661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AA5BDC7">
            <w:pPr>
              <w:jc w:val="left"/>
            </w:pPr>
            <w:r>
              <w:rPr>
                <w:rFonts w:ascii="Arial" w:hAnsi="Arial" w:eastAsia="Arial" w:cs="Arial"/>
                <w:b w:val="0"/>
                <w:bCs w:val="0"/>
                <w:color w:val="1A1A1A"/>
                <w:sz w:val="20"/>
                <w:szCs w:val="20"/>
              </w:rPr>
              <w:t>Confidence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DD5730C">
            <w:pPr>
              <w:jc w:val="left"/>
            </w:pPr>
            <w:r>
              <w:rPr>
                <w:rFonts w:ascii="Arial" w:hAnsi="Arial" w:eastAsia="Arial" w:cs="Arial"/>
                <w:b w:val="0"/>
                <w:bCs w:val="0"/>
                <w:color w:val="1A1A1A"/>
                <w:sz w:val="20"/>
                <w:szCs w:val="20"/>
              </w:rPr>
              <w:t>PM + AI Architect jointly</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D3C0405">
            <w:pPr>
              <w:jc w:val="left"/>
            </w:pPr>
            <w:r>
              <w:rPr>
                <w:rFonts w:ascii="Arial" w:hAnsi="Arial" w:eastAsia="Arial" w:cs="Arial"/>
                <w:b w:val="0"/>
                <w:bCs w:val="0"/>
                <w:color w:val="1A1A1A"/>
                <w:sz w:val="20"/>
                <w:szCs w:val="20"/>
              </w:rPr>
              <w:t>After each release, based on empirical acceptance rate data</w:t>
            </w:r>
          </w:p>
        </w:tc>
      </w:tr>
      <w:tr w14:paraId="28177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5586E94C">
            <w:pPr>
              <w:jc w:val="left"/>
            </w:pPr>
            <w:r>
              <w:rPr>
                <w:rFonts w:ascii="Arial" w:hAnsi="Arial" w:eastAsia="Arial" w:cs="Arial"/>
                <w:b w:val="0"/>
                <w:bCs w:val="0"/>
                <w:color w:val="1A1A1A"/>
                <w:sz w:val="20"/>
                <w:szCs w:val="20"/>
              </w:rPr>
              <w:t>Effort</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207A8663">
            <w:pPr>
              <w:jc w:val="left"/>
            </w:pPr>
            <w:r>
              <w:rPr>
                <w:rFonts w:ascii="Arial" w:hAnsi="Arial" w:eastAsia="Arial" w:cs="Arial"/>
                <w:b w:val="0"/>
                <w:bCs w:val="0"/>
                <w:color w:val="1A1A1A"/>
                <w:sz w:val="20"/>
                <w:szCs w:val="20"/>
              </w:rPr>
              <w:t>AI Architect</w:t>
            </w:r>
          </w:p>
        </w:tc>
        <w:tc>
          <w:tcPr>
            <w:tcW w:w="39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top"/>
          </w:tcPr>
          <w:p w14:paraId="70A189C4">
            <w:pPr>
              <w:jc w:val="left"/>
            </w:pPr>
            <w:r>
              <w:rPr>
                <w:rFonts w:ascii="Arial" w:hAnsi="Arial" w:eastAsia="Arial" w:cs="Arial"/>
                <w:b w:val="0"/>
                <w:bCs w:val="0"/>
                <w:color w:val="1A1A1A"/>
                <w:sz w:val="20"/>
                <w:szCs w:val="20"/>
              </w:rPr>
              <w:t>Before each release scoping session</w:t>
            </w:r>
          </w:p>
        </w:tc>
      </w:tr>
    </w:tbl>
    <w:p w14:paraId="7F4B9708">
      <w:pPr>
        <w:spacing w:before="80" w:after="80"/>
      </w:pPr>
    </w:p>
    <w:p w14:paraId="03FF510F">
      <w:pPr>
        <w:spacing w:before="120" w:after="80"/>
      </w:pPr>
      <w:r>
        <w:rPr>
          <w:rFonts w:ascii="Arial" w:hAnsi="Arial" w:eastAsia="Arial" w:cs="Arial"/>
          <w:sz w:val="22"/>
          <w:szCs w:val="22"/>
        </w:rPr>
        <w:t xml:space="preserve">This document is version-controlled in the product repository under </w:t>
      </w:r>
      <w:r>
        <w:rPr>
          <w:rFonts w:ascii="Arial" w:hAnsi="Arial" w:eastAsia="Arial" w:cs="Arial"/>
          <w:b/>
          <w:bCs/>
          <w:sz w:val="22"/>
          <w:szCs w:val="22"/>
        </w:rPr>
        <w:t>docs/use-case-roi-prioritization.md</w:t>
      </w:r>
      <w:r>
        <w:rPr>
          <w:rFonts w:ascii="Arial" w:hAnsi="Arial" w:eastAsia="Arial" w:cs="Arial"/>
          <w:sz w:val="22"/>
          <w:szCs w:val="22"/>
        </w:rPr>
        <w:t xml:space="preserve">. Challenges to scores and parameters should be raised as tracked issues in the project backlog with the label </w:t>
      </w:r>
      <w:r>
        <w:rPr>
          <w:rFonts w:ascii="Arial" w:hAnsi="Arial" w:eastAsia="Arial" w:cs="Arial"/>
          <w:b/>
          <w:bCs/>
          <w:sz w:val="22"/>
          <w:szCs w:val="22"/>
        </w:rPr>
        <w:t>type:doc</w:t>
      </w:r>
      <w:r>
        <w:rPr>
          <w:rFonts w:ascii="Arial" w:hAnsi="Arial" w:eastAsia="Arial" w:cs="Arial"/>
          <w:sz w:val="22"/>
          <w:szCs w:val="22"/>
        </w:rPr>
        <w:t xml:space="preserve"> and assigned to the PM for triage.</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E7415">
    <w:pPr>
      <w:pBdr>
        <w:top w:val="single" w:color="D9D9D9" w:sz="4" w:space="0"/>
      </w:pBdr>
      <w:tabs>
        <w:tab w:val="right" w:pos="9026"/>
      </w:tabs>
      <w:spacing w:before="120" w:after="0"/>
    </w:pPr>
    <w:r>
      <w:rPr>
        <w:rFonts w:ascii="Arial" w:hAnsi="Arial" w:eastAsia="Arial" w:cs="Arial"/>
        <w:color w:val="888888"/>
        <w:sz w:val="18"/>
        <w:szCs w:val="18"/>
      </w:rPr>
      <w:t>Working draft v2.0  •  March 2026</w:t>
    </w:r>
    <w:r>
      <w:rPr>
        <w:rFonts w:ascii="Arial" w:hAnsi="Arial" w:eastAsia="Arial" w:cs="Arial"/>
        <w:color w:val="888888"/>
        <w:sz w:val="18"/>
        <w:szCs w:val="18"/>
      </w:rPr>
      <w:tab/>
      <w:t xml:space="preserve"> Applicable: EU MDR • FDA 21 CFR 820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BDB33">
    <w:pPr>
      <w:pBdr>
        <w:bottom w:val="single" w:color="D9D9D9" w:sz="4" w:space="0"/>
      </w:pBdr>
      <w:spacing w:before="0" w:after="120"/>
    </w:pPr>
    <w:r>
      <w:rPr>
        <w:rFonts w:ascii="Arial" w:hAnsi="Arial" w:eastAsia="Arial" w:cs="Arial"/>
        <w:color w:val="777777"/>
        <w:sz w:val="18"/>
        <w:szCs w:val="18"/>
      </w:rPr>
      <w:t>SRS Review Agent — Use Case ROI &amp; Prioritization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5352421"/>
    <w:rsid w:val="4F2D73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color w:val="1F4E79"/>
      <w:sz w:val="32"/>
      <w:szCs w:val="32"/>
    </w:rPr>
  </w:style>
  <w:style w:type="paragraph" w:styleId="3">
    <w:name w:val="heading 2"/>
    <w:next w:val="1"/>
    <w:qFormat/>
    <w:uiPriority w:val="0"/>
    <w:pPr>
      <w:spacing w:before="280" w:after="120"/>
      <w:outlineLvl w:val="1"/>
    </w:pPr>
    <w:rPr>
      <w:rFonts w:ascii="Arial" w:hAnsi="Arial" w:eastAsia="Arial" w:cs="Arial"/>
      <w:b/>
      <w:bCs/>
      <w:color w:val="2E75B6"/>
      <w:sz w:val="26"/>
      <w:szCs w:val="26"/>
    </w:rPr>
  </w:style>
  <w:style w:type="paragraph" w:styleId="4">
    <w:name w:val="heading 3"/>
    <w:next w:val="1"/>
    <w:qFormat/>
    <w:uiPriority w:val="0"/>
    <w:pPr>
      <w:spacing w:before="200" w:after="100"/>
      <w:outlineLvl w:val="2"/>
    </w:pPr>
    <w:rPr>
      <w:rFonts w:ascii="Arial" w:hAnsi="Arial" w:eastAsia="Arial" w:cs="Arial"/>
      <w:b/>
      <w:bCs/>
      <w:color w:val="333333"/>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TotalTime>1257</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2026-03-26T15:17:00Z</dcterms:created>
  <dc:creator>Un-named</dc:creator>
  <cp:lastModifiedBy>WPS_1761817741</cp:lastModifiedBy>
  <dcterms:modified xsi:type="dcterms:W3CDTF">2026-04-01T08:57:43Z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43028AD6C82042298FD0C4CBEDB03AB0_12</vt:lpwstr>
  </property>
</Properties>
</file>