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7635C"/>
          <w:sz w:val="17"/>
        </w:rPr>
        <w:t>PRODUCT &amp; TECHNICAL BRIEF</w:t>
      </w:r>
    </w:p>
    <w:p>
      <w:pPr>
        <w:spacing w:after="60"/>
      </w:pPr>
      <w:r>
        <w:rPr>
          <w:rFonts w:ascii="Calibri" w:hAnsi="Calibri"/>
          <w:b/>
          <w:i w:val="0"/>
          <w:color w:val="091919"/>
          <w:sz w:val="56"/>
        </w:rPr>
        <w:t>MigrantLife AI</w:t>
      </w:r>
    </w:p>
    <w:p>
      <w:pPr>
        <w:spacing w:after="260"/>
      </w:pPr>
      <w:r>
        <w:rPr>
          <w:rFonts w:ascii="Calibri" w:hAnsi="Calibri"/>
          <w:b w:val="0"/>
          <w:i w:val="0"/>
          <w:color w:val="60736F"/>
          <w:sz w:val="25"/>
        </w:rPr>
        <w:t>A verified life operating system for immigrants and newcomers</w:t>
      </w:r>
    </w:p>
    <w:p>
      <w:pPr>
        <w:spacing w:after="40"/>
      </w:pPr>
      <w:r>
        <w:rPr>
          <w:rFonts w:ascii="Calibri" w:hAnsi="Calibri"/>
          <w:b/>
          <w:i w:val="0"/>
          <w:color w:val="27635C"/>
          <w:sz w:val="18"/>
        </w:rPr>
        <w:t xml:space="preserve">Product: </w:t>
      </w:r>
      <w:r>
        <w:rPr>
          <w:rFonts w:ascii="Calibri" w:hAnsi="Calibri"/>
          <w:b w:val="0"/>
          <w:i w:val="0"/>
          <w:color w:val="091919"/>
          <w:sz w:val="18"/>
        </w:rPr>
        <w:t>MigrantLife AI</w:t>
      </w:r>
    </w:p>
    <w:p>
      <w:pPr>
        <w:spacing w:after="40"/>
      </w:pPr>
      <w:r>
        <w:rPr>
          <w:rFonts w:ascii="Calibri" w:hAnsi="Calibri"/>
          <w:b/>
          <w:i w:val="0"/>
          <w:color w:val="27635C"/>
          <w:sz w:val="18"/>
        </w:rPr>
        <w:t xml:space="preserve">Track: </w:t>
      </w:r>
      <w:r>
        <w:rPr>
          <w:rFonts w:ascii="Calibri" w:hAnsi="Calibri"/>
          <w:b w:val="0"/>
          <w:i w:val="0"/>
          <w:color w:val="091919"/>
          <w:sz w:val="18"/>
        </w:rPr>
        <w:t>Code-based AI application</w:t>
      </w:r>
    </w:p>
    <w:p>
      <w:pPr>
        <w:spacing w:after="40"/>
      </w:pPr>
      <w:r>
        <w:rPr>
          <w:rFonts w:ascii="Calibri" w:hAnsi="Calibri"/>
          <w:b/>
          <w:i w:val="0"/>
          <w:color w:val="27635C"/>
          <w:sz w:val="18"/>
        </w:rPr>
        <w:t xml:space="preserve">Launch: </w:t>
      </w:r>
      <w:r>
        <w:rPr>
          <w:rFonts w:ascii="Calibri" w:hAnsi="Calibri"/>
          <w:b w:val="0"/>
          <w:i w:val="0"/>
          <w:color w:val="091919"/>
          <w:sz w:val="18"/>
        </w:rPr>
        <w:t>Five-state public web app | Updated August 23, 2026</w:t>
      </w:r>
    </w:p>
    <w:p>
      <w:pPr>
        <w:spacing w:after="20"/>
      </w:pPr>
    </w:p>
    <w:p>
      <w:pPr>
        <w:spacing w:before="100" w:after="180"/>
        <w:ind w:left="230" w:right="173"/>
        <w:shd w:fill="E8F2ED"/>
        <w:pBdr>
          <w:left w:val="single" w:sz="18" w:space="8" w:color="27635C"/>
        </w:pBdr>
      </w:pPr>
      <w:r>
        <w:rPr>
          <w:rFonts w:ascii="Calibri" w:hAnsi="Calibri"/>
          <w:b/>
          <w:i w:val="0"/>
          <w:color w:val="27635C"/>
          <w:sz w:val="17"/>
        </w:rPr>
        <w:t>ONE-LINE VALUE PROPOSITION</w:t>
        <w:br/>
      </w:r>
      <w:r>
        <w:rPr>
          <w:rFonts w:ascii="Calibri" w:hAnsi="Calibri"/>
          <w:b/>
          <w:i w:val="0"/>
          <w:color w:val="091919"/>
          <w:sz w:val="22"/>
        </w:rPr>
        <w:t>Ask a real-life newcomer question, receive a state-aware action plan, see the deadline, open the original official sources, and track progress privately.</w:t>
      </w:r>
    </w:p>
    <w:p>
      <w:pPr>
        <w:pStyle w:val="Heading1"/>
      </w:pPr>
      <w:r>
        <w:t>1. Product highlights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State-separated guidance: </w:t>
      </w:r>
      <w:r>
        <w:rPr>
          <w:rFonts w:ascii="Calibri" w:hAnsi="Calibri"/>
          <w:b w:val="0"/>
          <w:i w:val="0"/>
          <w:color w:val="091919"/>
          <w:sz w:val="21"/>
        </w:rPr>
        <w:t>New York, California, Texas, Illinois, and New Jersey each have a dedicated official-source registry.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Clickable evidence: </w:t>
      </w:r>
      <w:r>
        <w:rPr>
          <w:rFonts w:ascii="Calibri" w:hAnsi="Calibri"/>
          <w:b w:val="0"/>
          <w:i w:val="0"/>
          <w:color w:val="091919"/>
          <w:sz w:val="21"/>
        </w:rPr>
        <w:t>Every answer exposes original agency references with the source owner, page title, domain, and rule label.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Deadline intelligence: </w:t>
      </w:r>
      <w:r>
        <w:rPr>
          <w:rFonts w:ascii="Calibri" w:hAnsi="Calibri"/>
          <w:b w:val="0"/>
          <w:i w:val="0"/>
          <w:color w:val="091919"/>
          <w:sz w:val="21"/>
        </w:rPr>
        <w:t>A move date becomes a personal driver-license target and health-enrollment check-by date; non-universal deadlines are explicitly labeled.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Private newcomer profile: </w:t>
      </w:r>
      <w:r>
        <w:rPr>
          <w:rFonts w:ascii="Calibri" w:hAnsi="Calibri"/>
          <w:b w:val="0"/>
          <w:i w:val="0"/>
          <w:color w:val="091919"/>
          <w:sz w:val="21"/>
        </w:rPr>
        <w:t>Name, state, arrival date, language, and checklist progress stay in browser local storage and are never uploaded.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Action tracking: </w:t>
      </w:r>
      <w:r>
        <w:rPr>
          <w:rFonts w:ascii="Calibri" w:hAnsi="Calibri"/>
          <w:b w:val="0"/>
          <w:i w:val="0"/>
          <w:color w:val="091919"/>
          <w:sz w:val="21"/>
        </w:rPr>
        <w:t>Users mark guidance steps complete and return to the same state-and-topic progress on the same device.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Safety-first interaction: </w:t>
      </w:r>
      <w:r>
        <w:rPr>
          <w:rFonts w:ascii="Calibri" w:hAnsi="Calibri"/>
          <w:b w:val="0"/>
          <w:i w:val="0"/>
          <w:color w:val="091919"/>
          <w:sz w:val="21"/>
        </w:rPr>
        <w:t>The interface warns against entering Social Security, immigration document, benefit case, banking, and license numbers.</w:t>
      </w:r>
    </w:p>
    <w:p>
      <w:pPr>
        <w:pStyle w:val="Heading1"/>
      </w:pPr>
      <w:r>
        <w:t>2. Problem and target user</w:t>
      </w:r>
    </w:p>
    <w:p>
      <w:r>
        <w:rPr>
          <w:rFonts w:ascii="Calibri" w:hAnsi="Calibri"/>
          <w:b/>
          <w:i w:val="0"/>
          <w:color w:val="091919"/>
          <w:sz w:val="21"/>
        </w:rPr>
        <w:t xml:space="preserve">Newcomers face a high-stakes sequence of unfamiliar systems: </w:t>
      </w:r>
      <w:r>
        <w:rPr>
          <w:rFonts w:ascii="Calibri" w:hAnsi="Calibri"/>
          <w:b w:val="0"/>
          <w:i w:val="0"/>
          <w:color w:val="091919"/>
          <w:sz w:val="21"/>
        </w:rPr>
        <w:t>school enrollment, health coverage, driver licensing, housing, work, banking, benefits, language access, and fraud prevention. The hardest part is not a lack of information; it is converting fragmented, jurisdiction-specific rules into a trustworthy next action.</w:t>
      </w:r>
    </w:p>
    <w:p>
      <w:pPr>
        <w:spacing w:before="100" w:after="180"/>
        <w:ind w:left="230" w:right="173"/>
        <w:shd w:fill="EDF7DF"/>
        <w:pBdr>
          <w:left w:val="single" w:sz="18" w:space="8" w:color="27635C"/>
        </w:pBdr>
      </w:pPr>
      <w:r>
        <w:rPr>
          <w:rFonts w:ascii="Calibri" w:hAnsi="Calibri"/>
          <w:b/>
          <w:i w:val="0"/>
          <w:color w:val="27635C"/>
          <w:sz w:val="17"/>
        </w:rPr>
        <w:t>DESIGN PRINCIPLE</w:t>
        <w:br/>
      </w:r>
      <w:r>
        <w:rPr>
          <w:rFonts w:ascii="Calibri" w:hAnsi="Calibri"/>
          <w:b/>
          <w:i w:val="0"/>
          <w:color w:val="091919"/>
          <w:sz w:val="22"/>
        </w:rPr>
        <w:t>Calm before clever: show the user what to do next, why it applies, when it may be due, and where the rule came from.</w:t>
      </w:r>
    </w:p>
    <w:p>
      <w:pPr>
        <w:pStyle w:val="Heading1"/>
      </w:pPr>
      <w:r>
        <w:t>3. System architecture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React/Vinext presentation layer captures a question, selected state, and optional local profile.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Intent routing maps the question to school, health, license, housing, work, safety, or benefits.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A state-aware source registry supplies the correct official references and deadline policy for the active jurisdiction.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The production RAG path uses LangGraph to route, retrieve, decide, and answer or fall back safely.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Hybrid retrieval combines BM25 lexical search with switchable local or Pinecone dense retrieval, then reranks by topic and jurisdiction.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Citation validation and confidence gates ensure the answer points back to retrieved official guidance.</w:t>
      </w:r>
    </w:p>
    <w:p>
      <w:pPr>
        <w:pStyle w:val="Heading1"/>
      </w:pPr>
      <w:r>
        <w:t>4. Pinecone and retrieval layer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630"/>
        <w:gridCol w:w="2050"/>
        <w:gridCol w:w="2630"/>
      </w:tblGrid>
      <w:tr>
        <w:trPr>
          <w:tblHeader w:val="true"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Signal</w:t>
            </w:r>
          </w:p>
        </w:tc>
        <w:tc>
          <w:tcPr>
            <w:tcW w:type="dxa" w:w="2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Verified result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Signal</w:t>
            </w:r>
          </w:p>
        </w:tc>
        <w:tc>
          <w:tcPr>
            <w:tcW w:type="dxa" w:w="2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Verified result</w:t>
            </w:r>
          </w:p>
        </w:tc>
      </w:tr>
      <w:tr>
        <w:tc>
          <w:tcPr>
            <w:tcW w:type="dxa" w:w="20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Live namespace</w:t>
            </w:r>
          </w:p>
        </w:tc>
        <w:tc>
          <w:tcPr>
            <w:tcW w:type="dxa" w:w="263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official-sources-v1</w:t>
            </w:r>
          </w:p>
        </w:tc>
        <w:tc>
          <w:tcPr>
            <w:tcW w:type="dxa" w:w="20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Indexed chunks</w:t>
            </w:r>
          </w:p>
        </w:tc>
        <w:tc>
          <w:tcPr>
            <w:tcW w:type="dxa" w:w="263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30</w:t>
            </w:r>
          </w:p>
        </w:tc>
      </w:tr>
      <w:tr>
        <w:tc>
          <w:tcPr>
            <w:tcW w:type="dxa" w:w="20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Retrieval hit@3</w:t>
            </w:r>
          </w:p>
        </w:tc>
        <w:tc>
          <w:tcPr>
            <w:tcW w:type="dxa" w:w="263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100% tuned set</w:t>
            </w:r>
          </w:p>
        </w:tc>
        <w:tc>
          <w:tcPr>
            <w:tcW w:type="dxa" w:w="20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Routing accuracy</w:t>
            </w:r>
          </w:p>
        </w:tc>
        <w:tc>
          <w:tcPr>
            <w:tcW w:type="dxa" w:w="263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100% tuned set</w:t>
            </w:r>
          </w:p>
        </w:tc>
      </w:tr>
      <w:tr>
        <w:tc>
          <w:tcPr>
            <w:tcW w:type="dxa" w:w="20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Mean latency</w:t>
            </w:r>
          </w:p>
        </w:tc>
        <w:tc>
          <w:tcPr>
            <w:tcW w:type="dxa" w:w="263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75.1 ms</w:t>
            </w:r>
          </w:p>
        </w:tc>
        <w:tc>
          <w:tcPr>
            <w:tcW w:type="dxa" w:w="20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p95 latency</w:t>
            </w:r>
          </w:p>
        </w:tc>
        <w:tc>
          <w:tcPr>
            <w:tcW w:type="dxa" w:w="263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110.6 ms</w:t>
            </w:r>
          </w:p>
        </w:tc>
      </w:tr>
      <w:tr>
        <w:tc>
          <w:tcPr>
            <w:tcW w:type="dxa" w:w="20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Automated tests</w:t>
            </w:r>
          </w:p>
        </w:tc>
        <w:tc>
          <w:tcPr>
            <w:tcW w:type="dxa" w:w="263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12/12 passed</w:t>
            </w:r>
          </w:p>
        </w:tc>
        <w:tc>
          <w:tcPr>
            <w:tcW w:type="dxa" w:w="20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8"/>
              </w:rPr>
              <w:t>Citation validity</w:t>
            </w:r>
          </w:p>
        </w:tc>
        <w:tc>
          <w:tcPr>
            <w:tcW w:type="dxa" w:w="263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27635C"/>
                <w:sz w:val="18"/>
              </w:rPr>
              <w:t>100% tuned set</w:t>
            </w:r>
          </w:p>
        </w:tc>
      </w:tr>
    </w:tbl>
    <w:p>
      <w:pPr>
        <w:spacing w:before="80"/>
      </w:pPr>
      <w:r>
        <w:rPr>
          <w:rFonts w:ascii="Calibri" w:hAnsi="Calibri"/>
          <w:b/>
          <w:i w:val="0"/>
          <w:color w:val="60736F"/>
          <w:sz w:val="18"/>
        </w:rPr>
        <w:t xml:space="preserve">Evaluation note: </w:t>
      </w:r>
      <w:r>
        <w:rPr>
          <w:rFonts w:ascii="Calibri" w:hAnsi="Calibri"/>
          <w:b w:val="0"/>
          <w:i w:val="0"/>
          <w:color w:val="60736F"/>
          <w:sz w:val="18"/>
        </w:rPr>
        <w:t>These are tuned development-set results, not a production accuracy claim. The next test should be blinded and completed with recent newcomers and service navigators.</w:t>
      </w:r>
    </w:p>
    <w:p>
      <w:pPr>
        <w:pStyle w:val="Heading1"/>
      </w:pPr>
      <w:r>
        <w:t>5. State coverage and tracked deadlines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000"/>
        <w:gridCol w:w="2150"/>
        <w:gridCol w:w="3960"/>
      </w:tblGrid>
      <w:tr>
        <w:trPr>
          <w:tblHeader w:val="true"/>
        </w:trP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License window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Health move window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91919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official reference</w:t>
            </w:r>
          </w:p>
        </w:tc>
      </w:tr>
      <w:tr>
        <w:tc>
          <w:tcPr>
            <w:tcW w:type="dxa" w:w="12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7"/>
              </w:rPr>
              <w:t>New York</w:t>
            </w:r>
          </w:p>
        </w:tc>
        <w:tc>
          <w:tcPr>
            <w:tcW w:type="dxa" w:w="200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30 days</w:t>
            </w:r>
          </w:p>
        </w:tc>
        <w:tc>
          <w:tcPr>
            <w:tcW w:type="dxa" w:w="215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Commonly 60 days</w:t>
            </w:r>
          </w:p>
        </w:tc>
        <w:tc>
          <w:tcPr>
            <w:tcW w:type="dxa" w:w="39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NYS DMV / NY State of Health</w:t>
            </w:r>
          </w:p>
        </w:tc>
      </w:tr>
      <w:tr>
        <w:tc>
          <w:tcPr>
            <w:tcW w:type="dxa" w:w="12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7"/>
              </w:rPr>
              <w:t>California</w:t>
            </w:r>
          </w:p>
        </w:tc>
        <w:tc>
          <w:tcPr>
            <w:tcW w:type="dxa" w:w="200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10 days</w:t>
            </w:r>
          </w:p>
        </w:tc>
        <w:tc>
          <w:tcPr>
            <w:tcW w:type="dxa" w:w="215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Usually 60 days</w:t>
            </w:r>
          </w:p>
        </w:tc>
        <w:tc>
          <w:tcPr>
            <w:tcW w:type="dxa" w:w="396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California DMV / Covered California</w:t>
            </w:r>
          </w:p>
        </w:tc>
      </w:tr>
      <w:tr>
        <w:tc>
          <w:tcPr>
            <w:tcW w:type="dxa" w:w="12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7"/>
              </w:rPr>
              <w:t>Texas</w:t>
            </w:r>
          </w:p>
        </w:tc>
        <w:tc>
          <w:tcPr>
            <w:tcW w:type="dxa" w:w="200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Up to 90 days</w:t>
            </w:r>
          </w:p>
        </w:tc>
        <w:tc>
          <w:tcPr>
            <w:tcW w:type="dxa" w:w="215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Usually 60 days</w:t>
            </w:r>
          </w:p>
        </w:tc>
        <w:tc>
          <w:tcPr>
            <w:tcW w:type="dxa" w:w="39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Texas DPS / HealthCare.gov</w:t>
            </w:r>
          </w:p>
        </w:tc>
      </w:tr>
      <w:tr>
        <w:tc>
          <w:tcPr>
            <w:tcW w:type="dxa" w:w="1250"/>
            <w:shd w:fill="F5F3ED"/>
          </w:tcPr>
          <w:p>
            <w:r>
              <w:rPr>
                <w:rFonts w:ascii="Calibri" w:hAnsi="Calibri"/>
                <w:b/>
                <w:i w:val="0"/>
                <w:color w:val="091919"/>
                <w:sz w:val="17"/>
              </w:rPr>
              <w:t>Illinois</w:t>
            </w:r>
          </w:p>
        </w:tc>
        <w:tc>
          <w:tcPr>
            <w:tcW w:type="dxa" w:w="200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90 days</w:t>
            </w:r>
          </w:p>
        </w:tc>
        <w:tc>
          <w:tcPr>
            <w:tcW w:type="dxa" w:w="215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60 days</w:t>
            </w:r>
          </w:p>
        </w:tc>
        <w:tc>
          <w:tcPr>
            <w:tcW w:type="dxa" w:w="3960"/>
            <w:shd w:fill="F5F3ED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Illinois SOS / Get Covered Illinois</w:t>
            </w:r>
          </w:p>
        </w:tc>
      </w:tr>
      <w:tr>
        <w:tc>
          <w:tcPr>
            <w:tcW w:type="dxa" w:w="1250"/>
            <w:shd w:fill="FFFFFF"/>
          </w:tcPr>
          <w:p>
            <w:r>
              <w:rPr>
                <w:rFonts w:ascii="Calibri" w:hAnsi="Calibri"/>
                <w:b/>
                <w:i w:val="0"/>
                <w:color w:val="091919"/>
                <w:sz w:val="17"/>
              </w:rPr>
              <w:t>New Jersey</w:t>
            </w:r>
          </w:p>
        </w:tc>
        <w:tc>
          <w:tcPr>
            <w:tcW w:type="dxa" w:w="200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60 days or earlier expiry</w:t>
            </w:r>
          </w:p>
        </w:tc>
        <w:tc>
          <w:tcPr>
            <w:tcW w:type="dxa" w:w="215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Usually 60 days</w:t>
            </w:r>
          </w:p>
        </w:tc>
        <w:tc>
          <w:tcPr>
            <w:tcW w:type="dxa" w:w="396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091919"/>
                <w:sz w:val="17"/>
              </w:rPr>
              <w:t>NJ MVC / Get Covered NJ</w:t>
            </w:r>
          </w:p>
        </w:tc>
      </w:tr>
    </w:tbl>
    <w:p>
      <w:r>
        <w:rPr>
          <w:rFonts w:ascii="Calibri" w:hAnsi="Calibri"/>
          <w:b/>
          <w:i w:val="0"/>
          <w:color w:val="60736F"/>
          <w:sz w:val="18"/>
        </w:rPr>
        <w:t xml:space="preserve">Deadline guardrail: </w:t>
      </w:r>
      <w:r>
        <w:rPr>
          <w:rFonts w:ascii="Calibri" w:hAnsi="Calibri"/>
          <w:b w:val="0"/>
          <w:i w:val="0"/>
          <w:color w:val="60736F"/>
          <w:sz w:val="18"/>
        </w:rPr>
        <w:t>The product calls these target or check-by dates, links to the controlling agency, and avoids treating a general window as a legal determination.</w:t>
      </w:r>
    </w:p>
    <w:p>
      <w:pPr>
        <w:pStyle w:val="Heading1"/>
      </w:pPr>
      <w:r>
        <w:t>6. Privacy, safety, and trust</w:t>
      </w:r>
    </w:p>
    <w:p>
      <w:pPr>
        <w:pStyle w:val="ListBullet"/>
      </w:pPr>
      <w:r>
        <w:rPr>
          <w:rFonts w:ascii="Calibri" w:hAnsi="Calibri"/>
          <w:b w:val="0"/>
          <w:i w:val="0"/>
          <w:color w:val="091919"/>
          <w:sz w:val="21"/>
        </w:rPr>
        <w:t>No Pinecone, OpenAI, or government credential is embedded in the public browser bundle.</w:t>
      </w:r>
    </w:p>
    <w:p>
      <w:pPr>
        <w:pStyle w:val="ListBullet"/>
      </w:pPr>
      <w:r>
        <w:rPr>
          <w:rFonts w:ascii="Calibri" w:hAnsi="Calibri"/>
          <w:b w:val="0"/>
          <w:i w:val="0"/>
          <w:color w:val="091919"/>
          <w:sz w:val="21"/>
        </w:rPr>
        <w:t>The profile uses device-local storage only; it is not an identity account and does not sync across devices.</w:t>
      </w:r>
    </w:p>
    <w:p>
      <w:pPr>
        <w:pStyle w:val="ListBullet"/>
      </w:pPr>
      <w:r>
        <w:rPr>
          <w:rFonts w:ascii="Calibri" w:hAnsi="Calibri"/>
          <w:b w:val="0"/>
          <w:i w:val="0"/>
          <w:color w:val="091919"/>
          <w:sz w:val="21"/>
        </w:rPr>
        <w:t>The UI separates general information from legal advice and links users to official or accredited help.</w:t>
      </w:r>
    </w:p>
    <w:p>
      <w:pPr>
        <w:pStyle w:val="ListBullet"/>
      </w:pPr>
      <w:r>
        <w:rPr>
          <w:rFonts w:ascii="Calibri" w:hAnsi="Calibri"/>
          <w:b w:val="0"/>
          <w:i w:val="0"/>
          <w:color w:val="091919"/>
          <w:sz w:val="21"/>
        </w:rPr>
        <w:t>Sensitive identifiers are explicitly excluded from profile and chat inputs.</w:t>
      </w:r>
    </w:p>
    <w:p>
      <w:pPr>
        <w:pStyle w:val="ListBullet"/>
      </w:pPr>
      <w:r>
        <w:rPr>
          <w:rFonts w:ascii="Calibri" w:hAnsi="Calibri"/>
          <w:b w:val="0"/>
          <w:i w:val="0"/>
          <w:color w:val="091919"/>
          <w:sz w:val="21"/>
        </w:rPr>
        <w:t>Out-of-scope and low-confidence questions follow a safe fallback path instead of inventing an answer.</w:t>
      </w:r>
    </w:p>
    <w:p>
      <w:pPr>
        <w:pStyle w:val="Heading1"/>
      </w:pPr>
      <w:r>
        <w:t>7. Why this can win Builder of the Week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Human stakes: </w:t>
      </w:r>
      <w:r>
        <w:rPr>
          <w:rFonts w:ascii="Calibri" w:hAnsi="Calibri"/>
          <w:b w:val="0"/>
          <w:i w:val="0"/>
          <w:color w:val="091919"/>
          <w:sz w:val="21"/>
        </w:rPr>
        <w:t>The product solves an emotionally intense, universal transition with immediate real-world value.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Visible trust: </w:t>
      </w:r>
      <w:r>
        <w:rPr>
          <w:rFonts w:ascii="Calibri" w:hAnsi="Calibri"/>
          <w:b w:val="0"/>
          <w:i w:val="0"/>
          <w:color w:val="091919"/>
          <w:sz w:val="21"/>
        </w:rPr>
        <w:t>Sources, jurisdiction, deadline logic, confidence, and safety are product surfaces, not hidden architecture claims.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Technical depth: </w:t>
      </w:r>
      <w:r>
        <w:rPr>
          <w:rFonts w:ascii="Calibri" w:hAnsi="Calibri"/>
          <w:b w:val="0"/>
          <w:i w:val="0"/>
          <w:color w:val="091919"/>
          <w:sz w:val="21"/>
        </w:rPr>
        <w:t>LangGraph orchestration, hybrid retrieval, Pinecone namespace isolation, reranking, citation validation, and evaluation are testable.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Demo clarity: </w:t>
      </w:r>
      <w:r>
        <w:rPr>
          <w:rFonts w:ascii="Calibri" w:hAnsi="Calibri"/>
          <w:b w:val="0"/>
          <w:i w:val="0"/>
          <w:color w:val="091919"/>
          <w:sz w:val="21"/>
        </w:rPr>
        <w:t>A judge can understand the problem, see a state change, open a source, create a profile, and complete a step in under two minutes.</w:t>
      </w:r>
    </w:p>
    <w:p>
      <w:pPr>
        <w:pStyle w:val="ListBullet"/>
      </w:pPr>
      <w:r>
        <w:rPr>
          <w:rFonts w:ascii="Calibri" w:hAnsi="Calibri"/>
          <w:b/>
          <w:i w:val="0"/>
          <w:color w:val="091919"/>
          <w:sz w:val="21"/>
        </w:rPr>
        <w:t xml:space="preserve">Expansion path: </w:t>
      </w:r>
      <w:r>
        <w:rPr>
          <w:rFonts w:ascii="Calibri" w:hAnsi="Calibri"/>
          <w:b w:val="0"/>
          <w:i w:val="0"/>
          <w:color w:val="091919"/>
          <w:sz w:val="21"/>
        </w:rPr>
        <w:t>The state registry scales to additional jurisdictions without redesigning the core experience.</w:t>
      </w:r>
    </w:p>
    <w:p>
      <w:pPr>
        <w:pStyle w:val="Heading1"/>
      </w:pPr>
      <w:r>
        <w:t>8. Known limits and next milestones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Replace the device-local profile with optional account sync only after a clear consent and data-minimization design.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Expand beyond five states using an agency-source review checklist and freshness monitoring.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Connect the hosted interface to the secured server-side Pinecone adapter after rotating the exposed development key.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Add native multilingual answer generation while preserving the same citations and jurisdiction controls.</w:t>
      </w:r>
    </w:p>
    <w:p>
      <w:pPr>
        <w:pStyle w:val="ListNumber"/>
      </w:pPr>
      <w:r>
        <w:rPr>
          <w:rFonts w:ascii="Calibri" w:hAnsi="Calibri"/>
          <w:b w:val="0"/>
          <w:i w:val="0"/>
          <w:color w:val="091919"/>
          <w:sz w:val="21"/>
        </w:rPr>
        <w:t>Run blinded task-completion testing with newcomers, librarians, school navigators, and legal-aid partners.</w:t>
      </w:r>
    </w:p>
    <w:p>
      <w:pPr>
        <w:pStyle w:val="Heading1"/>
      </w:pPr>
      <w:r>
        <w:t>9. Selected official references</w:t>
      </w:r>
    </w:p>
    <w:p>
      <w:pPr>
        <w:spacing w:after="80"/>
        <w:ind w:left="259"/>
      </w:pPr>
      <w:hyperlink r:id="rId11">
        <w:r>
          <w:rPr>
            <w:color w:val="27635C"/>
            <w:u w:val="single"/>
            <w:rFonts w:ascii="Calibri" w:hAnsi="Calibri"/>
            <w:sz w:val="19"/>
          </w:rPr>
          <w:t>California DMV - Requirements for a California driver license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- 10-day resident rule</w:t>
      </w:r>
    </w:p>
    <w:p>
      <w:pPr>
        <w:spacing w:after="80"/>
        <w:ind w:left="259"/>
      </w:pPr>
      <w:hyperlink r:id="rId12">
        <w:r>
          <w:rPr>
            <w:color w:val="27635C"/>
            <w:u w:val="single"/>
            <w:rFonts w:ascii="Calibri" w:hAnsi="Calibri"/>
            <w:sz w:val="19"/>
          </w:rPr>
          <w:t>Texas DPS - Moving to Texas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- 90-day driving window</w:t>
      </w:r>
    </w:p>
    <w:p>
      <w:pPr>
        <w:spacing w:after="80"/>
        <w:ind w:left="259"/>
      </w:pPr>
      <w:hyperlink r:id="rId13">
        <w:r>
          <w:rPr>
            <w:color w:val="27635C"/>
            <w:u w:val="single"/>
            <w:rFonts w:ascii="Calibri" w:hAnsi="Calibri"/>
            <w:sz w:val="19"/>
          </w:rPr>
          <w:t>Illinois Secretary of State - New resident guide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- 90-day driving window</w:t>
      </w:r>
    </w:p>
    <w:p>
      <w:pPr>
        <w:spacing w:after="80"/>
        <w:ind w:left="259"/>
      </w:pPr>
      <w:hyperlink r:id="rId14">
        <w:r>
          <w:rPr>
            <w:color w:val="27635C"/>
            <w:u w:val="single"/>
            <w:rFonts w:ascii="Calibri" w:hAnsi="Calibri"/>
            <w:sz w:val="19"/>
          </w:rPr>
          <w:t>New Jersey MVC - Moving to New Jersey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- 60 days or earlier expiry</w:t>
      </w:r>
    </w:p>
    <w:p>
      <w:pPr>
        <w:spacing w:after="80"/>
        <w:ind w:left="259"/>
      </w:pPr>
      <w:hyperlink r:id="rId15">
        <w:r>
          <w:rPr>
            <w:color w:val="27635C"/>
            <w:u w:val="single"/>
            <w:rFonts w:ascii="Calibri" w:hAnsi="Calibri"/>
            <w:sz w:val="19"/>
          </w:rPr>
          <w:t>HealthCare.gov - Special Enrollment Periods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move and coverage rules</w:t>
      </w:r>
    </w:p>
    <w:p>
      <w:pPr>
        <w:spacing w:after="80"/>
        <w:ind w:left="259"/>
      </w:pPr>
      <w:hyperlink r:id="rId16">
        <w:r>
          <w:rPr>
            <w:color w:val="27635C"/>
            <w:u w:val="single"/>
            <w:rFonts w:ascii="Calibri" w:hAnsi="Calibri"/>
            <w:sz w:val="19"/>
          </w:rPr>
          <w:t>Get Covered Illinois - Qualifying life events</w:t>
        </w:r>
      </w:hyperlink>
      <w:r>
        <w:rPr>
          <w:rFonts w:ascii="Calibri" w:hAnsi="Calibri"/>
          <w:b w:val="0"/>
          <w:i w:val="0"/>
          <w:color w:val="60736F"/>
          <w:sz w:val="19"/>
        </w:rPr>
        <w:t xml:space="preserve"> - 60 days after moving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0736F"/>
        <w:sz w:val="16"/>
      </w:rPr>
      <w:t xml:space="preserve">MigrantLife AI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27635C"/>
        <w:sz w:val="16"/>
      </w:rPr>
      <w:t>MIGRANTLIFE AI</w:t>
    </w:r>
    <w:r>
      <w:rPr>
        <w:rFonts w:ascii="Calibri" w:hAnsi="Calibri"/>
        <w:b w:val="0"/>
        <w:i w:val="0"/>
        <w:color w:val="60736F"/>
        <w:sz w:val="16"/>
      </w:rPr>
      <w:t xml:space="preserve">   VERIFIED NEWCOMER NAVIGATION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763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763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mv.ca.gov/portal/file/fast-facts-5-requirements-for-a-california-drivers-license/" TargetMode="External"/><Relationship Id="rId12" Type="http://schemas.openxmlformats.org/officeDocument/2006/relationships/hyperlink" Target="https://www.dps.texas.gov/section/driver-license/moving-texas-guide-driver-licenses-and-ids" TargetMode="External"/><Relationship Id="rId13" Type="http://schemas.openxmlformats.org/officeDocument/2006/relationships/hyperlink" Target="https://www.ilsos.gov/services/newresidents/newresidentshowdoi.html" TargetMode="External"/><Relationship Id="rId14" Type="http://schemas.openxmlformats.org/officeDocument/2006/relationships/hyperlink" Target="https://www.nj.gov/mvc/drivertopics/movetonj.htm" TargetMode="External"/><Relationship Id="rId15" Type="http://schemas.openxmlformats.org/officeDocument/2006/relationships/hyperlink" Target="https://www.healthcare.gov/coverage-outside-open-enrollment/special-enrollment-period/" TargetMode="External"/><Relationship Id="rId16" Type="http://schemas.openxmlformats.org/officeDocument/2006/relationships/hyperlink" Target="https://getcovered.illinois.gov/get-started/specialenrollment/qualifying-life-ev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