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5FEF" w14:textId="7A485BA9" w:rsidR="00BB01FA" w:rsidRDefault="00046470">
      <w:hyperlink r:id="rId7" w:history="1">
        <w:r w:rsidRPr="00994C2B">
          <w:rPr>
            <w:rStyle w:val="Hipercze"/>
          </w:rPr>
          <w:t>https://www.jstor.org/stable/26593277?seq=1</w:t>
        </w:r>
      </w:hyperlink>
    </w:p>
    <w:p w14:paraId="0206FD04" w14:textId="77777777" w:rsidR="00046470" w:rsidRDefault="00046470"/>
    <w:p w14:paraId="534162F5" w14:textId="157694A9" w:rsidR="00046470" w:rsidRDefault="00046470">
      <w:r>
        <w:t>Speculating on Asian Security 2013-2033</w:t>
      </w:r>
    </w:p>
    <w:p w14:paraId="6E0A0123" w14:textId="75995761" w:rsidR="00046470" w:rsidRDefault="00046470">
      <w:r>
        <w:t>Takashi Inoguchi</w:t>
      </w:r>
    </w:p>
    <w:p w14:paraId="013C6216" w14:textId="77777777" w:rsidR="00EC4A72" w:rsidRDefault="00EC4A72"/>
    <w:p w14:paraId="7C996A99" w14:textId="26A8137D" w:rsidR="00EC4A72" w:rsidRPr="00EC4A72" w:rsidRDefault="00EC4A72">
      <w:pPr>
        <w:rPr>
          <w:lang w:val="en-US"/>
        </w:rPr>
      </w:pPr>
      <w:r w:rsidRPr="00EC4A72">
        <w:rPr>
          <w:lang w:val="en-US"/>
        </w:rPr>
        <w:t>The article is not v</w:t>
      </w:r>
      <w:r>
        <w:rPr>
          <w:lang w:val="en-US"/>
        </w:rPr>
        <w:t>ery deep, nor it presents itself on any grounded theoretical level in world of IR. Author assumes by default that (neo)realism is the default way of analysing the word, which can be agreed with in a matter of security problems. Speculations give interesting insights from a perspective of over decade ago, showing that China is playing their hands exceptionally good, better than anticipaited, US plays down bad and Japan mostly pass (author states that Japan is procrastinaiting and it can be observed that given state doesn’t change a lot in 2026).</w:t>
      </w:r>
    </w:p>
    <w:p w14:paraId="7F7944C2" w14:textId="0070E5F7" w:rsidR="00046470" w:rsidRPr="007333EF" w:rsidRDefault="007333EF">
      <w:pPr>
        <w:rPr>
          <w:lang w:val="en-US"/>
        </w:rPr>
      </w:pPr>
      <w:r w:rsidRPr="007333EF">
        <w:rPr>
          <w:lang w:val="en-US"/>
        </w:rPr>
        <w:t>- why 2033? Because it is e</w:t>
      </w:r>
      <w:r>
        <w:rPr>
          <w:lang w:val="en-US"/>
        </w:rPr>
        <w:t>stimaited (by many forecast… no source) that Asian GDP will account for 50% of worlds GDP in that year.</w:t>
      </w:r>
    </w:p>
    <w:p w14:paraId="10A87CFE" w14:textId="3D7E416F" w:rsidR="00046470" w:rsidRDefault="008526A0">
      <w:pPr>
        <w:rPr>
          <w:lang w:val="en-US"/>
        </w:rPr>
      </w:pPr>
      <w:r w:rsidRPr="008526A0">
        <w:rPr>
          <w:lang w:val="en-US"/>
        </w:rPr>
        <w:t>- Speculation on power competition between U</w:t>
      </w:r>
      <w:r>
        <w:rPr>
          <w:lang w:val="en-US"/>
        </w:rPr>
        <w:t>S, China and Japan</w:t>
      </w:r>
    </w:p>
    <w:p w14:paraId="1DA6AF0E" w14:textId="4A18A166" w:rsidR="00D3570E" w:rsidRDefault="00D3570E">
      <w:pPr>
        <w:rPr>
          <w:lang w:val="en-US"/>
        </w:rPr>
      </w:pPr>
      <w:r>
        <w:rPr>
          <w:lang w:val="en-US"/>
        </w:rPr>
        <w:t>- It is based on previous work</w:t>
      </w:r>
      <w:r w:rsidR="00622491">
        <w:rPr>
          <w:rStyle w:val="Odwoanieprzypisudolnego"/>
          <w:lang w:val="en-US"/>
        </w:rPr>
        <w:footnoteReference w:id="1"/>
      </w:r>
      <w:r>
        <w:rPr>
          <w:lang w:val="en-US"/>
        </w:rPr>
        <w:t xml:space="preserve"> which analysis strategies of balance of power, collective security and strategy of primacy</w:t>
      </w:r>
    </w:p>
    <w:p w14:paraId="46EEC5A7" w14:textId="199D0A67" w:rsidR="0044619B" w:rsidRDefault="00D74CCC">
      <w:pPr>
        <w:rPr>
          <w:lang w:val="en-US"/>
        </w:rPr>
      </w:pPr>
      <w:r>
        <w:rPr>
          <w:lang w:val="en-US"/>
        </w:rPr>
        <w:t>- 3 main objectives of those 20 years wil be Primacy for US, Peace for Japan and Equality (in what? Power distribution?) for China.</w:t>
      </w:r>
    </w:p>
    <w:p w14:paraId="532F6BBE" w14:textId="752A6240" w:rsidR="0029343A" w:rsidRDefault="0029343A">
      <w:pPr>
        <w:rPr>
          <w:lang w:val="en-US"/>
        </w:rPr>
      </w:pPr>
      <w:r>
        <w:rPr>
          <w:lang w:val="en-US"/>
        </w:rPr>
        <w:t>- Coercion of western power that forced Japan to open its market could be described, from a perspective of Tokugawan Shogunate, as the forefeiture of sovereignty in customs policy.</w:t>
      </w:r>
    </w:p>
    <w:p w14:paraId="2C0CD3B3" w14:textId="718E31F3" w:rsidR="009F6AD2" w:rsidRDefault="009F6AD2">
      <w:pPr>
        <w:rPr>
          <w:lang w:val="en-US"/>
        </w:rPr>
      </w:pPr>
      <w:r>
        <w:rPr>
          <w:lang w:val="en-US"/>
        </w:rPr>
        <w:t xml:space="preserve">- Jianqing Huidan chronicles categorise foreign countries into two categories: tributary </w:t>
      </w:r>
      <w:r w:rsidR="00B86BDE">
        <w:rPr>
          <w:lang w:val="en-US"/>
        </w:rPr>
        <w:t>(Vietnam, Korea, England?</w:t>
      </w:r>
      <w:r w:rsidR="00073BA1">
        <w:rPr>
          <w:lang w:val="en-US"/>
        </w:rPr>
        <w:t xml:space="preserve"> [as the British diplomats perform kowtow to the Chinese Emperor]</w:t>
      </w:r>
      <w:r w:rsidR="00B86BDE">
        <w:rPr>
          <w:lang w:val="en-US"/>
        </w:rPr>
        <w:t xml:space="preserve"> </w:t>
      </w:r>
      <w:r>
        <w:rPr>
          <w:lang w:val="en-US"/>
        </w:rPr>
        <w:t>and tradin</w:t>
      </w:r>
      <w:r w:rsidR="00B86BDE">
        <w:rPr>
          <w:lang w:val="en-US"/>
        </w:rPr>
        <w:t>g (Netherlands, France, Japan</w:t>
      </w:r>
      <w:r w:rsidR="00115B6A">
        <w:rPr>
          <w:lang w:val="en-US"/>
        </w:rPr>
        <w:t xml:space="preserve"> (even if trade was happening only in Deshiuma, Nagasaki</w:t>
      </w:r>
      <w:r w:rsidR="00B86BDE">
        <w:rPr>
          <w:lang w:val="en-US"/>
        </w:rPr>
        <w:t>)</w:t>
      </w:r>
    </w:p>
    <w:p w14:paraId="1F2FD71F" w14:textId="0F31B324" w:rsidR="00B74AE1" w:rsidRDefault="00B74AE1">
      <w:pPr>
        <w:rPr>
          <w:lang w:val="en-US"/>
        </w:rPr>
      </w:pPr>
      <w:r>
        <w:rPr>
          <w:lang w:val="en-US"/>
        </w:rPr>
        <w:t xml:space="preserve">- Why of the reasons for nations fall are extractive political and economic institutions (corruption/spoil taking) </w:t>
      </w:r>
    </w:p>
    <w:p w14:paraId="48160258" w14:textId="3E498BC3" w:rsidR="002770A3" w:rsidRDefault="002770A3">
      <w:pPr>
        <w:rPr>
          <w:lang w:val="en-US"/>
        </w:rPr>
      </w:pPr>
      <w:r>
        <w:rPr>
          <w:lang w:val="en-US"/>
        </w:rPr>
        <w:lastRenderedPageBreak/>
        <w:t>- In China, states supports (during crisises) state companies, not private one which keep power in hands of the state. Moreover, all land in china is or can be a property of the state.</w:t>
      </w:r>
    </w:p>
    <w:p w14:paraId="572FC187" w14:textId="16A64819" w:rsidR="00BD4045" w:rsidRDefault="00BD4045">
      <w:pPr>
        <w:rPr>
          <w:lang w:val="en-US"/>
        </w:rPr>
      </w:pPr>
      <w:r>
        <w:rPr>
          <w:lang w:val="en-US"/>
        </w:rPr>
        <w:t>- The Author suspected the fall of China’s growth as the opportunities for low tech development has ended (yet, future showed that china got theirs own know-how)</w:t>
      </w:r>
    </w:p>
    <w:p w14:paraId="5AC78130" w14:textId="4643396D" w:rsidR="00DB4058" w:rsidRDefault="00C5735B">
      <w:pPr>
        <w:rPr>
          <w:lang w:val="en-US"/>
        </w:rPr>
      </w:pPr>
      <w:r>
        <w:rPr>
          <w:lang w:val="en-US"/>
        </w:rPr>
        <w:t>- Author also stands on the position, that cuts in defence funding (during Obamas administration) will undermine military advantage that US have vs China.</w:t>
      </w:r>
      <w:r w:rsidR="00DB4058">
        <w:rPr>
          <w:lang w:val="en-US"/>
        </w:rPr>
        <w:t xml:space="preserve"> (and the gap in capabilities, on paper, shrinked. Yet IMO it is more related to constant development of logistical and productive capabilities in China (plus new hi-tech solutions) as much as terrible modernization programs in US (basically all the navy modernization programs and you cant by a naval super power if you cant produce ships).</w:t>
      </w:r>
    </w:p>
    <w:p w14:paraId="1AD5B937" w14:textId="1D3D3C98" w:rsidR="00B41EB7" w:rsidRDefault="00B41EB7">
      <w:pPr>
        <w:rPr>
          <w:lang w:val="en-US"/>
        </w:rPr>
      </w:pPr>
      <w:r>
        <w:rPr>
          <w:lang w:val="en-US"/>
        </w:rPr>
        <w:t>- Concept of ASB – air-sea battle was designed to help US deal with challenges to anti-acces/area denial challenges (author doesn’t seems to envision here ideas of US enforcing A2/AD whici looks strange from historical perspective, US used blocing power of the navy before… and comical from 2026 perspective where they have problems with dealing with Houthis and Iranian situation.</w:t>
      </w:r>
    </w:p>
    <w:p w14:paraId="4F68D427" w14:textId="3064BAF5" w:rsidR="006860AA" w:rsidRDefault="006860AA">
      <w:pPr>
        <w:rPr>
          <w:lang w:val="en-US"/>
        </w:rPr>
      </w:pPr>
      <w:r>
        <w:rPr>
          <w:lang w:val="en-US"/>
        </w:rPr>
        <w:t>- Options for the US are: Apeasment, Standing tall policy or burden sharing. From perspective of time we can say that chosen strategy is, for now, standing tall combined with burden throwing (at ‘allies/clients’), which will result in at least accommodation with China.</w:t>
      </w:r>
    </w:p>
    <w:p w14:paraId="120A4AA2" w14:textId="2BFA9B27" w:rsidR="00451CD1" w:rsidRDefault="00451CD1">
      <w:pPr>
        <w:rPr>
          <w:lang w:val="en-US"/>
        </w:rPr>
      </w:pPr>
      <w:r>
        <w:rPr>
          <w:lang w:val="en-US"/>
        </w:rPr>
        <w:t>- What does it means ‘dialectical movements’?</w:t>
      </w:r>
    </w:p>
    <w:p w14:paraId="1A04D154" w14:textId="61DCAF19" w:rsidR="00943DFB" w:rsidRDefault="00943DFB">
      <w:pPr>
        <w:rPr>
          <w:lang w:val="en-US"/>
        </w:rPr>
      </w:pPr>
      <w:r>
        <w:rPr>
          <w:lang w:val="en-US"/>
        </w:rPr>
        <w:t>- Japanese are slow to make decisions (in politics) and a lot of actors seems to have the veto power???</w:t>
      </w:r>
    </w:p>
    <w:p w14:paraId="2664C6B1" w14:textId="7586FC78" w:rsidR="00E02278" w:rsidRDefault="00E02278">
      <w:pPr>
        <w:rPr>
          <w:lang w:val="en-US"/>
        </w:rPr>
      </w:pPr>
      <w:r>
        <w:rPr>
          <w:lang w:val="en-US"/>
        </w:rPr>
        <w:t xml:space="preserve">- Possible ideas on how to re-create a sphare of security in Japanesee surroundings, for Japan are not set or even properly discussed but could be focused into few options: Neutrality without military build-up, neutrality with significant military build-up, neutrality with pursuing nuclear capabilities )they already have  autonomous fuel processing capabilities), alliance with the US while keeping cooperation with China (huh?), Regional system of the cooperation (Asiatic NATO? Co-Prosperity Sphere 2 Electric Bugaloo?) with exclusion of the US and UE, ‘another scheme’?? The research at time showed that option 1,2,3 (neutrality) have support of over 50% of population with option 3 (nuclear) have the biggest support of 25%. </w:t>
      </w:r>
    </w:p>
    <w:p w14:paraId="671949FD" w14:textId="77777777" w:rsidR="00B41EB7" w:rsidRPr="008526A0" w:rsidRDefault="00B41EB7">
      <w:pPr>
        <w:rPr>
          <w:lang w:val="en-US"/>
        </w:rPr>
      </w:pPr>
    </w:p>
    <w:sectPr w:rsidR="00B41EB7" w:rsidRPr="008526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05765" w14:textId="77777777" w:rsidR="00E62CF9" w:rsidRDefault="00E62CF9" w:rsidP="00622491">
      <w:pPr>
        <w:spacing w:after="0" w:line="240" w:lineRule="auto"/>
      </w:pPr>
      <w:r>
        <w:separator/>
      </w:r>
    </w:p>
  </w:endnote>
  <w:endnote w:type="continuationSeparator" w:id="0">
    <w:p w14:paraId="4FE2CDC3" w14:textId="77777777" w:rsidR="00E62CF9" w:rsidRDefault="00E62CF9" w:rsidP="00622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988F" w14:textId="77777777" w:rsidR="00E62CF9" w:rsidRDefault="00E62CF9" w:rsidP="00622491">
      <w:pPr>
        <w:spacing w:after="0" w:line="240" w:lineRule="auto"/>
      </w:pPr>
      <w:r>
        <w:separator/>
      </w:r>
    </w:p>
  </w:footnote>
  <w:footnote w:type="continuationSeparator" w:id="0">
    <w:p w14:paraId="3157994C" w14:textId="77777777" w:rsidR="00E62CF9" w:rsidRDefault="00E62CF9" w:rsidP="00622491">
      <w:pPr>
        <w:spacing w:after="0" w:line="240" w:lineRule="auto"/>
      </w:pPr>
      <w:r>
        <w:continuationSeparator/>
      </w:r>
    </w:p>
  </w:footnote>
  <w:footnote w:id="1">
    <w:p w14:paraId="1C9BC7DD" w14:textId="77777777" w:rsidR="00622491" w:rsidRPr="00622491" w:rsidRDefault="00622491" w:rsidP="00622491">
      <w:pPr>
        <w:pStyle w:val="Tekstprzypisudolnego"/>
        <w:rPr>
          <w:lang w:val="en-US"/>
        </w:rPr>
      </w:pPr>
      <w:r>
        <w:rPr>
          <w:rStyle w:val="Odwoanieprzypisudolnego"/>
        </w:rPr>
        <w:footnoteRef/>
      </w:r>
      <w:r w:rsidRPr="00622491">
        <w:rPr>
          <w:lang w:val="en-US"/>
        </w:rPr>
        <w:t xml:space="preserve"> </w:t>
      </w:r>
      <w:r w:rsidRPr="00622491">
        <w:rPr>
          <w:lang w:val="en-US"/>
        </w:rPr>
        <w:t>Takashi Inoguchi ‘World Order Debates in the Twentieth Century: Through the Eyes of the Two-level Game</w:t>
      </w:r>
    </w:p>
    <w:p w14:paraId="1F4F3677" w14:textId="77777777" w:rsidR="00622491" w:rsidRPr="00622491" w:rsidRDefault="00622491" w:rsidP="00622491">
      <w:pPr>
        <w:pStyle w:val="Tekstprzypisudolnego"/>
        <w:rPr>
          <w:lang w:val="en-US"/>
        </w:rPr>
      </w:pPr>
      <w:r w:rsidRPr="00622491">
        <w:rPr>
          <w:lang w:val="en-US"/>
        </w:rPr>
        <w:t>and Second Image ( Reversed )’ The Chinese Journal of International Politics, Vol.3, No. 2, 2010 Summer,</w:t>
      </w:r>
    </w:p>
    <w:p w14:paraId="2DF49F85" w14:textId="3CE92A27" w:rsidR="00622491" w:rsidRDefault="00622491" w:rsidP="00622491">
      <w:pPr>
        <w:pStyle w:val="Tekstprzypisudolnego"/>
      </w:pPr>
      <w:r>
        <w:t>pp.155–188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BE"/>
    <w:rsid w:val="00010525"/>
    <w:rsid w:val="00046470"/>
    <w:rsid w:val="00073BA1"/>
    <w:rsid w:val="00115B6A"/>
    <w:rsid w:val="0017407F"/>
    <w:rsid w:val="002770A3"/>
    <w:rsid w:val="0029343A"/>
    <w:rsid w:val="0044619B"/>
    <w:rsid w:val="00451CD1"/>
    <w:rsid w:val="0054301E"/>
    <w:rsid w:val="00622491"/>
    <w:rsid w:val="006860AA"/>
    <w:rsid w:val="007333EF"/>
    <w:rsid w:val="008526A0"/>
    <w:rsid w:val="008707DA"/>
    <w:rsid w:val="00943DFB"/>
    <w:rsid w:val="009F6AD2"/>
    <w:rsid w:val="00A316BE"/>
    <w:rsid w:val="00B41EB7"/>
    <w:rsid w:val="00B74AE1"/>
    <w:rsid w:val="00B86BDE"/>
    <w:rsid w:val="00BB01FA"/>
    <w:rsid w:val="00BD4045"/>
    <w:rsid w:val="00BE558D"/>
    <w:rsid w:val="00C5735B"/>
    <w:rsid w:val="00D3570E"/>
    <w:rsid w:val="00D73D0C"/>
    <w:rsid w:val="00D74CCC"/>
    <w:rsid w:val="00DB4058"/>
    <w:rsid w:val="00E02278"/>
    <w:rsid w:val="00E62CF9"/>
    <w:rsid w:val="00EC4A72"/>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DB93"/>
  <w15:chartTrackingRefBased/>
  <w15:docId w15:val="{F16C5727-A30A-4F80-969E-5F12B617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31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31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316B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316B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316B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316B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316B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316B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316B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316B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316B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316B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316B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316B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316B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316B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316B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316BE"/>
    <w:rPr>
      <w:rFonts w:eastAsiaTheme="majorEastAsia" w:cstheme="majorBidi"/>
      <w:color w:val="272727" w:themeColor="text1" w:themeTint="D8"/>
    </w:rPr>
  </w:style>
  <w:style w:type="paragraph" w:styleId="Tytu">
    <w:name w:val="Title"/>
    <w:basedOn w:val="Normalny"/>
    <w:next w:val="Normalny"/>
    <w:link w:val="TytuZnak"/>
    <w:uiPriority w:val="10"/>
    <w:qFormat/>
    <w:rsid w:val="00A31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316B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316B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316B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316BE"/>
    <w:pPr>
      <w:spacing w:before="160"/>
      <w:jc w:val="center"/>
    </w:pPr>
    <w:rPr>
      <w:i/>
      <w:iCs/>
      <w:color w:val="404040" w:themeColor="text1" w:themeTint="BF"/>
    </w:rPr>
  </w:style>
  <w:style w:type="character" w:customStyle="1" w:styleId="CytatZnak">
    <w:name w:val="Cytat Znak"/>
    <w:basedOn w:val="Domylnaczcionkaakapitu"/>
    <w:link w:val="Cytat"/>
    <w:uiPriority w:val="29"/>
    <w:rsid w:val="00A316BE"/>
    <w:rPr>
      <w:i/>
      <w:iCs/>
      <w:color w:val="404040" w:themeColor="text1" w:themeTint="BF"/>
    </w:rPr>
  </w:style>
  <w:style w:type="paragraph" w:styleId="Akapitzlist">
    <w:name w:val="List Paragraph"/>
    <w:basedOn w:val="Normalny"/>
    <w:uiPriority w:val="34"/>
    <w:qFormat/>
    <w:rsid w:val="00A316BE"/>
    <w:pPr>
      <w:ind w:left="720"/>
      <w:contextualSpacing/>
    </w:pPr>
  </w:style>
  <w:style w:type="character" w:styleId="Wyrnienieintensywne">
    <w:name w:val="Intense Emphasis"/>
    <w:basedOn w:val="Domylnaczcionkaakapitu"/>
    <w:uiPriority w:val="21"/>
    <w:qFormat/>
    <w:rsid w:val="00A316BE"/>
    <w:rPr>
      <w:i/>
      <w:iCs/>
      <w:color w:val="0F4761" w:themeColor="accent1" w:themeShade="BF"/>
    </w:rPr>
  </w:style>
  <w:style w:type="paragraph" w:styleId="Cytatintensywny">
    <w:name w:val="Intense Quote"/>
    <w:basedOn w:val="Normalny"/>
    <w:next w:val="Normalny"/>
    <w:link w:val="CytatintensywnyZnak"/>
    <w:uiPriority w:val="30"/>
    <w:qFormat/>
    <w:rsid w:val="00A31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316BE"/>
    <w:rPr>
      <w:i/>
      <w:iCs/>
      <w:color w:val="0F4761" w:themeColor="accent1" w:themeShade="BF"/>
    </w:rPr>
  </w:style>
  <w:style w:type="character" w:styleId="Odwoanieintensywne">
    <w:name w:val="Intense Reference"/>
    <w:basedOn w:val="Domylnaczcionkaakapitu"/>
    <w:uiPriority w:val="32"/>
    <w:qFormat/>
    <w:rsid w:val="00A316BE"/>
    <w:rPr>
      <w:b/>
      <w:bCs/>
      <w:smallCaps/>
      <w:color w:val="0F4761" w:themeColor="accent1" w:themeShade="BF"/>
      <w:spacing w:val="5"/>
    </w:rPr>
  </w:style>
  <w:style w:type="character" w:styleId="Hipercze">
    <w:name w:val="Hyperlink"/>
    <w:basedOn w:val="Domylnaczcionkaakapitu"/>
    <w:uiPriority w:val="99"/>
    <w:unhideWhenUsed/>
    <w:rsid w:val="00046470"/>
    <w:rPr>
      <w:color w:val="467886" w:themeColor="hyperlink"/>
      <w:u w:val="single"/>
    </w:rPr>
  </w:style>
  <w:style w:type="character" w:styleId="Nierozpoznanawzmianka">
    <w:name w:val="Unresolved Mention"/>
    <w:basedOn w:val="Domylnaczcionkaakapitu"/>
    <w:uiPriority w:val="99"/>
    <w:semiHidden/>
    <w:unhideWhenUsed/>
    <w:rsid w:val="00046470"/>
    <w:rPr>
      <w:color w:val="605E5C"/>
      <w:shd w:val="clear" w:color="auto" w:fill="E1DFDD"/>
    </w:rPr>
  </w:style>
  <w:style w:type="paragraph" w:styleId="Tekstprzypisudolnego">
    <w:name w:val="footnote text"/>
    <w:basedOn w:val="Normalny"/>
    <w:link w:val="TekstprzypisudolnegoZnak"/>
    <w:uiPriority w:val="99"/>
    <w:semiHidden/>
    <w:unhideWhenUsed/>
    <w:rsid w:val="00622491"/>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622491"/>
    <w:rPr>
      <w:sz w:val="20"/>
      <w:szCs w:val="20"/>
    </w:rPr>
  </w:style>
  <w:style w:type="character" w:styleId="Odwoanieprzypisudolnego">
    <w:name w:val="footnote reference"/>
    <w:basedOn w:val="Domylnaczcionkaakapitu"/>
    <w:uiPriority w:val="99"/>
    <w:semiHidden/>
    <w:unhideWhenUsed/>
    <w:rsid w:val="006224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stor.org/stable/26593277?seq=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BBDB0-5655-435C-BAD4-6A53BF783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Pages>
  <Words>590</Words>
  <Characters>3543</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24</cp:revision>
  <dcterms:created xsi:type="dcterms:W3CDTF">2026-04-22T08:03:00Z</dcterms:created>
  <dcterms:modified xsi:type="dcterms:W3CDTF">2026-04-22T14:44:00Z</dcterms:modified>
</cp:coreProperties>
</file>