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PROJECT INFERNO</w:t>
      </w:r>
    </w:p>
    <w:p>
      <w:pPr>
        <w:jc w:val="center"/>
      </w:pPr>
      <w:r>
        <w:rPr>
          <w:b/>
          <w:sz w:val="36"/>
        </w:rPr>
        <w:t>AI Agent Integration Architecture</w:t>
      </w:r>
    </w:p>
    <w:p>
      <w:pPr>
        <w:jc w:val="center"/>
      </w:pPr>
      <w:r>
        <w:rPr>
          <w:sz w:val="21"/>
        </w:rPr>
        <w:t>Normative rules for building and evolving the boundaries between Web, API, Domain, PostgreSQL and Game Workers</w:t>
      </w:r>
    </w:p>
    <w:tbl>
      <w:tblPr>
        <w:tblStyle w:val="TableGrid"/>
        <w:tblW w:type="auto" w:w="0"/>
        <w:jc w:val="center"/>
        <w:tblLook w:firstColumn="1" w:firstRow="1" w:lastColumn="0" w:lastRow="0" w:noHBand="0" w:noVBand="1" w:val="04A0"/>
      </w:tblPr>
      <w:tblGrid>
        <w:gridCol w:w="5083"/>
        <w:gridCol w:w="5083"/>
      </w:tblGrid>
      <w:tr>
        <w:tc>
          <w:tcPr>
            <w:tcW w:type="dxa" w:w="2088"/>
            <w:shd w:fill="DCEAF7"/>
          </w:tcPr>
          <w:p>
            <w:r>
              <w:rPr>
                <w:b/>
                <w:sz w:val="16"/>
              </w:rPr>
              <w:t>Property</w:t>
            </w:r>
          </w:p>
        </w:tc>
        <w:tc>
          <w:tcPr>
            <w:tcW w:type="dxa" w:w="7560"/>
            <w:shd w:fill="DCEAF7"/>
          </w:tcPr>
          <w:p>
            <w:r>
              <w:rPr>
                <w:b/>
                <w:sz w:val="16"/>
              </w:rPr>
              <w:t>Definition</w:t>
            </w:r>
          </w:p>
        </w:tc>
      </w:tr>
      <w:tr>
        <w:tc>
          <w:tcPr>
            <w:tcW w:type="dxa" w:w="2088"/>
            <w:vAlign w:val="top"/>
          </w:tcPr>
          <w:p>
            <w:r>
              <w:rPr>
                <w:sz w:val="15"/>
              </w:rPr>
              <w:t>Primary audience</w:t>
            </w:r>
          </w:p>
        </w:tc>
        <w:tc>
          <w:tcPr>
            <w:tcW w:type="dxa" w:w="7560"/>
            <w:vAlign w:val="top"/>
          </w:tcPr>
          <w:p>
            <w:r>
              <w:rPr>
                <w:sz w:val="15"/>
              </w:rPr>
              <w:t>AI coding agents first; human engineers and reviewers second.</w:t>
            </w:r>
          </w:p>
        </w:tc>
      </w:tr>
      <w:tr>
        <w:tc>
          <w:tcPr>
            <w:tcW w:type="dxa" w:w="2088"/>
            <w:vAlign w:val="top"/>
          </w:tcPr>
          <w:p>
            <w:r>
              <w:rPr>
                <w:sz w:val="15"/>
              </w:rPr>
              <w:t>Purpose</w:t>
            </w:r>
          </w:p>
        </w:tc>
        <w:tc>
          <w:tcPr>
            <w:tcW w:type="dxa" w:w="7560"/>
            <w:vAlign w:val="top"/>
          </w:tcPr>
          <w:p>
            <w:r>
              <w:rPr>
                <w:sz w:val="15"/>
              </w:rPr>
              <w:t>Prevent architectural drift and ensure independently generated frontend, backend, database and worker code integrates as one system.</w:t>
            </w:r>
          </w:p>
        </w:tc>
      </w:tr>
      <w:tr>
        <w:tc>
          <w:tcPr>
            <w:tcW w:type="dxa" w:w="2088"/>
            <w:vAlign w:val="top"/>
          </w:tcPr>
          <w:p>
            <w:r>
              <w:rPr>
                <w:sz w:val="15"/>
              </w:rPr>
              <w:t>Repository assumption</w:t>
            </w:r>
          </w:p>
        </w:tc>
        <w:tc>
          <w:tcPr>
            <w:tcW w:type="dxa" w:w="7560"/>
            <w:vAlign w:val="top"/>
          </w:tcPr>
          <w:p>
            <w:r>
              <w:rPr>
                <w:sz w:val="15"/>
              </w:rPr>
              <w:t>Single TypeScript monorepo unless an ADR explicitly changes this.</w:t>
            </w:r>
          </w:p>
        </w:tc>
      </w:tr>
      <w:tr>
        <w:tc>
          <w:tcPr>
            <w:tcW w:type="dxa" w:w="2088"/>
            <w:vAlign w:val="top"/>
          </w:tcPr>
          <w:p>
            <w:r>
              <w:rPr>
                <w:sz w:val="15"/>
              </w:rPr>
              <w:t>Baseline stack</w:t>
            </w:r>
          </w:p>
        </w:tc>
        <w:tc>
          <w:tcPr>
            <w:tcW w:type="dxa" w:w="7560"/>
            <w:vAlign w:val="top"/>
          </w:tcPr>
          <w:p>
            <w:r>
              <w:rPr>
                <w:sz w:val="15"/>
              </w:rPr>
              <w:t>Web application; Node.js + TypeScript API; PostgreSQL; Redis for disposable/ephemeral state; Node.js workers.</w:t>
            </w:r>
          </w:p>
        </w:tc>
      </w:tr>
      <w:tr>
        <w:tc>
          <w:tcPr>
            <w:tcW w:type="dxa" w:w="2088"/>
            <w:vAlign w:val="top"/>
          </w:tcPr>
          <w:p>
            <w:r>
              <w:rPr>
                <w:sz w:val="15"/>
              </w:rPr>
              <w:t>Authority</w:t>
            </w:r>
          </w:p>
        </w:tc>
        <w:tc>
          <w:tcPr>
            <w:tcW w:type="dxa" w:w="7560"/>
            <w:vAlign w:val="top"/>
          </w:tcPr>
          <w:p>
            <w:r>
              <w:rPr>
                <w:sz w:val="15"/>
              </w:rPr>
              <w:t>This document is normative. MUST / MUST NOT indicate hard constraints. SHOULD indicates the default unless a documented reason exists.</w:t>
            </w:r>
          </w:p>
        </w:tc>
      </w:tr>
      <w:tr>
        <w:tc>
          <w:tcPr>
            <w:tcW w:type="dxa" w:w="2088"/>
            <w:vAlign w:val="top"/>
          </w:tcPr>
          <w:p>
            <w:r>
              <w:rPr>
                <w:sz w:val="15"/>
              </w:rPr>
              <w:t>Related document</w:t>
            </w:r>
          </w:p>
        </w:tc>
        <w:tc>
          <w:tcPr>
            <w:tcW w:type="dxa" w:w="7560"/>
            <w:vAlign w:val="top"/>
          </w:tcPr>
          <w:p>
            <w:r>
              <w:rPr>
                <w:sz w:val="15"/>
              </w:rPr>
              <w:t>Project Inferno High-Level Backend Architecture Blueprint.</w:t>
            </w:r>
          </w:p>
        </w:tc>
      </w:tr>
    </w:tbl>
    <w:p/>
    <w:p>
      <w:pPr>
        <w:pStyle w:val="Heading1"/>
      </w:pPr>
      <w:r>
        <w:t>1. Agent Prime Directive</w:t>
      </w:r>
    </w:p>
    <w:p>
      <w:r>
        <w:t>Do not implement a feature as an isolated frontend task, backend task, database task or worker task. Implement the smallest complete vertical slice that preserves the contracts between layers. Before changing code, identify every boundary crossed by the feature and update the owning artifact for each boundary.</w:t>
      </w:r>
    </w:p>
    <w:p>
      <w:pPr>
        <w:spacing w:before="60" w:after="100"/>
        <w:ind w:left="259"/>
      </w:pPr>
      <w:r>
        <w:rPr>
          <w:rFonts w:ascii="Liberation Mono" w:hAnsi="Liberation Mono"/>
          <w:sz w:val="15"/>
        </w:rPr>
        <w:t>Required dependency direction</w:t>
        <w:br/>
        <w:br/>
        <w:t>Web UI</w:t>
        <w:br/>
        <w:t xml:space="preserve">  |</w:t>
        <w:br/>
        <w:t xml:space="preserve">  v</w:t>
        <w:br/>
        <w:t>Typed API Client</w:t>
        <w:br/>
        <w:t xml:space="preserve">  |</w:t>
        <w:br/>
        <w:t xml:space="preserve">  v</w:t>
        <w:br/>
        <w:t>API Contracts  &lt;---------------- single transport contract source</w:t>
        <w:br/>
        <w:t xml:space="preserve">  |</w:t>
        <w:br/>
        <w:t xml:space="preserve">  v</w:t>
        <w:br/>
        <w:t>API Application Layer</w:t>
        <w:br/>
        <w:t xml:space="preserve">  |</w:t>
        <w:br/>
        <w:t xml:space="preserve">  v</w:t>
        <w:br/>
        <w:t>Domain / Game Core  &lt;------------ business rules, deterministic logic</w:t>
        <w:br/>
        <w:t xml:space="preserve">  |</w:t>
        <w:br/>
        <w:t xml:space="preserve">  v</w:t>
        <w:br/>
        <w:t>Repositories / Persistence Ports</w:t>
        <w:br/>
        <w:t xml:space="preserve">  |</w:t>
        <w:br/>
        <w:t xml:space="preserve">  v</w:t>
        <w:br/>
        <w:t>PostgreSQL</w:t>
        <w:br/>
        <w:br/>
        <w:t>Game Worker</w:t>
        <w:br/>
        <w:t xml:space="preserve">  |</w:t>
        <w:br/>
        <w:t xml:space="preserve">  +------&gt; Domain / Game Core</w:t>
        <w:br/>
        <w:t xml:space="preserve">  |</w:t>
        <w:br/>
        <w:t xml:space="preserve">  +------&gt; Repositories / Persistence Ports</w:t>
        <w:br/>
        <w:t xml:space="preserve">  |</w:t>
        <w:br/>
        <w:t xml:space="preserve">  +------&gt; PostgreSQL</w:t>
        <w:br/>
        <w:br/>
        <w:t>Redis is lateral infrastructure for cache/ephemeral concerns.</w:t>
        <w:br/>
        <w:t>It is NOT inserted as the source of truth between Domain and PostgreSQL.</w:t>
      </w:r>
    </w:p>
    <w:p>
      <w:pPr>
        <w:pStyle w:val="Heading1"/>
      </w:pPr>
      <w:r>
        <w:t>2. Repository Boundaries</w:t>
      </w:r>
    </w:p>
    <w:p>
      <w:pPr>
        <w:spacing w:before="60" w:after="100"/>
        <w:ind w:left="259"/>
      </w:pPr>
      <w:r>
        <w:rPr>
          <w:rFonts w:ascii="Liberation Mono" w:hAnsi="Liberation Mono"/>
          <w:sz w:val="15"/>
        </w:rPr>
        <w:t>project-inferno/</w:t>
        <w:br/>
        <w:t xml:space="preserve">  apps/</w:t>
        <w:br/>
        <w:t xml:space="preserve">    web/                 # UI only</w:t>
        <w:br/>
        <w:t xml:space="preserve">    api/                 # HTTP entry point / application orchestration</w:t>
        <w:br/>
        <w:t xml:space="preserve">    worker/              # scheduled/background execution entry point</w:t>
        <w:br/>
        <w:br/>
        <w:t xml:space="preserve">  packages/</w:t>
        <w:br/>
        <w:t xml:space="preserve">    contracts/           # transport schemas + DTO types</w:t>
        <w:br/>
        <w:t xml:space="preserve">    api-client/          # only supported browser-to-API access abstraction</w:t>
        <w:br/>
        <w:t xml:space="preserve">    game-core/           # deterministic domain logic</w:t>
        <w:br/>
        <w:t xml:space="preserve">    database/            # schema, migrations, repositories, DB client</w:t>
        <w:br/>
        <w:t xml:space="preserve">    game-config/         # stable IDs + versioned rules/configuration</w:t>
        <w:br/>
        <w:t xml:space="preserve">    shared/              # minimal generic primitives only</w:t>
        <w:br/>
        <w:br/>
        <w:t xml:space="preserve">  tests/</w:t>
        <w:br/>
        <w:t xml:space="preserve">    integration/</w:t>
        <w:br/>
        <w:t xml:space="preserve">    e2e/</w:t>
        <w:br/>
        <w:br/>
        <w:t xml:space="preserve">  docs/</w:t>
        <w:br/>
        <w:t xml:space="preserve">    architecture/</w:t>
        <w:br/>
        <w:t xml:space="preserve">    adr/</w:t>
        <w:br/>
        <w:t xml:space="preserve">    domain/</w:t>
        <w:br/>
        <w:br/>
        <w:t xml:space="preserve">  AGENTS.md</w:t>
      </w:r>
    </w:p>
    <w:p>
      <w:r>
        <w:t>Agents MUST prefer adding code to the owning package instead of duplicating types or rules in another application. Cross-package imports must follow the dependency rules below.</w:t>
      </w:r>
    </w:p>
    <w:p>
      <w:pPr>
        <w:pStyle w:val="Heading1"/>
      </w:pPr>
      <w:r>
        <w:t>3. Allowed Dependency Matrix</w:t>
      </w:r>
    </w:p>
    <w:tbl>
      <w:tblPr>
        <w:tblStyle w:val="TableGrid"/>
        <w:tblW w:type="auto" w:w="0"/>
        <w:jc w:val="center"/>
        <w:tblLook w:firstColumn="1" w:firstRow="1" w:lastColumn="0" w:lastRow="0" w:noHBand="0" w:noVBand="1" w:val="04A0"/>
      </w:tblPr>
      <w:tblGrid>
        <w:gridCol w:w="3389"/>
        <w:gridCol w:w="3389"/>
        <w:gridCol w:w="3389"/>
      </w:tblGrid>
      <w:tr>
        <w:tc>
          <w:tcPr>
            <w:tcW w:type="dxa" w:w="1584"/>
            <w:shd w:fill="DCEAF7"/>
          </w:tcPr>
          <w:p>
            <w:r>
              <w:rPr>
                <w:b/>
                <w:sz w:val="16"/>
              </w:rPr>
              <w:t>From</w:t>
            </w:r>
          </w:p>
        </w:tc>
        <w:tc>
          <w:tcPr>
            <w:tcW w:type="dxa" w:w="4032"/>
            <w:shd w:fill="DCEAF7"/>
          </w:tcPr>
          <w:p>
            <w:r>
              <w:rPr>
                <w:b/>
                <w:sz w:val="16"/>
              </w:rPr>
              <w:t>May depend on</w:t>
            </w:r>
          </w:p>
        </w:tc>
        <w:tc>
          <w:tcPr>
            <w:tcW w:type="dxa" w:w="4320"/>
            <w:shd w:fill="DCEAF7"/>
          </w:tcPr>
          <w:p>
            <w:r>
              <w:rPr>
                <w:b/>
                <w:sz w:val="16"/>
              </w:rPr>
              <w:t>Must NOT depend on</w:t>
            </w:r>
          </w:p>
        </w:tc>
      </w:tr>
      <w:tr>
        <w:tc>
          <w:tcPr>
            <w:tcW w:type="dxa" w:w="1584"/>
            <w:vAlign w:val="top"/>
          </w:tcPr>
          <w:p>
            <w:r>
              <w:rPr>
                <w:sz w:val="15"/>
              </w:rPr>
              <w:t>apps/web</w:t>
            </w:r>
          </w:p>
        </w:tc>
        <w:tc>
          <w:tcPr>
            <w:tcW w:type="dxa" w:w="4032"/>
            <w:vAlign w:val="top"/>
          </w:tcPr>
          <w:p>
            <w:r>
              <w:rPr>
                <w:sz w:val="15"/>
              </w:rPr>
              <w:t>contracts, api-client, approved public game-config/read models</w:t>
            </w:r>
          </w:p>
        </w:tc>
        <w:tc>
          <w:tcPr>
            <w:tcW w:type="dxa" w:w="4320"/>
            <w:vAlign w:val="top"/>
          </w:tcPr>
          <w:p>
            <w:r>
              <w:rPr>
                <w:sz w:val="15"/>
              </w:rPr>
              <w:t>database, repositories, API internals, worker internals, server secrets</w:t>
            </w:r>
          </w:p>
        </w:tc>
      </w:tr>
      <w:tr>
        <w:tc>
          <w:tcPr>
            <w:tcW w:type="dxa" w:w="1584"/>
            <w:vAlign w:val="top"/>
          </w:tcPr>
          <w:p>
            <w:r>
              <w:rPr>
                <w:sz w:val="15"/>
              </w:rPr>
              <w:t>packages/api-client</w:t>
            </w:r>
          </w:p>
        </w:tc>
        <w:tc>
          <w:tcPr>
            <w:tcW w:type="dxa" w:w="4032"/>
            <w:vAlign w:val="top"/>
          </w:tcPr>
          <w:p>
            <w:r>
              <w:rPr>
                <w:sz w:val="15"/>
              </w:rPr>
              <w:t>contracts</w:t>
            </w:r>
          </w:p>
        </w:tc>
        <w:tc>
          <w:tcPr>
            <w:tcW w:type="dxa" w:w="4320"/>
            <w:vAlign w:val="top"/>
          </w:tcPr>
          <w:p>
            <w:r>
              <w:rPr>
                <w:sz w:val="15"/>
              </w:rPr>
              <w:t>database, domain repositories, React UI</w:t>
            </w:r>
          </w:p>
        </w:tc>
      </w:tr>
      <w:tr>
        <w:tc>
          <w:tcPr>
            <w:tcW w:type="dxa" w:w="1584"/>
            <w:vAlign w:val="top"/>
          </w:tcPr>
          <w:p>
            <w:r>
              <w:rPr>
                <w:sz w:val="15"/>
              </w:rPr>
              <w:t>apps/api</w:t>
            </w:r>
          </w:p>
        </w:tc>
        <w:tc>
          <w:tcPr>
            <w:tcW w:type="dxa" w:w="4032"/>
            <w:vAlign w:val="top"/>
          </w:tcPr>
          <w:p>
            <w:r>
              <w:rPr>
                <w:sz w:val="15"/>
              </w:rPr>
              <w:t>contracts, game-core, database public interfaces, game-config, platform adapters</w:t>
            </w:r>
          </w:p>
        </w:tc>
        <w:tc>
          <w:tcPr>
            <w:tcW w:type="dxa" w:w="4320"/>
            <w:vAlign w:val="top"/>
          </w:tcPr>
          <w:p>
            <w:r>
              <w:rPr>
                <w:sz w:val="15"/>
              </w:rPr>
              <w:t>web UI, worker implementation details</w:t>
            </w:r>
          </w:p>
        </w:tc>
      </w:tr>
      <w:tr>
        <w:tc>
          <w:tcPr>
            <w:tcW w:type="dxa" w:w="1584"/>
            <w:vAlign w:val="top"/>
          </w:tcPr>
          <w:p>
            <w:r>
              <w:rPr>
                <w:sz w:val="15"/>
              </w:rPr>
              <w:t>apps/worker</w:t>
            </w:r>
          </w:p>
        </w:tc>
        <w:tc>
          <w:tcPr>
            <w:tcW w:type="dxa" w:w="4032"/>
            <w:vAlign w:val="top"/>
          </w:tcPr>
          <w:p>
            <w:r>
              <w:rPr>
                <w:sz w:val="15"/>
              </w:rPr>
              <w:t>game-core, database public interfaces, game-config, platform adapters</w:t>
            </w:r>
          </w:p>
        </w:tc>
        <w:tc>
          <w:tcPr>
            <w:tcW w:type="dxa" w:w="4320"/>
            <w:vAlign w:val="top"/>
          </w:tcPr>
          <w:p>
            <w:r>
              <w:rPr>
                <w:sz w:val="15"/>
              </w:rPr>
              <w:t>web UI, HTTP controllers</w:t>
            </w:r>
          </w:p>
        </w:tc>
      </w:tr>
      <w:tr>
        <w:tc>
          <w:tcPr>
            <w:tcW w:type="dxa" w:w="1584"/>
            <w:vAlign w:val="top"/>
          </w:tcPr>
          <w:p>
            <w:r>
              <w:rPr>
                <w:sz w:val="15"/>
              </w:rPr>
              <w:t>packages/game-core</w:t>
            </w:r>
          </w:p>
        </w:tc>
        <w:tc>
          <w:tcPr>
            <w:tcW w:type="dxa" w:w="4032"/>
            <w:vAlign w:val="top"/>
          </w:tcPr>
          <w:p>
            <w:r>
              <w:rPr>
                <w:sz w:val="15"/>
              </w:rPr>
              <w:t>domain primitives, explicit config/input types</w:t>
            </w:r>
          </w:p>
        </w:tc>
        <w:tc>
          <w:tcPr>
            <w:tcW w:type="dxa" w:w="4320"/>
            <w:vAlign w:val="top"/>
          </w:tcPr>
          <w:p>
            <w:r>
              <w:rPr>
                <w:sz w:val="15"/>
              </w:rPr>
              <w:t>PostgreSQL driver/ORM, Redis, HTTP, filesystem, process.env, UI frameworks</w:t>
            </w:r>
          </w:p>
        </w:tc>
      </w:tr>
      <w:tr>
        <w:tc>
          <w:tcPr>
            <w:tcW w:type="dxa" w:w="1584"/>
            <w:vAlign w:val="top"/>
          </w:tcPr>
          <w:p>
            <w:r>
              <w:rPr>
                <w:sz w:val="15"/>
              </w:rPr>
              <w:t>packages/database</w:t>
            </w:r>
          </w:p>
        </w:tc>
        <w:tc>
          <w:tcPr>
            <w:tcW w:type="dxa" w:w="4032"/>
            <w:vAlign w:val="top"/>
          </w:tcPr>
          <w:p>
            <w:r>
              <w:rPr>
                <w:sz w:val="15"/>
              </w:rPr>
              <w:t>schema/migrations, persistence mappings, DB client</w:t>
            </w:r>
          </w:p>
        </w:tc>
        <w:tc>
          <w:tcPr>
            <w:tcW w:type="dxa" w:w="4320"/>
            <w:vAlign w:val="top"/>
          </w:tcPr>
          <w:p>
            <w:r>
              <w:rPr>
                <w:sz w:val="15"/>
              </w:rPr>
              <w:t>web UI, theme presentation logic</w:t>
            </w:r>
          </w:p>
        </w:tc>
      </w:tr>
      <w:tr>
        <w:tc>
          <w:tcPr>
            <w:tcW w:type="dxa" w:w="1584"/>
            <w:vAlign w:val="top"/>
          </w:tcPr>
          <w:p>
            <w:r>
              <w:rPr>
                <w:sz w:val="15"/>
              </w:rPr>
              <w:t>packages/contracts</w:t>
            </w:r>
          </w:p>
        </w:tc>
        <w:tc>
          <w:tcPr>
            <w:tcW w:type="dxa" w:w="4032"/>
            <w:vAlign w:val="top"/>
          </w:tcPr>
          <w:p>
            <w:r>
              <w:rPr>
                <w:sz w:val="15"/>
              </w:rPr>
              <w:t>schema/type validation primitives</w:t>
            </w:r>
          </w:p>
        </w:tc>
        <w:tc>
          <w:tcPr>
            <w:tcW w:type="dxa" w:w="4320"/>
            <w:vAlign w:val="top"/>
          </w:tcPr>
          <w:p>
            <w:r>
              <w:rPr>
                <w:sz w:val="15"/>
              </w:rPr>
              <w:t>database implementation, React components, repositories</w:t>
            </w:r>
          </w:p>
        </w:tc>
      </w:tr>
    </w:tbl>
    <w:p/>
    <w:p>
      <w:pPr>
        <w:pStyle w:val="Heading1"/>
      </w:pPr>
      <w:r>
        <w:t>4. Frontend ↔ Backend Contract</w:t>
      </w:r>
    </w:p>
    <w:p>
      <w:r>
        <w:t>The frontend and backend MUST NOT independently define request or response shapes. Transport contracts live in packages/contracts and are consumed by both sides. A contract change is a product-wide change, even if only one endpoint changes.</w:t>
      </w:r>
    </w:p>
    <w:p>
      <w:pPr>
        <w:spacing w:before="60" w:after="100"/>
        <w:ind w:left="259"/>
      </w:pPr>
      <w:r>
        <w:rPr>
          <w:rFonts w:ascii="Liberation Mono" w:hAnsi="Liberation Mono"/>
          <w:sz w:val="15"/>
        </w:rPr>
        <w:t>packages/contracts/movements.ts</w:t>
        <w:br/>
        <w:br/>
        <w:t>CreateMovementRequest</w:t>
        <w:br/>
        <w:t xml:space="preserve">  sourceBaseId</w:t>
        <w:br/>
        <w:t xml:space="preserve">  targetBaseId</w:t>
        <w:br/>
        <w:t xml:space="preserve">  unitStacks[{ unitTypeId, quantity }]</w:t>
        <w:br/>
        <w:br/>
        <w:t>CreateMovementResponse</w:t>
        <w:br/>
        <w:t xml:space="preserve">  movementId</w:t>
        <w:br/>
        <w:t xml:space="preserve">  departureAt</w:t>
        <w:br/>
        <w:t xml:space="preserve">  arrivalAt</w:t>
        <w:br/>
        <w:t xml:space="preserve">  status</w:t>
        <w:br/>
        <w:br/>
        <w:t>The API validates CreateMovementRequest.</w:t>
        <w:br/>
        <w:t>The API returns CreateMovementResponse.</w:t>
        <w:br/>
        <w:t>The typed API client exposes the same types.</w:t>
        <w:br/>
        <w:t>The Web consumes the typed API client; it does not redefine them.</w:t>
      </w:r>
    </w:p>
    <w:p>
      <w:pPr>
        <w:pStyle w:val="Heading2"/>
      </w:pPr>
      <w:r>
        <w:t>4.1 Contract rules</w:t>
      </w:r>
    </w:p>
    <w:p>
      <w:pPr>
        <w:pStyle w:val="ListBullet"/>
      </w:pPr>
      <w:r>
        <w:t>Every externally reachable endpoint MUST have an explicit request schema and response schema.</w:t>
      </w:r>
    </w:p>
    <w:p>
      <w:pPr>
        <w:pStyle w:val="ListBullet"/>
      </w:pPr>
      <w:r>
        <w:t>The API MUST validate untrusted request payloads at the transport boundary.</w:t>
      </w:r>
    </w:p>
    <w:p>
      <w:pPr>
        <w:pStyle w:val="ListBullet"/>
      </w:pPr>
      <w:r>
        <w:t>The frontend MUST NOT duplicate backend DTO interfaces in apps/web.</w:t>
      </w:r>
    </w:p>
    <w:p>
      <w:pPr>
        <w:pStyle w:val="ListBullet"/>
      </w:pPr>
      <w:r>
        <w:t>The frontend SHOULD call the backend through packages/api-client rather than scattered raw fetch calls.</w:t>
      </w:r>
    </w:p>
    <w:p>
      <w:pPr>
        <w:pStyle w:val="ListBullet"/>
      </w:pPr>
      <w:r>
        <w:t>Transport DTOs MUST NOT be database row types.</w:t>
      </w:r>
    </w:p>
    <w:p>
      <w:pPr>
        <w:pStyle w:val="ListBullet"/>
      </w:pPr>
      <w:r>
        <w:t>Internal domain objects MUST NOT automatically become public API responses.</w:t>
      </w:r>
    </w:p>
    <w:p>
      <w:pPr>
        <w:pStyle w:val="ListBullet"/>
      </w:pPr>
      <w:r>
        <w:t>Breaking contract changes require either coordinated same-PR updates or explicit API versioning/migration.</w:t>
      </w:r>
    </w:p>
    <w:p>
      <w:pPr>
        <w:pStyle w:val="ListBullet"/>
      </w:pPr>
      <w:r>
        <w:t>Server-generated IDs, timestamps and authoritative calculated values come from the backend, never from client trust.</w:t>
      </w:r>
    </w:p>
    <w:p>
      <w:pPr>
        <w:pStyle w:val="Heading2"/>
      </w:pPr>
      <w:r>
        <w:t>4.2 Typed API client</w:t>
      </w:r>
    </w:p>
    <w:p>
      <w:r>
        <w:t>packages/api-client is the integration seam used by Web. It owns HTTP mechanics: base URL, authentication headers, serialization, transport errors and contract parsing. UI components should consume domain-oriented client methods.</w:t>
      </w:r>
    </w:p>
    <w:p>
      <w:pPr>
        <w:spacing w:before="60" w:after="100"/>
        <w:ind w:left="259"/>
      </w:pPr>
      <w:r>
        <w:rPr>
          <w:rFonts w:ascii="Liberation Mono" w:hAnsi="Liberation Mono"/>
          <w:sz w:val="15"/>
        </w:rPr>
        <w:t>GOOD:</w:t>
        <w:br/>
        <w:t>await infernoApi.movements.create(input)</w:t>
        <w:br/>
        <w:t>await infernoApi.playerBases.get(baseId)</w:t>
        <w:br/>
        <w:br/>
        <w:t>AVOID:</w:t>
        <w:br/>
        <w:t>fetch('/api/v1/movements', ...)</w:t>
        <w:br/>
        <w:t>fetch('/api/v1/player-bases/' + id, ...)</w:t>
        <w:br/>
        <w:br/>
        <w:t>Raw fetch may exist inside api-client, not throughout UI code.</w:t>
      </w:r>
    </w:p>
    <w:p>
      <w:pPr>
        <w:pStyle w:val="Heading1"/>
      </w:pPr>
      <w:r>
        <w:t>5. Backend Layering</w:t>
      </w:r>
    </w:p>
    <w:p>
      <w:pPr>
        <w:spacing w:before="60" w:after="100"/>
        <w:ind w:left="259"/>
      </w:pPr>
      <w:r>
        <w:rPr>
          <w:rFonts w:ascii="Liberation Mono" w:hAnsi="Liberation Mono"/>
          <w:sz w:val="15"/>
        </w:rPr>
        <w:t>HTTP Controller / Route</w:t>
        <w:br/>
        <w:t xml:space="preserve">        |</w:t>
        <w:br/>
        <w:t xml:space="preserve">        | parse + authenticate + transport validation</w:t>
        <w:br/>
        <w:t xml:space="preserve">        v</w:t>
        <w:br/>
        <w:t>Application Service / Command Handler</w:t>
        <w:br/>
        <w:t xml:space="preserve">        |</w:t>
        <w:br/>
        <w:t xml:space="preserve">        | authorization + orchestration + transaction boundary</w:t>
        <w:br/>
        <w:t xml:space="preserve">        v</w:t>
        <w:br/>
        <w:t>Domain / game-core</w:t>
        <w:br/>
        <w:t xml:space="preserve">        |</w:t>
        <w:br/>
        <w:t xml:space="preserve">        | deterministic calculations / invariants</w:t>
        <w:br/>
        <w:t xml:space="preserve">        v</w:t>
        <w:br/>
        <w:t>Repository Interfaces</w:t>
        <w:br/>
        <w:t xml:space="preserve">        |</w:t>
        <w:br/>
        <w:t xml:space="preserve">        v</w:t>
        <w:br/>
        <w:t>PostgreSQL implementation</w:t>
      </w:r>
    </w:p>
    <w:tbl>
      <w:tblPr>
        <w:tblStyle w:val="TableGrid"/>
        <w:tblW w:type="auto" w:w="0"/>
        <w:jc w:val="center"/>
        <w:tblLook w:firstColumn="1" w:firstRow="1" w:lastColumn="0" w:lastRow="0" w:noHBand="0" w:noVBand="1" w:val="04A0"/>
      </w:tblPr>
      <w:tblGrid>
        <w:gridCol w:w="3389"/>
        <w:gridCol w:w="3389"/>
        <w:gridCol w:w="3389"/>
      </w:tblGrid>
      <w:tr>
        <w:tc>
          <w:tcPr>
            <w:tcW w:type="dxa" w:w="1800"/>
            <w:shd w:fill="DCEAF7"/>
          </w:tcPr>
          <w:p>
            <w:r>
              <w:rPr>
                <w:b/>
                <w:sz w:val="16"/>
              </w:rPr>
              <w:t>Layer</w:t>
            </w:r>
          </w:p>
        </w:tc>
        <w:tc>
          <w:tcPr>
            <w:tcW w:type="dxa" w:w="3888"/>
            <w:shd w:fill="DCEAF7"/>
          </w:tcPr>
          <w:p>
            <w:r>
              <w:rPr>
                <w:b/>
                <w:sz w:val="16"/>
              </w:rPr>
              <w:t>Responsibilities</w:t>
            </w:r>
          </w:p>
        </w:tc>
        <w:tc>
          <w:tcPr>
            <w:tcW w:type="dxa" w:w="4176"/>
            <w:shd w:fill="DCEAF7"/>
          </w:tcPr>
          <w:p>
            <w:r>
              <w:rPr>
                <w:b/>
                <w:sz w:val="16"/>
              </w:rPr>
              <w:t>Forbidden responsibilities</w:t>
            </w:r>
          </w:p>
        </w:tc>
      </w:tr>
      <w:tr>
        <w:tc>
          <w:tcPr>
            <w:tcW w:type="dxa" w:w="1800"/>
            <w:vAlign w:val="top"/>
          </w:tcPr>
          <w:p>
            <w:r>
              <w:rPr>
                <w:sz w:val="15"/>
              </w:rPr>
              <w:t>Controller/route</w:t>
            </w:r>
          </w:p>
        </w:tc>
        <w:tc>
          <w:tcPr>
            <w:tcW w:type="dxa" w:w="3888"/>
            <w:vAlign w:val="top"/>
          </w:tcPr>
          <w:p>
            <w:r>
              <w:rPr>
                <w:sz w:val="15"/>
              </w:rPr>
              <w:t>Parse request, invoke auth, validate contract, map result/error to HTTP.</w:t>
            </w:r>
          </w:p>
        </w:tc>
        <w:tc>
          <w:tcPr>
            <w:tcW w:type="dxa" w:w="4176"/>
            <w:vAlign w:val="top"/>
          </w:tcPr>
          <w:p>
            <w:r>
              <w:rPr>
                <w:sz w:val="15"/>
              </w:rPr>
              <w:t>SQL, combat/resource formulas, direct Redis-based authority.</w:t>
            </w:r>
          </w:p>
        </w:tc>
      </w:tr>
      <w:tr>
        <w:tc>
          <w:tcPr>
            <w:tcW w:type="dxa" w:w="1800"/>
            <w:vAlign w:val="top"/>
          </w:tcPr>
          <w:p>
            <w:r>
              <w:rPr>
                <w:sz w:val="15"/>
              </w:rPr>
              <w:t>Application service</w:t>
            </w:r>
          </w:p>
        </w:tc>
        <w:tc>
          <w:tcPr>
            <w:tcW w:type="dxa" w:w="3888"/>
            <w:vAlign w:val="top"/>
          </w:tcPr>
          <w:p>
            <w:r>
              <w:rPr>
                <w:sz w:val="15"/>
              </w:rPr>
              <w:t>Use-case orchestration, authorization context, transaction coordination, call domain/repositories.</w:t>
            </w:r>
          </w:p>
        </w:tc>
        <w:tc>
          <w:tcPr>
            <w:tcW w:type="dxa" w:w="4176"/>
            <w:vAlign w:val="top"/>
          </w:tcPr>
          <w:p>
            <w:r>
              <w:rPr>
                <w:sz w:val="15"/>
              </w:rPr>
              <w:t>UI concerns, raw HTTP response formatting, duplicated domain formulas.</w:t>
            </w:r>
          </w:p>
        </w:tc>
      </w:tr>
      <w:tr>
        <w:tc>
          <w:tcPr>
            <w:tcW w:type="dxa" w:w="1800"/>
            <w:vAlign w:val="top"/>
          </w:tcPr>
          <w:p>
            <w:r>
              <w:rPr>
                <w:sz w:val="15"/>
              </w:rPr>
              <w:t>Domain/game-core</w:t>
            </w:r>
          </w:p>
        </w:tc>
        <w:tc>
          <w:tcPr>
            <w:tcW w:type="dxa" w:w="3888"/>
            <w:vAlign w:val="top"/>
          </w:tcPr>
          <w:p>
            <w:r>
              <w:rPr>
                <w:sz w:val="15"/>
              </w:rPr>
              <w:t>Rules, invariants, calculations, state-transition decisions.</w:t>
            </w:r>
          </w:p>
        </w:tc>
        <w:tc>
          <w:tcPr>
            <w:tcW w:type="dxa" w:w="4176"/>
            <w:vAlign w:val="top"/>
          </w:tcPr>
          <w:p>
            <w:r>
              <w:rPr>
                <w:sz w:val="15"/>
              </w:rPr>
              <w:t>DB calls, HTTP, Redis, environment access, implicit current time.</w:t>
            </w:r>
          </w:p>
        </w:tc>
      </w:tr>
      <w:tr>
        <w:tc>
          <w:tcPr>
            <w:tcW w:type="dxa" w:w="1800"/>
            <w:vAlign w:val="top"/>
          </w:tcPr>
          <w:p>
            <w:r>
              <w:rPr>
                <w:sz w:val="15"/>
              </w:rPr>
              <w:t>Repository</w:t>
            </w:r>
          </w:p>
        </w:tc>
        <w:tc>
          <w:tcPr>
            <w:tcW w:type="dxa" w:w="3888"/>
            <w:vAlign w:val="top"/>
          </w:tcPr>
          <w:p>
            <w:r>
              <w:rPr>
                <w:sz w:val="15"/>
              </w:rPr>
              <w:t>Load/persist domain state, query efficiently, map persistence representation.</w:t>
            </w:r>
          </w:p>
        </w:tc>
        <w:tc>
          <w:tcPr>
            <w:tcW w:type="dxa" w:w="4176"/>
            <w:vAlign w:val="top"/>
          </w:tcPr>
          <w:p>
            <w:r>
              <w:rPr>
                <w:sz w:val="15"/>
              </w:rPr>
              <w:t>Game balance decisions, transport DTO decisions.</w:t>
            </w:r>
          </w:p>
        </w:tc>
      </w:tr>
      <w:tr>
        <w:tc>
          <w:tcPr>
            <w:tcW w:type="dxa" w:w="1800"/>
            <w:vAlign w:val="top"/>
          </w:tcPr>
          <w:p>
            <w:r>
              <w:rPr>
                <w:sz w:val="15"/>
              </w:rPr>
              <w:t>Database schema</w:t>
            </w:r>
          </w:p>
        </w:tc>
        <w:tc>
          <w:tcPr>
            <w:tcW w:type="dxa" w:w="3888"/>
            <w:vAlign w:val="top"/>
          </w:tcPr>
          <w:p>
            <w:r>
              <w:rPr>
                <w:sz w:val="15"/>
              </w:rPr>
              <w:t>Integrity constraints, indexes, persistence representation.</w:t>
            </w:r>
          </w:p>
        </w:tc>
        <w:tc>
          <w:tcPr>
            <w:tcW w:type="dxa" w:w="4176"/>
            <w:vAlign w:val="top"/>
          </w:tcPr>
          <w:p>
            <w:r>
              <w:rPr>
                <w:sz w:val="15"/>
              </w:rPr>
              <w:t>Frontend presentation or API-specific naming solely for UI convenience.</w:t>
            </w:r>
          </w:p>
        </w:tc>
      </w:tr>
    </w:tbl>
    <w:p/>
    <w:p>
      <w:pPr>
        <w:pStyle w:val="Heading1"/>
      </w:pPr>
      <w:r>
        <w:t>6. Backend ↔ PostgreSQL Contract</w:t>
      </w:r>
    </w:p>
    <w:p>
      <w:r>
        <w:t>PostgreSQL is the authoritative persistence boundary. Durable state changes must be represented in PostgreSQL before the system reports success. Database access should be centralized in the database package/repositories rather than distributed through controllers.</w:t>
      </w:r>
    </w:p>
    <w:p>
      <w:pPr>
        <w:pStyle w:val="ListBullet"/>
      </w:pPr>
      <w:r>
        <w:t>Every schema change MUST be represented by a committed migration.</w:t>
      </w:r>
    </w:p>
    <w:p>
      <w:pPr>
        <w:pStyle w:val="ListBullet"/>
      </w:pPr>
      <w:r>
        <w:t>Every world-scoped durable table MUST contain or inherit an enforceable World boundary.</w:t>
      </w:r>
    </w:p>
    <w:p>
      <w:pPr>
        <w:pStyle w:val="ListBullet"/>
      </w:pPr>
      <w:r>
        <w:t>Foreign keys and database constraints SHOULD protect invariants that remain valid regardless of application path.</w:t>
      </w:r>
    </w:p>
    <w:p>
      <w:pPr>
        <w:pStyle w:val="ListBullet"/>
      </w:pPr>
      <w:r>
        <w:t>Repositories MUST accept transaction context when participating in multi-write use cases.</w:t>
      </w:r>
    </w:p>
    <w:p>
      <w:pPr>
        <w:pStyle w:val="ListBullet"/>
      </w:pPr>
      <w:r>
        <w:t>A use case that changes multiple authoritative records MUST define one explicit transaction boundary.</w:t>
      </w:r>
    </w:p>
    <w:p>
      <w:pPr>
        <w:pStyle w:val="ListBullet"/>
      </w:pPr>
      <w:r>
        <w:t>Agents MUST consider indexes when adding lookup/sort/filter paths.</w:t>
      </w:r>
    </w:p>
    <w:p>
      <w:pPr>
        <w:pStyle w:val="ListBullet"/>
      </w:pPr>
      <w:r>
        <w:t>Do not persist derived values merely because the UI displays them if they can safely be derived from canonical state.</w:t>
      </w:r>
    </w:p>
    <w:p>
      <w:pPr>
        <w:pStyle w:val="ListBullet"/>
      </w:pPr>
      <w:r>
        <w:t>Do not expose ORM/database objects directly to Web or transport contracts.</w:t>
      </w:r>
    </w:p>
    <w:p>
      <w:pPr>
        <w:pStyle w:val="Heading2"/>
      </w:pPr>
      <w:r>
        <w:t>6.1 Transaction example</w:t>
      </w:r>
    </w:p>
    <w:p>
      <w:pPr>
        <w:spacing w:before="60" w:after="100"/>
        <w:ind w:left="259"/>
      </w:pPr>
      <w:r>
        <w:rPr>
          <w:rFonts w:ascii="Liberation Mono" w:hAnsi="Liberation Mono"/>
          <w:sz w:val="15"/>
        </w:rPr>
        <w:t>CreateMovement command</w:t>
        <w:br/>
        <w:br/>
        <w:t>BEGIN TRANSACTION</w:t>
        <w:br/>
        <w:br/>
        <w:t>1. lock/read source Player Base inventory</w:t>
        <w:br/>
        <w:t>2. verify ownership and World</w:t>
        <w:br/>
        <w:t>3. validate requested Unit Stacks</w:t>
        <w:br/>
        <w:t>4. decrement source quantities</w:t>
        <w:br/>
        <w:t>5. insert Movement</w:t>
        <w:br/>
        <w:t>6. insert durable MOVEMENT_ARRIVAL Game Event</w:t>
        <w:br/>
        <w:t>7. optionally insert audit/outbox record</w:t>
        <w:br/>
        <w:br/>
        <w:t>COMMIT</w:t>
        <w:br/>
        <w:br/>
        <w:t>Only after COMMIT may API return success.</w:t>
        <w:br/>
        <w:br/>
        <w:t>Any failure before COMMIT =&gt; ROLLBACK.</w:t>
        <w:br/>
        <w:t>No partial movement is allowed.</w:t>
      </w:r>
    </w:p>
    <w:p>
      <w:pPr>
        <w:pStyle w:val="Heading1"/>
      </w:pPr>
      <w:r>
        <w:t>7. Workers and Durable Game Events</w:t>
      </w:r>
    </w:p>
    <w:p>
      <w:r>
        <w:t>Workers are alternate process entry points into the SAME application/domain model, not a second backend. They execute work that is not tied to an active HTTP request. Critical scheduled gameplay must be represented durably in PostgreSQL.</w:t>
      </w:r>
    </w:p>
    <w:p>
      <w:pPr>
        <w:spacing w:before="60" w:after="100"/>
        <w:ind w:left="259"/>
      </w:pPr>
      <w:r>
        <w:rPr>
          <w:rFonts w:ascii="Liberation Mono" w:hAnsi="Liberation Mono"/>
          <w:sz w:val="15"/>
        </w:rPr>
        <w:t>API process                              Worker process</w:t>
        <w:br/>
        <w:t>-----------                              --------------</w:t>
        <w:br/>
        <w:t>Create command                           Claim due GameEvent</w:t>
        <w:br/>
        <w:t xml:space="preserve">   |                                          |</w:t>
        <w:br/>
        <w:t xml:space="preserve">   v                                          v</w:t>
        <w:br/>
        <w:t>Application service                      Event handler</w:t>
        <w:br/>
        <w:t xml:space="preserve">   |                                          |</w:t>
        <w:br/>
        <w:t xml:space="preserve">   +-----------&gt; game-core &lt;------------------+</w:t>
        <w:br/>
        <w:t xml:space="preserve">   |                                          |</w:t>
        <w:br/>
        <w:t xml:space="preserve">   +-----------&gt; repositories &lt;---------------+</w:t>
        <w:br/>
        <w:t xml:space="preserve">                       |</w:t>
        <w:br/>
        <w:t xml:space="preserve">                       v</w:t>
        <w:br/>
        <w:t xml:space="preserve">                   PostgreSQL</w:t>
      </w:r>
    </w:p>
    <w:p>
      <w:pPr>
        <w:pStyle w:val="Heading2"/>
      </w:pPr>
      <w:r>
        <w:t>7.1 Worker invariants</w:t>
      </w:r>
    </w:p>
    <w:p>
      <w:pPr>
        <w:pStyle w:val="ListBullet"/>
      </w:pPr>
      <w:r>
        <w:t>A worker MUST NOT contain a second implementation of game rules already present in game-core.</w:t>
      </w:r>
    </w:p>
    <w:p>
      <w:pPr>
        <w:pStyle w:val="ListBullet"/>
      </w:pPr>
      <w:r>
        <w:t>A worker MUST NOT rely on in-memory setTimeout/setInterval as durable scheduling.</w:t>
      </w:r>
    </w:p>
    <w:p>
      <w:pPr>
        <w:pStyle w:val="ListBullet"/>
      </w:pPr>
      <w:r>
        <w:t>Due events SHOULD be claimed with a concurrency-safe strategy such as SELECT ... FOR UPDATE SKIP LOCKED or an equivalent proven mechanism.</w:t>
      </w:r>
    </w:p>
    <w:p>
      <w:pPr>
        <w:pStyle w:val="ListBullet"/>
      </w:pPr>
      <w:r>
        <w:t>Handlers MUST be retry-safe. Assume execution may happen more than once.</w:t>
      </w:r>
    </w:p>
    <w:p>
      <w:pPr>
        <w:pStyle w:val="ListBullet"/>
      </w:pPr>
      <w:r>
        <w:t>Handlers MUST verify aggregate/event state before applying side effects.</w:t>
      </w:r>
    </w:p>
    <w:p>
      <w:pPr>
        <w:pStyle w:val="ListBullet"/>
      </w:pPr>
      <w:r>
        <w:t>State mutations and marking an event complete MUST use a transaction strategy that prevents duplicate authoritative effects.</w:t>
      </w:r>
    </w:p>
    <w:p>
      <w:pPr>
        <w:pStyle w:val="ListBullet"/>
      </w:pPr>
      <w:r>
        <w:t>Failed events MUST not block unrelated events indefinitely.</w:t>
      </w:r>
    </w:p>
    <w:p>
      <w:pPr>
        <w:pStyle w:val="ListBullet"/>
      </w:pPr>
      <w:r>
        <w:t>Event logs MUST include eventId, eventType, worldId and affected aggregate IDs.</w:t>
      </w:r>
    </w:p>
    <w:p>
      <w:pPr>
        <w:pStyle w:val="Heading2"/>
      </w:pPr>
      <w:r>
        <w:t>7.2 Event lifecycle</w:t>
      </w:r>
    </w:p>
    <w:p>
      <w:pPr>
        <w:spacing w:before="60" w:after="100"/>
        <w:ind w:left="259"/>
      </w:pPr>
      <w:r>
        <w:rPr>
          <w:rFonts w:ascii="Liberation Mono" w:hAnsi="Liberation Mono"/>
          <w:sz w:val="15"/>
        </w:rPr>
        <w:t>PENDING</w:t>
        <w:br/>
        <w:t xml:space="preserve">   |</w:t>
        <w:br/>
        <w:t xml:space="preserve">   | eligible when executeAt &lt;= authoritative current time</w:t>
        <w:br/>
        <w:t xml:space="preserve">   v</w:t>
        <w:br/>
        <w:t>CLAIMED / PROCESSING</w:t>
        <w:br/>
        <w:t xml:space="preserve">   |</w:t>
        <w:br/>
        <w:t xml:space="preserve">   +---- success ----&gt; COMPLETED</w:t>
        <w:br/>
        <w:t xml:space="preserve">   |</w:t>
        <w:br/>
        <w:t xml:space="preserve">   +---- retryable --&gt; PENDING / RETRY</w:t>
        <w:br/>
        <w:t xml:space="preserve">   |</w:t>
        <w:br/>
        <w:t xml:space="preserve">   +---- exhausted --&gt; FAILED</w:t>
        <w:br/>
        <w:br/>
        <w:t>Cancellation:</w:t>
        <w:br/>
        <w:t>PENDING -&gt; CANCELLED</w:t>
        <w:br/>
        <w:br/>
        <w:t>A terminal event must never be applied again unless an explicit recovery</w:t>
        <w:br/>
        <w:t>operation creates a new event or resets state through an audited procedure.</w:t>
      </w:r>
    </w:p>
    <w:p>
      <w:pPr>
        <w:pStyle w:val="Heading1"/>
      </w:pPr>
      <w:r>
        <w:t>8. Redis Boundary</w:t>
      </w:r>
    </w:p>
    <w:p>
      <w:r>
        <w:t>Redis is permitted for disposable or reconstructable state. An agent must be able to answer: 'If Redis is completely flushed now, can committed gameplay be reconstructed and remain correct?' The required answer is yes.</w:t>
      </w:r>
    </w:p>
    <w:tbl>
      <w:tblPr>
        <w:tblStyle w:val="TableGrid"/>
        <w:tblW w:type="auto" w:w="0"/>
        <w:jc w:val="center"/>
        <w:tblLook w:firstColumn="1" w:firstRow="1" w:lastColumn="0" w:lastRow="0" w:noHBand="0" w:noVBand="1" w:val="04A0"/>
      </w:tblPr>
      <w:tblGrid>
        <w:gridCol w:w="3389"/>
        <w:gridCol w:w="3389"/>
        <w:gridCol w:w="3389"/>
      </w:tblGrid>
      <w:tr>
        <w:tc>
          <w:tcPr>
            <w:tcW w:type="dxa" w:w="1944"/>
            <w:shd w:fill="DCEAF7"/>
          </w:tcPr>
          <w:p>
            <w:r>
              <w:rPr>
                <w:b/>
                <w:sz w:val="16"/>
              </w:rPr>
              <w:t>Allowed</w:t>
            </w:r>
          </w:p>
        </w:tc>
        <w:tc>
          <w:tcPr>
            <w:tcW w:type="dxa" w:w="3600"/>
            <w:shd w:fill="DCEAF7"/>
          </w:tcPr>
          <w:p>
            <w:r>
              <w:rPr>
                <w:b/>
                <w:sz w:val="16"/>
              </w:rPr>
              <w:t>Examples</w:t>
            </w:r>
          </w:p>
        </w:tc>
        <w:tc>
          <w:tcPr>
            <w:tcW w:type="dxa" w:w="4104"/>
            <w:shd w:fill="DCEAF7"/>
          </w:tcPr>
          <w:p>
            <w:r>
              <w:rPr>
                <w:b/>
                <w:sz w:val="16"/>
              </w:rPr>
              <w:t>Not allowed</w:t>
            </w:r>
          </w:p>
        </w:tc>
      </w:tr>
      <w:tr>
        <w:tc>
          <w:tcPr>
            <w:tcW w:type="dxa" w:w="1944"/>
            <w:vAlign w:val="top"/>
          </w:tcPr>
          <w:p>
            <w:r>
              <w:rPr>
                <w:sz w:val="15"/>
              </w:rPr>
              <w:t>Cache</w:t>
            </w:r>
          </w:p>
        </w:tc>
        <w:tc>
          <w:tcPr>
            <w:tcW w:type="dxa" w:w="3600"/>
            <w:vAlign w:val="top"/>
          </w:tcPr>
          <w:p>
            <w:r>
              <w:rPr>
                <w:sz w:val="15"/>
              </w:rPr>
              <w:t>Player Base summary, map/read model, configuration cache</w:t>
            </w:r>
          </w:p>
        </w:tc>
        <w:tc>
          <w:tcPr>
            <w:tcW w:type="dxa" w:w="4104"/>
            <w:vAlign w:val="top"/>
          </w:tcPr>
          <w:p>
            <w:r>
              <w:rPr>
                <w:sz w:val="15"/>
              </w:rPr>
              <w:t>Only copy of Player Base inventory</w:t>
            </w:r>
          </w:p>
        </w:tc>
      </w:tr>
      <w:tr>
        <w:tc>
          <w:tcPr>
            <w:tcW w:type="dxa" w:w="1944"/>
            <w:vAlign w:val="top"/>
          </w:tcPr>
          <w:p>
            <w:r>
              <w:rPr>
                <w:sz w:val="15"/>
              </w:rPr>
              <w:t>Ephemeral state</w:t>
            </w:r>
          </w:p>
        </w:tc>
        <w:tc>
          <w:tcPr>
            <w:tcW w:type="dxa" w:w="3600"/>
            <w:vAlign w:val="top"/>
          </w:tcPr>
          <w:p>
            <w:r>
              <w:rPr>
                <w:sz w:val="15"/>
              </w:rPr>
              <w:t>Presence, rate limit counters, temporary session state</w:t>
            </w:r>
          </w:p>
        </w:tc>
        <w:tc>
          <w:tcPr>
            <w:tcW w:type="dxa" w:w="4104"/>
            <w:vAlign w:val="top"/>
          </w:tcPr>
          <w:p>
            <w:r>
              <w:rPr>
                <w:sz w:val="15"/>
              </w:rPr>
              <w:t>Only record of a future critical Game Event</w:t>
            </w:r>
          </w:p>
        </w:tc>
      </w:tr>
      <w:tr>
        <w:tc>
          <w:tcPr>
            <w:tcW w:type="dxa" w:w="1944"/>
            <w:vAlign w:val="top"/>
          </w:tcPr>
          <w:p>
            <w:r>
              <w:rPr>
                <w:sz w:val="15"/>
              </w:rPr>
              <w:t>Derived read model</w:t>
            </w:r>
          </w:p>
        </w:tc>
        <w:tc>
          <w:tcPr>
            <w:tcW w:type="dxa" w:w="3600"/>
            <w:vAlign w:val="top"/>
          </w:tcPr>
          <w:p>
            <w:r>
              <w:rPr>
                <w:sz w:val="15"/>
              </w:rPr>
              <w:t>Leaderboard slice, frequently requested aggregate</w:t>
            </w:r>
          </w:p>
        </w:tc>
        <w:tc>
          <w:tcPr>
            <w:tcW w:type="dxa" w:w="4104"/>
            <w:vAlign w:val="top"/>
          </w:tcPr>
          <w:p>
            <w:r>
              <w:rPr>
                <w:sz w:val="15"/>
              </w:rPr>
              <w:t>Authoritative ownership or resource balance</w:t>
            </w:r>
          </w:p>
        </w:tc>
      </w:tr>
      <w:tr>
        <w:tc>
          <w:tcPr>
            <w:tcW w:type="dxa" w:w="1944"/>
            <w:vAlign w:val="top"/>
          </w:tcPr>
          <w:p>
            <w:r>
              <w:rPr>
                <w:sz w:val="15"/>
              </w:rPr>
              <w:t>Coordination</w:t>
            </w:r>
          </w:p>
        </w:tc>
        <w:tc>
          <w:tcPr>
            <w:tcW w:type="dxa" w:w="3600"/>
            <w:vAlign w:val="top"/>
          </w:tcPr>
          <w:p>
            <w:r>
              <w:rPr>
                <w:sz w:val="15"/>
              </w:rPr>
              <w:t>Short-lived non-authoritative lock where appropriate</w:t>
            </w:r>
          </w:p>
        </w:tc>
        <w:tc>
          <w:tcPr>
            <w:tcW w:type="dxa" w:w="4104"/>
            <w:vAlign w:val="top"/>
          </w:tcPr>
          <w:p>
            <w:r>
              <w:rPr>
                <w:sz w:val="15"/>
              </w:rPr>
              <w:t>Replacing DB transaction safety for durable inventory/state</w:t>
            </w:r>
          </w:p>
        </w:tc>
      </w:tr>
    </w:tbl>
    <w:p/>
    <w:p>
      <w:pPr>
        <w:pStyle w:val="Heading1"/>
      </w:pPr>
      <w:r>
        <w:t>9. Time and Determinism</w:t>
      </w:r>
    </w:p>
    <w:p>
      <w:pPr>
        <w:pStyle w:val="ListBullet"/>
      </w:pPr>
      <w:r>
        <w:t>All internal timestamps use UTC.</w:t>
      </w:r>
    </w:p>
    <w:p>
      <w:pPr>
        <w:pStyle w:val="ListBullet"/>
      </w:pPr>
      <w:r>
        <w:t>Domain functions SHOULD receive effectiveTime explicitly rather than repeatedly calling new Date().</w:t>
      </w:r>
    </w:p>
    <w:p>
      <w:pPr>
        <w:pStyle w:val="ListBullet"/>
      </w:pPr>
      <w:r>
        <w:t>Time-based production/progress SHOULD use reference values + rates + timestamps instead of per-second database writes.</w:t>
      </w:r>
    </w:p>
    <w:p>
      <w:pPr>
        <w:pStyle w:val="ListBullet"/>
      </w:pPr>
      <w:r>
        <w:t>The client may display countdowns optimistically, but server timestamps and server state remain authoritative.</w:t>
      </w:r>
    </w:p>
    <w:p>
      <w:pPr>
        <w:pStyle w:val="ListBullet"/>
      </w:pPr>
      <w:r>
        <w:t>Tests MUST be able to supply a fixed time to deterministic domain calculations.</w:t>
      </w:r>
    </w:p>
    <w:p>
      <w:pPr>
        <w:spacing w:before="60" w:after="100"/>
        <w:ind w:left="259"/>
      </w:pPr>
      <w:r>
        <w:rPr>
          <w:rFonts w:ascii="Liberation Mono" w:hAnsi="Liberation Mono"/>
          <w:sz w:val="15"/>
        </w:rPr>
        <w:t>Preferred domain function:</w:t>
        <w:br/>
        <w:br/>
        <w:t>calculateResources({</w:t>
        <w:br/>
        <w:t xml:space="preserve">  amountAtReference,</w:t>
        <w:br/>
        <w:t xml:space="preserve">  productionRate,</w:t>
        <w:br/>
        <w:t xml:space="preserve">  referenceAt,</w:t>
        <w:br/>
        <w:t xml:space="preserve">  effectiveTime,</w:t>
        <w:br/>
        <w:t xml:space="preserve">  capacity</w:t>
        <w:br/>
        <w:t>})</w:t>
        <w:br/>
        <w:br/>
        <w:t>Avoid domain logic that silently reads:</w:t>
        <w:br/>
        <w:t>new Date()</w:t>
        <w:br/>
        <w:t>process.env</w:t>
        <w:br/>
        <w:t>Redis</w:t>
        <w:br/>
        <w:t>database state</w:t>
      </w:r>
    </w:p>
    <w:p>
      <w:pPr>
        <w:pStyle w:val="Heading1"/>
      </w:pPr>
      <w:r>
        <w:t>10. Complete Vertical-Slice Procedure for AI Agents</w:t>
      </w:r>
    </w:p>
    <w:p>
      <w:r>
        <w:t>For every feature, execute this sequence before declaring the task complete.</w:t>
      </w:r>
    </w:p>
    <w:tbl>
      <w:tblPr>
        <w:tblStyle w:val="TableGrid"/>
        <w:tblW w:type="auto" w:w="0"/>
        <w:jc w:val="center"/>
        <w:tblLook w:firstColumn="1" w:firstRow="1" w:lastColumn="0" w:lastRow="0" w:noHBand="0" w:noVBand="1" w:val="04A0"/>
      </w:tblPr>
      <w:tblGrid>
        <w:gridCol w:w="5083"/>
        <w:gridCol w:w="5083"/>
      </w:tblGrid>
      <w:tr>
        <w:tc>
          <w:tcPr>
            <w:tcW w:type="dxa" w:w="1008"/>
            <w:shd w:fill="DCEAF7"/>
          </w:tcPr>
          <w:p>
            <w:r>
              <w:rPr>
                <w:b/>
                <w:sz w:val="16"/>
              </w:rPr>
              <w:t>Step</w:t>
            </w:r>
          </w:p>
        </w:tc>
        <w:tc>
          <w:tcPr>
            <w:tcW w:type="dxa" w:w="8568"/>
            <w:shd w:fill="DCEAF7"/>
          </w:tcPr>
          <w:p>
            <w:r>
              <w:rPr>
                <w:b/>
                <w:sz w:val="16"/>
              </w:rPr>
              <w:t>Agent action</w:t>
            </w:r>
          </w:p>
        </w:tc>
      </w:tr>
      <w:tr>
        <w:tc>
          <w:tcPr>
            <w:tcW w:type="dxa" w:w="1008"/>
            <w:vAlign w:val="top"/>
          </w:tcPr>
          <w:p>
            <w:r>
              <w:rPr>
                <w:sz w:val="15"/>
              </w:rPr>
              <w:t>1. Identify</w:t>
            </w:r>
          </w:p>
        </w:tc>
        <w:tc>
          <w:tcPr>
            <w:tcW w:type="dxa" w:w="8568"/>
            <w:vAlign w:val="top"/>
          </w:tcPr>
          <w:p>
            <w:r>
              <w:rPr>
                <w:sz w:val="15"/>
              </w:rPr>
              <w:t>List affected layers: Web, contract, API client, API, domain, database, worker, cache.</w:t>
            </w:r>
          </w:p>
        </w:tc>
      </w:tr>
      <w:tr>
        <w:tc>
          <w:tcPr>
            <w:tcW w:type="dxa" w:w="1008"/>
            <w:vAlign w:val="top"/>
          </w:tcPr>
          <w:p>
            <w:r>
              <w:rPr>
                <w:sz w:val="15"/>
              </w:rPr>
              <w:t>2. Read</w:t>
            </w:r>
          </w:p>
        </w:tc>
        <w:tc>
          <w:tcPr>
            <w:tcW w:type="dxa" w:w="8568"/>
            <w:vAlign w:val="top"/>
          </w:tcPr>
          <w:p>
            <w:r>
              <w:rPr>
                <w:sz w:val="15"/>
              </w:rPr>
              <w:t>Read relevant architecture/domain docs and ADRs before code changes.</w:t>
            </w:r>
          </w:p>
        </w:tc>
      </w:tr>
      <w:tr>
        <w:tc>
          <w:tcPr>
            <w:tcW w:type="dxa" w:w="1008"/>
            <w:vAlign w:val="top"/>
          </w:tcPr>
          <w:p>
            <w:r>
              <w:rPr>
                <w:sz w:val="15"/>
              </w:rPr>
              <w:t>3. Model</w:t>
            </w:r>
          </w:p>
        </w:tc>
        <w:tc>
          <w:tcPr>
            <w:tcW w:type="dxa" w:w="8568"/>
            <w:vAlign w:val="top"/>
          </w:tcPr>
          <w:p>
            <w:r>
              <w:rPr>
                <w:sz w:val="15"/>
              </w:rPr>
              <w:t>Define/modify domain inputs, outputs, invariants and authoritative state.</w:t>
            </w:r>
          </w:p>
        </w:tc>
      </w:tr>
      <w:tr>
        <w:tc>
          <w:tcPr>
            <w:tcW w:type="dxa" w:w="1008"/>
            <w:vAlign w:val="top"/>
          </w:tcPr>
          <w:p>
            <w:r>
              <w:rPr>
                <w:sz w:val="15"/>
              </w:rPr>
              <w:t>4. Persist</w:t>
            </w:r>
          </w:p>
        </w:tc>
        <w:tc>
          <w:tcPr>
            <w:tcW w:type="dxa" w:w="8568"/>
            <w:vAlign w:val="top"/>
          </w:tcPr>
          <w:p>
            <w:r>
              <w:rPr>
                <w:sz w:val="15"/>
              </w:rPr>
              <w:t>If schema changes, create migration + constraints + indexes + repository changes.</w:t>
            </w:r>
          </w:p>
        </w:tc>
      </w:tr>
      <w:tr>
        <w:tc>
          <w:tcPr>
            <w:tcW w:type="dxa" w:w="1008"/>
            <w:vAlign w:val="top"/>
          </w:tcPr>
          <w:p>
            <w:r>
              <w:rPr>
                <w:sz w:val="15"/>
              </w:rPr>
              <w:t>5. Contract</w:t>
            </w:r>
          </w:p>
        </w:tc>
        <w:tc>
          <w:tcPr>
            <w:tcW w:type="dxa" w:w="8568"/>
            <w:vAlign w:val="top"/>
          </w:tcPr>
          <w:p>
            <w:r>
              <w:rPr>
                <w:sz w:val="15"/>
              </w:rPr>
              <w:t>Define transport request/response schemas in packages/contracts.</w:t>
            </w:r>
          </w:p>
        </w:tc>
      </w:tr>
      <w:tr>
        <w:tc>
          <w:tcPr>
            <w:tcW w:type="dxa" w:w="1008"/>
            <w:vAlign w:val="top"/>
          </w:tcPr>
          <w:p>
            <w:r>
              <w:rPr>
                <w:sz w:val="15"/>
              </w:rPr>
              <w:t>6. Backend</w:t>
            </w:r>
          </w:p>
        </w:tc>
        <w:tc>
          <w:tcPr>
            <w:tcW w:type="dxa" w:w="8568"/>
            <w:vAlign w:val="top"/>
          </w:tcPr>
          <w:p>
            <w:r>
              <w:rPr>
                <w:sz w:val="15"/>
              </w:rPr>
              <w:t>Implement application use case using domain + repositories with explicit transaction behavior.</w:t>
            </w:r>
          </w:p>
        </w:tc>
      </w:tr>
      <w:tr>
        <w:tc>
          <w:tcPr>
            <w:tcW w:type="dxa" w:w="1008"/>
            <w:vAlign w:val="top"/>
          </w:tcPr>
          <w:p>
            <w:r>
              <w:rPr>
                <w:sz w:val="15"/>
              </w:rPr>
              <w:t>7. Worker</w:t>
            </w:r>
          </w:p>
        </w:tc>
        <w:tc>
          <w:tcPr>
            <w:tcW w:type="dxa" w:w="8568"/>
            <w:vAlign w:val="top"/>
          </w:tcPr>
          <w:p>
            <w:r>
              <w:rPr>
                <w:sz w:val="15"/>
              </w:rPr>
              <w:t>If future/background execution exists, define durable event and idempotent handler using the same domain logic.</w:t>
            </w:r>
          </w:p>
        </w:tc>
      </w:tr>
      <w:tr>
        <w:tc>
          <w:tcPr>
            <w:tcW w:type="dxa" w:w="1008"/>
            <w:vAlign w:val="top"/>
          </w:tcPr>
          <w:p>
            <w:r>
              <w:rPr>
                <w:sz w:val="15"/>
              </w:rPr>
              <w:t>8. Client</w:t>
            </w:r>
          </w:p>
        </w:tc>
        <w:tc>
          <w:tcPr>
            <w:tcW w:type="dxa" w:w="8568"/>
            <w:vAlign w:val="top"/>
          </w:tcPr>
          <w:p>
            <w:r>
              <w:rPr>
                <w:sz w:val="15"/>
              </w:rPr>
              <w:t>Update packages/api-client to expose typed methods.</w:t>
            </w:r>
          </w:p>
        </w:tc>
      </w:tr>
      <w:tr>
        <w:tc>
          <w:tcPr>
            <w:tcW w:type="dxa" w:w="1008"/>
            <w:vAlign w:val="top"/>
          </w:tcPr>
          <w:p>
            <w:r>
              <w:rPr>
                <w:sz w:val="15"/>
              </w:rPr>
              <w:t>9. Web</w:t>
            </w:r>
          </w:p>
        </w:tc>
        <w:tc>
          <w:tcPr>
            <w:tcW w:type="dxa" w:w="8568"/>
            <w:vAlign w:val="top"/>
          </w:tcPr>
          <w:p>
            <w:r>
              <w:rPr>
                <w:sz w:val="15"/>
              </w:rPr>
              <w:t>Consume the client method; do not duplicate DTOs or calculate authoritative results.</w:t>
            </w:r>
          </w:p>
        </w:tc>
      </w:tr>
      <w:tr>
        <w:tc>
          <w:tcPr>
            <w:tcW w:type="dxa" w:w="1008"/>
            <w:vAlign w:val="top"/>
          </w:tcPr>
          <w:p>
            <w:r>
              <w:rPr>
                <w:sz w:val="15"/>
              </w:rPr>
              <w:t>10. Cache</w:t>
            </w:r>
          </w:p>
        </w:tc>
        <w:tc>
          <w:tcPr>
            <w:tcW w:type="dxa" w:w="8568"/>
            <w:vAlign w:val="top"/>
          </w:tcPr>
          <w:p>
            <w:r>
              <w:rPr>
                <w:sz w:val="15"/>
              </w:rPr>
              <w:t>Define cache key, TTL and invalidation only if cache is actually needed.</w:t>
            </w:r>
          </w:p>
        </w:tc>
      </w:tr>
      <w:tr>
        <w:tc>
          <w:tcPr>
            <w:tcW w:type="dxa" w:w="1008"/>
            <w:vAlign w:val="top"/>
          </w:tcPr>
          <w:p>
            <w:r>
              <w:rPr>
                <w:sz w:val="15"/>
              </w:rPr>
              <w:t>11. Test</w:t>
            </w:r>
          </w:p>
        </w:tc>
        <w:tc>
          <w:tcPr>
            <w:tcW w:type="dxa" w:w="8568"/>
            <w:vAlign w:val="top"/>
          </w:tcPr>
          <w:p>
            <w:r>
              <w:rPr>
                <w:sz w:val="15"/>
              </w:rPr>
              <w:t>Run unit, contract, DB integration and relevant E2E tests.</w:t>
            </w:r>
          </w:p>
        </w:tc>
      </w:tr>
      <w:tr>
        <w:tc>
          <w:tcPr>
            <w:tcW w:type="dxa" w:w="1008"/>
            <w:vAlign w:val="top"/>
          </w:tcPr>
          <w:p>
            <w:r>
              <w:rPr>
                <w:sz w:val="15"/>
              </w:rPr>
              <w:t>12. Verify</w:t>
            </w:r>
          </w:p>
        </w:tc>
        <w:tc>
          <w:tcPr>
            <w:tcW w:type="dxa" w:w="8568"/>
            <w:vAlign w:val="top"/>
          </w:tcPr>
          <w:p>
            <w:r>
              <w:rPr>
                <w:sz w:val="15"/>
              </w:rPr>
              <w:t>Search for duplicated types/rules/raw fetch/SQL outside allowed boundaries and run lint/typecheck/build.</w:t>
            </w:r>
          </w:p>
        </w:tc>
      </w:tr>
    </w:tbl>
    <w:p/>
    <w:p>
      <w:pPr>
        <w:pStyle w:val="Heading1"/>
      </w:pPr>
      <w:r>
        <w:t>11. Required Tests at Integration Boundaries</w:t>
      </w:r>
    </w:p>
    <w:tbl>
      <w:tblPr>
        <w:tblStyle w:val="TableGrid"/>
        <w:tblW w:type="auto" w:w="0"/>
        <w:jc w:val="center"/>
        <w:tblLook w:firstColumn="1" w:firstRow="1" w:lastColumn="0" w:lastRow="0" w:noHBand="0" w:noVBand="1" w:val="04A0"/>
      </w:tblPr>
      <w:tblGrid>
        <w:gridCol w:w="5083"/>
        <w:gridCol w:w="5083"/>
      </w:tblGrid>
      <w:tr>
        <w:tc>
          <w:tcPr>
            <w:tcW w:type="dxa" w:w="2232"/>
            <w:shd w:fill="DCEAF7"/>
          </w:tcPr>
          <w:p>
            <w:r>
              <w:rPr>
                <w:b/>
                <w:sz w:val="16"/>
              </w:rPr>
              <w:t>Test class</w:t>
            </w:r>
          </w:p>
        </w:tc>
        <w:tc>
          <w:tcPr>
            <w:tcW w:type="dxa" w:w="7344"/>
            <w:shd w:fill="DCEAF7"/>
          </w:tcPr>
          <w:p>
            <w:r>
              <w:rPr>
                <w:b/>
                <w:sz w:val="16"/>
              </w:rPr>
              <w:t>Must prove</w:t>
            </w:r>
          </w:p>
        </w:tc>
      </w:tr>
      <w:tr>
        <w:tc>
          <w:tcPr>
            <w:tcW w:type="dxa" w:w="2232"/>
            <w:vAlign w:val="top"/>
          </w:tcPr>
          <w:p>
            <w:r>
              <w:rPr>
                <w:sz w:val="15"/>
              </w:rPr>
              <w:t>game-core unit tests</w:t>
            </w:r>
          </w:p>
        </w:tc>
        <w:tc>
          <w:tcPr>
            <w:tcW w:type="dxa" w:w="7344"/>
            <w:vAlign w:val="top"/>
          </w:tcPr>
          <w:p>
            <w:r>
              <w:rPr>
                <w:sz w:val="15"/>
              </w:rPr>
              <w:t>Deterministic business rules produce correct output without infrastructure.</w:t>
            </w:r>
          </w:p>
        </w:tc>
      </w:tr>
      <w:tr>
        <w:tc>
          <w:tcPr>
            <w:tcW w:type="dxa" w:w="2232"/>
            <w:vAlign w:val="top"/>
          </w:tcPr>
          <w:p>
            <w:r>
              <w:rPr>
                <w:sz w:val="15"/>
              </w:rPr>
              <w:t>contract tests</w:t>
            </w:r>
          </w:p>
        </w:tc>
        <w:tc>
          <w:tcPr>
            <w:tcW w:type="dxa" w:w="7344"/>
            <w:vAlign w:val="top"/>
          </w:tcPr>
          <w:p>
            <w:r>
              <w:rPr>
                <w:sz w:val="15"/>
              </w:rPr>
              <w:t>API accepts/rejects payloads according to shared schemas and responses conform to schemas.</w:t>
            </w:r>
          </w:p>
        </w:tc>
      </w:tr>
      <w:tr>
        <w:tc>
          <w:tcPr>
            <w:tcW w:type="dxa" w:w="2232"/>
            <w:vAlign w:val="top"/>
          </w:tcPr>
          <w:p>
            <w:r>
              <w:rPr>
                <w:sz w:val="15"/>
              </w:rPr>
              <w:t>repository integration tests</w:t>
            </w:r>
          </w:p>
        </w:tc>
        <w:tc>
          <w:tcPr>
            <w:tcW w:type="dxa" w:w="7344"/>
            <w:vAlign w:val="top"/>
          </w:tcPr>
          <w:p>
            <w:r>
              <w:rPr>
                <w:sz w:val="15"/>
              </w:rPr>
              <w:t>Queries/mutations work against a real test PostgreSQL instance and honor constraints.</w:t>
            </w:r>
          </w:p>
        </w:tc>
      </w:tr>
      <w:tr>
        <w:tc>
          <w:tcPr>
            <w:tcW w:type="dxa" w:w="2232"/>
            <w:vAlign w:val="top"/>
          </w:tcPr>
          <w:p>
            <w:r>
              <w:rPr>
                <w:sz w:val="15"/>
              </w:rPr>
              <w:t>transaction tests</w:t>
            </w:r>
          </w:p>
        </w:tc>
        <w:tc>
          <w:tcPr>
            <w:tcW w:type="dxa" w:w="7344"/>
            <w:vAlign w:val="top"/>
          </w:tcPr>
          <w:p>
            <w:r>
              <w:rPr>
                <w:sz w:val="15"/>
              </w:rPr>
              <w:t>Failure in the middle of a multi-write use case does not leave partial authoritative state.</w:t>
            </w:r>
          </w:p>
        </w:tc>
      </w:tr>
      <w:tr>
        <w:tc>
          <w:tcPr>
            <w:tcW w:type="dxa" w:w="2232"/>
            <w:vAlign w:val="top"/>
          </w:tcPr>
          <w:p>
            <w:r>
              <w:rPr>
                <w:sz w:val="15"/>
              </w:rPr>
              <w:t>worker integration tests</w:t>
            </w:r>
          </w:p>
        </w:tc>
        <w:tc>
          <w:tcPr>
            <w:tcW w:type="dxa" w:w="7344"/>
            <w:vAlign w:val="top"/>
          </w:tcPr>
          <w:p>
            <w:r>
              <w:rPr>
                <w:sz w:val="15"/>
              </w:rPr>
              <w:t>Due event is claimed, processed and completed; retry does not duplicate effects.</w:t>
            </w:r>
          </w:p>
        </w:tc>
      </w:tr>
      <w:tr>
        <w:tc>
          <w:tcPr>
            <w:tcW w:type="dxa" w:w="2232"/>
            <w:vAlign w:val="top"/>
          </w:tcPr>
          <w:p>
            <w:r>
              <w:rPr>
                <w:sz w:val="15"/>
              </w:rPr>
              <w:t>concurrency tests</w:t>
            </w:r>
          </w:p>
        </w:tc>
        <w:tc>
          <w:tcPr>
            <w:tcW w:type="dxa" w:w="7344"/>
            <w:vAlign w:val="top"/>
          </w:tcPr>
          <w:p>
            <w:r>
              <w:rPr>
                <w:sz w:val="15"/>
              </w:rPr>
              <w:t>Two conflicting commands/events cannot create impossible quantities or duplicate ownership/state.</w:t>
            </w:r>
          </w:p>
        </w:tc>
      </w:tr>
      <w:tr>
        <w:tc>
          <w:tcPr>
            <w:tcW w:type="dxa" w:w="2232"/>
            <w:vAlign w:val="top"/>
          </w:tcPr>
          <w:p>
            <w:r>
              <w:rPr>
                <w:sz w:val="15"/>
              </w:rPr>
              <w:t>E2E tests</w:t>
            </w:r>
          </w:p>
        </w:tc>
        <w:tc>
          <w:tcPr>
            <w:tcW w:type="dxa" w:w="7344"/>
            <w:vAlign w:val="top"/>
          </w:tcPr>
          <w:p>
            <w:r>
              <w:rPr>
                <w:sz w:val="15"/>
              </w:rPr>
              <w:t>Web -&gt; typed client -&gt; API -&gt; PostgreSQL/worker -&gt; API/Web read path functions as one product.</w:t>
            </w:r>
          </w:p>
        </w:tc>
      </w:tr>
    </w:tbl>
    <w:p/>
    <w:p>
      <w:pPr>
        <w:pStyle w:val="Heading1"/>
      </w:pPr>
      <w:r>
        <w:t>12. Error Model Across Layers</w:t>
      </w:r>
    </w:p>
    <w:p>
      <w:pPr>
        <w:spacing w:before="60" w:after="100"/>
        <w:ind w:left="259"/>
      </w:pPr>
      <w:r>
        <w:rPr>
          <w:rFonts w:ascii="Liberation Mono" w:hAnsi="Liberation Mono"/>
          <w:sz w:val="15"/>
        </w:rPr>
        <w:t>Domain errors</w:t>
        <w:br/>
        <w:t xml:space="preserve">  INSUFFICIENT_QUANTITY</w:t>
        <w:br/>
        <w:t xml:space="preserve">  INVALID_TARGET</w:t>
        <w:br/>
        <w:t xml:space="preserve">  ACTION_NOT_ALLOWED</w:t>
        <w:br/>
        <w:t xml:space="preserve">  WORLD_MISMATCH</w:t>
        <w:br/>
        <w:t xml:space="preserve">        |</w:t>
        <w:br/>
        <w:t xml:space="preserve">        v</w:t>
        <w:br/>
        <w:t>Application/API mapping</w:t>
        <w:br/>
        <w:t xml:space="preserve">        |</w:t>
        <w:br/>
        <w:t xml:space="preserve">        +--&gt; HTTP status</w:t>
        <w:br/>
        <w:t xml:space="preserve">        +--&gt; stable machine-readable error code</w:t>
        <w:br/>
        <w:t xml:space="preserve">        +--&gt; safe message/details</w:t>
        <w:br/>
        <w:t xml:space="preserve">        |</w:t>
        <w:br/>
        <w:t xml:space="preserve">        v</w:t>
        <w:br/>
        <w:t>api-client typed error</w:t>
        <w:br/>
        <w:t xml:space="preserve">        |</w:t>
        <w:br/>
        <w:t xml:space="preserve">        v</w:t>
        <w:br/>
        <w:t>Web presentation / localization</w:t>
      </w:r>
    </w:p>
    <w:p>
      <w:r>
        <w:t>The database driver error, stack trace, SQL text or internal exception MUST NOT become the public API contract. Frontend behavior SHOULD branch on stable error codes, not English error strings.</w:t>
      </w:r>
    </w:p>
    <w:p>
      <w:pPr>
        <w:pStyle w:val="Heading1"/>
      </w:pPr>
      <w:r>
        <w:t>13. Schema and API Evolution</w:t>
      </w:r>
    </w:p>
    <w:p>
      <w:pPr>
        <w:pStyle w:val="ListBullet"/>
      </w:pPr>
      <w:r>
        <w:t>Prefer additive migrations before destructive migrations.</w:t>
      </w:r>
    </w:p>
    <w:p>
      <w:pPr>
        <w:pStyle w:val="ListBullet"/>
      </w:pPr>
      <w:r>
        <w:t>Deployments must tolerate outstanding Game Events created by the previous application version.</w:t>
      </w:r>
    </w:p>
    <w:p>
      <w:pPr>
        <w:pStyle w:val="ListBullet"/>
      </w:pPr>
      <w:r>
        <w:t>Persisted event payloads require explicit versioning when handler interpretation may change.</w:t>
      </w:r>
    </w:p>
    <w:p>
      <w:pPr>
        <w:pStyle w:val="ListBullet"/>
      </w:pPr>
      <w:r>
        <w:t>Do not rename/remove API fields without updating all monorepo consumers or providing compatibility.</w:t>
      </w:r>
    </w:p>
    <w:p>
      <w:pPr>
        <w:pStyle w:val="ListBullet"/>
      </w:pPr>
      <w:r>
        <w:t>Do not combine a destructive DB migration and code that requires the new shape without a deployment-safe migration plan.</w:t>
      </w:r>
    </w:p>
    <w:p>
      <w:pPr>
        <w:pStyle w:val="ListBullet"/>
      </w:pPr>
      <w:r>
        <w:t>Configuration identifiers such as UNIT_TYPE_3 are stable IDs; presentation labels may change independently.</w:t>
      </w:r>
    </w:p>
    <w:p>
      <w:pPr>
        <w:pStyle w:val="Heading1"/>
      </w:pPr>
      <w:r>
        <w:t>14. Prohibited Patterns</w:t>
      </w:r>
    </w:p>
    <w:tbl>
      <w:tblPr>
        <w:tblStyle w:val="TableGrid"/>
        <w:tblW w:type="auto" w:w="0"/>
        <w:jc w:val="center"/>
        <w:tblLook w:firstColumn="1" w:firstRow="1" w:lastColumn="0" w:lastRow="0" w:noHBand="0" w:noVBand="1" w:val="04A0"/>
      </w:tblPr>
      <w:tblGrid>
        <w:gridCol w:w="3389"/>
        <w:gridCol w:w="3389"/>
        <w:gridCol w:w="3389"/>
      </w:tblGrid>
      <w:tr>
        <w:tc>
          <w:tcPr>
            <w:tcW w:type="dxa" w:w="2592"/>
            <w:shd w:fill="DCEAF7"/>
          </w:tcPr>
          <w:p>
            <w:r>
              <w:rPr>
                <w:b/>
                <w:sz w:val="16"/>
              </w:rPr>
              <w:t>Pattern</w:t>
            </w:r>
          </w:p>
        </w:tc>
        <w:tc>
          <w:tcPr>
            <w:tcW w:type="dxa" w:w="3816"/>
            <w:shd w:fill="DCEAF7"/>
          </w:tcPr>
          <w:p>
            <w:r>
              <w:rPr>
                <w:b/>
                <w:sz w:val="16"/>
              </w:rPr>
              <w:t>Why prohibited</w:t>
            </w:r>
          </w:p>
        </w:tc>
        <w:tc>
          <w:tcPr>
            <w:tcW w:type="dxa" w:w="3168"/>
            <w:shd w:fill="DCEAF7"/>
          </w:tcPr>
          <w:p>
            <w:r>
              <w:rPr>
                <w:b/>
                <w:sz w:val="16"/>
              </w:rPr>
              <w:t>Use instead</w:t>
            </w:r>
          </w:p>
        </w:tc>
      </w:tr>
      <w:tr>
        <w:tc>
          <w:tcPr>
            <w:tcW w:type="dxa" w:w="2592"/>
            <w:vAlign w:val="top"/>
          </w:tcPr>
          <w:p>
            <w:r>
              <w:rPr>
                <w:sz w:val="15"/>
              </w:rPr>
              <w:t>Frontend imports database package</w:t>
            </w:r>
          </w:p>
        </w:tc>
        <w:tc>
          <w:tcPr>
            <w:tcW w:type="dxa" w:w="3816"/>
            <w:vAlign w:val="top"/>
          </w:tcPr>
          <w:p>
            <w:r>
              <w:rPr>
                <w:sz w:val="15"/>
              </w:rPr>
              <w:t>Leaks persistence model and destroys boundary.</w:t>
            </w:r>
          </w:p>
        </w:tc>
        <w:tc>
          <w:tcPr>
            <w:tcW w:type="dxa" w:w="3168"/>
            <w:vAlign w:val="top"/>
          </w:tcPr>
          <w:p>
            <w:r>
              <w:rPr>
                <w:sz w:val="15"/>
              </w:rPr>
              <w:t>contracts + api-client</w:t>
            </w:r>
          </w:p>
        </w:tc>
      </w:tr>
      <w:tr>
        <w:tc>
          <w:tcPr>
            <w:tcW w:type="dxa" w:w="2592"/>
            <w:vAlign w:val="top"/>
          </w:tcPr>
          <w:p>
            <w:r>
              <w:rPr>
                <w:sz w:val="15"/>
              </w:rPr>
              <w:t>Frontend defines copy of response interface</w:t>
            </w:r>
          </w:p>
        </w:tc>
        <w:tc>
          <w:tcPr>
            <w:tcW w:type="dxa" w:w="3816"/>
            <w:vAlign w:val="top"/>
          </w:tcPr>
          <w:p>
            <w:r>
              <w:rPr>
                <w:sz w:val="15"/>
              </w:rPr>
              <w:t>Contracts drift silently.</w:t>
            </w:r>
          </w:p>
        </w:tc>
        <w:tc>
          <w:tcPr>
            <w:tcW w:type="dxa" w:w="3168"/>
            <w:vAlign w:val="top"/>
          </w:tcPr>
          <w:p>
            <w:r>
              <w:rPr>
                <w:sz w:val="15"/>
              </w:rPr>
              <w:t>packages/contracts</w:t>
            </w:r>
          </w:p>
        </w:tc>
      </w:tr>
      <w:tr>
        <w:tc>
          <w:tcPr>
            <w:tcW w:type="dxa" w:w="2592"/>
            <w:vAlign w:val="top"/>
          </w:tcPr>
          <w:p>
            <w:r>
              <w:rPr>
                <w:sz w:val="15"/>
              </w:rPr>
              <w:t>Controller executes SQL</w:t>
            </w:r>
          </w:p>
        </w:tc>
        <w:tc>
          <w:tcPr>
            <w:tcW w:type="dxa" w:w="3816"/>
            <w:vAlign w:val="top"/>
          </w:tcPr>
          <w:p>
            <w:r>
              <w:rPr>
                <w:sz w:val="15"/>
              </w:rPr>
              <w:t>Mixes transport and persistence; hard to test/evolve.</w:t>
            </w:r>
          </w:p>
        </w:tc>
        <w:tc>
          <w:tcPr>
            <w:tcW w:type="dxa" w:w="3168"/>
            <w:vAlign w:val="top"/>
          </w:tcPr>
          <w:p>
            <w:r>
              <w:rPr>
                <w:sz w:val="15"/>
              </w:rPr>
              <w:t>application service + repository</w:t>
            </w:r>
          </w:p>
        </w:tc>
      </w:tr>
      <w:tr>
        <w:tc>
          <w:tcPr>
            <w:tcW w:type="dxa" w:w="2592"/>
            <w:vAlign w:val="top"/>
          </w:tcPr>
          <w:p>
            <w:r>
              <w:rPr>
                <w:sz w:val="15"/>
              </w:rPr>
              <w:t>Worker reimplements calculation</w:t>
            </w:r>
          </w:p>
        </w:tc>
        <w:tc>
          <w:tcPr>
            <w:tcW w:type="dxa" w:w="3816"/>
            <w:vAlign w:val="top"/>
          </w:tcPr>
          <w:p>
            <w:r>
              <w:rPr>
                <w:sz w:val="15"/>
              </w:rPr>
              <w:t>API and worker produce different game rules.</w:t>
            </w:r>
          </w:p>
        </w:tc>
        <w:tc>
          <w:tcPr>
            <w:tcW w:type="dxa" w:w="3168"/>
            <w:vAlign w:val="top"/>
          </w:tcPr>
          <w:p>
            <w:r>
              <w:rPr>
                <w:sz w:val="15"/>
              </w:rPr>
              <w:t>shared game-core function</w:t>
            </w:r>
          </w:p>
        </w:tc>
      </w:tr>
      <w:tr>
        <w:tc>
          <w:tcPr>
            <w:tcW w:type="dxa" w:w="2592"/>
            <w:vAlign w:val="top"/>
          </w:tcPr>
          <w:p>
            <w:r>
              <w:rPr>
                <w:sz w:val="15"/>
              </w:rPr>
              <w:t>setTimeout for critical 6-hour action</w:t>
            </w:r>
          </w:p>
        </w:tc>
        <w:tc>
          <w:tcPr>
            <w:tcW w:type="dxa" w:w="3816"/>
            <w:vAlign w:val="top"/>
          </w:tcPr>
          <w:p>
            <w:r>
              <w:rPr>
                <w:sz w:val="15"/>
              </w:rPr>
              <w:t>Lost on restart/deploy.</w:t>
            </w:r>
          </w:p>
        </w:tc>
        <w:tc>
          <w:tcPr>
            <w:tcW w:type="dxa" w:w="3168"/>
            <w:vAlign w:val="top"/>
          </w:tcPr>
          <w:p>
            <w:r>
              <w:rPr>
                <w:sz w:val="15"/>
              </w:rPr>
              <w:t>durable GameEvent</w:t>
            </w:r>
          </w:p>
        </w:tc>
      </w:tr>
      <w:tr>
        <w:tc>
          <w:tcPr>
            <w:tcW w:type="dxa" w:w="2592"/>
            <w:vAlign w:val="top"/>
          </w:tcPr>
          <w:p>
            <w:r>
              <w:rPr>
                <w:sz w:val="15"/>
              </w:rPr>
              <w:t>Redis-only durable event</w:t>
            </w:r>
          </w:p>
        </w:tc>
        <w:tc>
          <w:tcPr>
            <w:tcW w:type="dxa" w:w="3816"/>
            <w:vAlign w:val="top"/>
          </w:tcPr>
          <w:p>
            <w:r>
              <w:rPr>
                <w:sz w:val="15"/>
              </w:rPr>
              <w:t>Cache loss becomes gameplay loss.</w:t>
            </w:r>
          </w:p>
        </w:tc>
        <w:tc>
          <w:tcPr>
            <w:tcW w:type="dxa" w:w="3168"/>
            <w:vAlign w:val="top"/>
          </w:tcPr>
          <w:p>
            <w:r>
              <w:rPr>
                <w:sz w:val="15"/>
              </w:rPr>
              <w:t>PostgreSQL durable event</w:t>
            </w:r>
          </w:p>
        </w:tc>
      </w:tr>
      <w:tr>
        <w:tc>
          <w:tcPr>
            <w:tcW w:type="dxa" w:w="2592"/>
            <w:vAlign w:val="top"/>
          </w:tcPr>
          <w:p>
            <w:r>
              <w:rPr>
                <w:sz w:val="15"/>
              </w:rPr>
              <w:t>Client sends final calculated result</w:t>
            </w:r>
          </w:p>
        </w:tc>
        <w:tc>
          <w:tcPr>
            <w:tcW w:type="dxa" w:w="3816"/>
            <w:vAlign w:val="top"/>
          </w:tcPr>
          <w:p>
            <w:r>
              <w:rPr>
                <w:sz w:val="15"/>
              </w:rPr>
              <w:t>Cheat/correctness risk.</w:t>
            </w:r>
          </w:p>
        </w:tc>
        <w:tc>
          <w:tcPr>
            <w:tcW w:type="dxa" w:w="3168"/>
            <w:vAlign w:val="top"/>
          </w:tcPr>
          <w:p>
            <w:r>
              <w:rPr>
                <w:sz w:val="15"/>
              </w:rPr>
              <w:t>server-side calculation</w:t>
            </w:r>
          </w:p>
        </w:tc>
      </w:tr>
      <w:tr>
        <w:tc>
          <w:tcPr>
            <w:tcW w:type="dxa" w:w="2592"/>
            <w:vAlign w:val="top"/>
          </w:tcPr>
          <w:p>
            <w:r>
              <w:rPr>
                <w:sz w:val="15"/>
              </w:rPr>
              <w:t>Repository returns HTTP response DTO</w:t>
            </w:r>
          </w:p>
        </w:tc>
        <w:tc>
          <w:tcPr>
            <w:tcW w:type="dxa" w:w="3816"/>
            <w:vAlign w:val="top"/>
          </w:tcPr>
          <w:p>
            <w:r>
              <w:rPr>
                <w:sz w:val="15"/>
              </w:rPr>
              <w:t>Couples persistence to transport.</w:t>
            </w:r>
          </w:p>
        </w:tc>
        <w:tc>
          <w:tcPr>
            <w:tcW w:type="dxa" w:w="3168"/>
            <w:vAlign w:val="top"/>
          </w:tcPr>
          <w:p>
            <w:r>
              <w:rPr>
                <w:sz w:val="15"/>
              </w:rPr>
              <w:t>domain/persistence model + mapping</w:t>
            </w:r>
          </w:p>
        </w:tc>
      </w:tr>
      <w:tr>
        <w:tc>
          <w:tcPr>
            <w:tcW w:type="dxa" w:w="2592"/>
            <w:vAlign w:val="top"/>
          </w:tcPr>
          <w:p>
            <w:r>
              <w:rPr>
                <w:sz w:val="15"/>
              </w:rPr>
              <w:t>One giant shared package</w:t>
            </w:r>
          </w:p>
        </w:tc>
        <w:tc>
          <w:tcPr>
            <w:tcW w:type="dxa" w:w="3816"/>
            <w:vAlign w:val="top"/>
          </w:tcPr>
          <w:p>
            <w:r>
              <w:rPr>
                <w:sz w:val="15"/>
              </w:rPr>
              <w:t>Ownership and dependency rules disappear.</w:t>
            </w:r>
          </w:p>
        </w:tc>
        <w:tc>
          <w:tcPr>
            <w:tcW w:type="dxa" w:w="3168"/>
            <w:vAlign w:val="top"/>
          </w:tcPr>
          <w:p>
            <w:r>
              <w:rPr>
                <w:sz w:val="15"/>
              </w:rPr>
              <w:t>small purpose-specific packages</w:t>
            </w:r>
          </w:p>
        </w:tc>
      </w:tr>
      <w:tr>
        <w:tc>
          <w:tcPr>
            <w:tcW w:type="dxa" w:w="2592"/>
            <w:vAlign w:val="top"/>
          </w:tcPr>
          <w:p>
            <w:r>
              <w:rPr>
                <w:sz w:val="15"/>
              </w:rPr>
              <w:t>RabbitMQ added by default</w:t>
            </w:r>
          </w:p>
        </w:tc>
        <w:tc>
          <w:tcPr>
            <w:tcW w:type="dxa" w:w="3816"/>
            <w:vAlign w:val="top"/>
          </w:tcPr>
          <w:p>
            <w:r>
              <w:rPr>
                <w:sz w:val="15"/>
              </w:rPr>
              <w:t>Adds distributed failure modes before need exists.</w:t>
            </w:r>
          </w:p>
        </w:tc>
        <w:tc>
          <w:tcPr>
            <w:tcW w:type="dxa" w:w="3168"/>
            <w:vAlign w:val="top"/>
          </w:tcPr>
          <w:p>
            <w:r>
              <w:rPr>
                <w:sz w:val="15"/>
              </w:rPr>
              <w:t>PostgreSQL worker queue first; ADR when broker justified</w:t>
            </w:r>
          </w:p>
        </w:tc>
      </w:tr>
    </w:tbl>
    <w:p/>
    <w:p>
      <w:pPr>
        <w:pStyle w:val="Heading1"/>
      </w:pPr>
      <w:r>
        <w:t>15. Feature Change Impact Template</w:t>
      </w:r>
    </w:p>
    <w:p>
      <w:r>
        <w:t>Agents SHOULD include this compact analysis in their implementation plan or PR description.</w:t>
      </w:r>
    </w:p>
    <w:p>
      <w:pPr>
        <w:spacing w:before="60" w:after="100"/>
        <w:ind w:left="259"/>
      </w:pPr>
      <w:r>
        <w:rPr>
          <w:rFonts w:ascii="Liberation Mono" w:hAnsi="Liberation Mono"/>
          <w:sz w:val="15"/>
        </w:rPr>
        <w:t>Feature: &lt;name&gt;</w:t>
        <w:br/>
        <w:br/>
        <w:t>Authoritative state:</w:t>
        <w:br/>
        <w:t>- &lt;tables / aggregates&gt;</w:t>
        <w:br/>
        <w:br/>
        <w:t>Contract changes:</w:t>
        <w:br/>
        <w:t>- &lt;request/response schemas or none&gt;</w:t>
        <w:br/>
        <w:br/>
        <w:t>Domain rules:</w:t>
        <w:br/>
        <w:t>- &lt;game-core functions/invariants&gt;</w:t>
        <w:br/>
        <w:br/>
        <w:t>Database:</w:t>
        <w:br/>
        <w:t>- &lt;migration / indexes / repository changes or none&gt;</w:t>
        <w:br/>
        <w:br/>
        <w:t>Worker:</w:t>
        <w:br/>
        <w:t>- &lt;event type / handler / idempotency or none&gt;</w:t>
        <w:br/>
        <w:br/>
        <w:t>Redis:</w:t>
        <w:br/>
        <w:t>- &lt;cache + invalidation or none&gt;</w:t>
        <w:br/>
        <w:br/>
        <w:t>Frontend:</w:t>
        <w:br/>
        <w:t>- &lt;api-client methods + UI consumers&gt;</w:t>
        <w:br/>
        <w:br/>
        <w:t>Failure / concurrency:</w:t>
        <w:br/>
        <w:t>- &lt;transaction, locking, retry behavior&gt;</w:t>
        <w:br/>
        <w:br/>
        <w:t>Tests:</w:t>
        <w:br/>
        <w:t>- &lt;unit / contract / integration / concurrency / E2E&gt;</w:t>
      </w:r>
    </w:p>
    <w:p>
      <w:pPr>
        <w:pStyle w:val="Heading1"/>
      </w:pPr>
      <w:r>
        <w:t>16. Definition of Done for an AI-Generated Change</w:t>
      </w:r>
    </w:p>
    <w:p>
      <w:pPr>
        <w:pStyle w:val="ListBullet"/>
      </w:pPr>
      <w:r>
        <w:t>No duplicated transport DTO exists between Web and API.</w:t>
      </w:r>
    </w:p>
    <w:p>
      <w:pPr>
        <w:pStyle w:val="ListBullet"/>
      </w:pPr>
      <w:r>
        <w:t>No authoritative rule is implemented separately in Web, API and Worker.</w:t>
      </w:r>
    </w:p>
    <w:p>
      <w:pPr>
        <w:pStyle w:val="ListBullet"/>
      </w:pPr>
      <w:r>
        <w:t>All durable mutations have an explicit PostgreSQL transaction/correctness strategy.</w:t>
      </w:r>
    </w:p>
    <w:p>
      <w:pPr>
        <w:pStyle w:val="ListBullet"/>
      </w:pPr>
      <w:r>
        <w:t>Any future critical action survives API/worker/Redis restart.</w:t>
      </w:r>
    </w:p>
    <w:p>
      <w:pPr>
        <w:pStyle w:val="ListBullet"/>
      </w:pPr>
      <w:r>
        <w:t>Worker execution is idempotent or otherwise proven duplicate-safe.</w:t>
      </w:r>
    </w:p>
    <w:p>
      <w:pPr>
        <w:pStyle w:val="ListBullet"/>
      </w:pPr>
      <w:r>
        <w:t>Frontend uses typed API-client methods and handles stable error codes.</w:t>
      </w:r>
    </w:p>
    <w:p>
      <w:pPr>
        <w:pStyle w:val="ListBullet"/>
      </w:pPr>
      <w:r>
        <w:t>Database migrations, constraints and indexes accompany schema/query changes.</w:t>
      </w:r>
    </w:p>
    <w:p>
      <w:pPr>
        <w:pStyle w:val="ListBullet"/>
      </w:pPr>
      <w:r>
        <w:t>World isolation is validated for all world-scoped reads and writes.</w:t>
      </w:r>
    </w:p>
    <w:p>
      <w:pPr>
        <w:pStyle w:val="ListBullet"/>
      </w:pPr>
      <w:r>
        <w:t>Relevant unit/integration/E2E tests pass.</w:t>
      </w:r>
    </w:p>
    <w:p>
      <w:pPr>
        <w:pStyle w:val="ListBullet"/>
      </w:pPr>
      <w:r>
        <w:t>Typecheck, lint and builds pass for all affected packages/apps.</w:t>
      </w:r>
    </w:p>
    <w:p>
      <w:pPr>
        <w:pStyle w:val="ListBullet"/>
      </w:pPr>
      <w:r>
        <w:t>No new infrastructure dependency is introduced without an ADR.</w:t>
      </w:r>
    </w:p>
    <w:p>
      <w:pPr>
        <w:pStyle w:val="Heading1"/>
      </w:pPr>
      <w:r>
        <w:t>17. Recommended Root AGENTS.md Rules</w:t>
      </w:r>
    </w:p>
    <w:p>
      <w:pPr>
        <w:spacing w:before="60" w:after="100"/>
        <w:ind w:left="259"/>
      </w:pPr>
      <w:r>
        <w:rPr>
          <w:rFonts w:ascii="Liberation Mono" w:hAnsi="Liberation Mono"/>
          <w:sz w:val="15"/>
        </w:rPr>
        <w:t>PROJECT INFERNO - MANDATORY AGENT RULES</w:t>
        <w:br/>
        <w:br/>
        <w:t>1. Read architecture documents and relevant ADRs before editing.</w:t>
        <w:br/>
        <w:t>2. Treat PostgreSQL as the authoritative durable state.</w:t>
        <w:br/>
        <w:t>3. Never use in-memory timers for durable gameplay scheduling.</w:t>
        <w:br/>
        <w:t>4. Use packages/contracts as the single API transport contract source.</w:t>
        <w:br/>
        <w:t>5. Web calls API through packages/api-client.</w:t>
        <w:br/>
        <w:t>6. Keep game-core deterministic and infrastructure-free.</w:t>
        <w:br/>
        <w:t>7. API and Worker reuse game-core; never duplicate game rules.</w:t>
        <w:br/>
        <w:t>8. Persistent multi-write operations require explicit transactions.</w:t>
        <w:br/>
        <w:t>9. Game Event handlers must be retry-safe/idempotent.</w:t>
        <w:br/>
        <w:t>10. Redis contains only disposable/reconstructable state.</w:t>
        <w:br/>
        <w:t>11. Every World-scoped operation validates worldId.</w:t>
        <w:br/>
        <w:t>12. Schema changes require migrations and index review.</w:t>
        <w:br/>
        <w:t>13. Do not introduce theme-specific names into generic modules.</w:t>
        <w:br/>
        <w:t>14. Do not introduce new infrastructure without an ADR.</w:t>
        <w:br/>
        <w:t>15. Before completion run lint, typecheck, unit tests, integration tests,</w:t>
        <w:br/>
        <w:t xml:space="preserve">    relevant E2E tests, and build affected applications.</w:t>
        <w:br/>
        <w:t>16. If a requested change conflicts with these rules, stop and propose</w:t>
        <w:br/>
        <w:t xml:space="preserve">    an ADR rather than silently bypassing the architecture.</w:t>
      </w:r>
    </w:p>
    <w:p>
      <w:pPr>
        <w:pStyle w:val="Heading1"/>
      </w:pPr>
      <w:r>
        <w:t>18. Architectural Success Criterion</w:t>
      </w:r>
    </w:p>
    <w:p>
      <w:r>
        <w:t>The architecture is successful when an agent can modify a feature spanning UI, API, persistence and scheduled execution without inventing new integration conventions. The location of every contract, rule and source of truth is predictable; compile-time checks catch transport drift; database transactions protect authoritative state; workers reuse the same domain logic as synchronous commands; and infrastructure failures do not silently corrupt or erase committed gameplay.</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Normative implementation guide • Frontend ↔ Backend ↔ Database ↔ Workers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sz w:val="15"/>
      </w:rPr>
      <w:t>PROJECT INFERNO / AI AGENT INTEGRATION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