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5276"/>
          <w:sz w:val="44"/>
          <w:szCs w:val="44"/>
        </w:rPr>
        <w:t xml:space="preserve">CBC GRADING SYSTEM</w:t>
      </w:r>
    </w:p>
    <w:p>
      <w:pPr>
        <w:spacing w:after="300"/>
        <w:jc w:val="center"/>
      </w:pPr>
      <w:r>
        <w:rPr>
          <w:i/>
          <w:iCs/>
          <w:color w:val="3A6080"/>
          <w:sz w:val="22"/>
          <w:szCs w:val="22"/>
        </w:rPr>
        <w:t xml:space="preserve">How scores, points and performance levels are calculated in the Results Portal</w:t>
      </w:r>
    </w:p>
    <w:p>
      <w:pPr>
        <w:pBdr>
          <w:bottom w:val="single" w:color="2E75B6" w:sz="6" w:space="1"/>
        </w:pBdr>
        <w:spacing w:after="200" w:before="100"/>
      </w:pPr>
      <w:r>
        <w:t xml:space="preserve"/>
      </w:r>
    </w:p>
    <w:p>
      <w:pPr>
        <w:pStyle w:val="Heading1"/>
      </w:pPr>
      <w:r>
        <w:t xml:space="preserve">1. Overview</w:t>
      </w:r>
    </w:p>
    <w:p>
      <w:pPr>
        <w:spacing w:after="160"/>
      </w:pPr>
      <w:r>
        <w:rPr>
          <w:b w:val="false"/>
          <w:bCs w:val="false"/>
          <w:sz w:val="22"/>
          <w:szCs w:val="22"/>
        </w:rPr>
        <w:t xml:space="preserve">The Results Portal uses Kenya's Competency-Based Curriculum (CBC) assessment model. Every subject is marked out of 100 raw marks. The system automatically converts each raw mark into a performance level and a point value using a fixed scale. This document explains that scale, how points are assigned, and how an individual learner's overall grade is calculated.</w:t>
      </w:r>
    </w:p>
    <w:p>
      <w:pPr>
        <w:pStyle w:val="Heading1"/>
      </w:pPr>
      <w:r>
        <w:t xml:space="preserve">2. The Grading Scale</w:t>
      </w:r>
    </w:p>
    <w:p>
      <w:pPr>
        <w:spacing w:after="160"/>
      </w:pPr>
      <w:r>
        <w:rPr>
          <w:b w:val="false"/>
          <w:bCs w:val="false"/>
          <w:sz w:val="22"/>
          <w:szCs w:val="22"/>
        </w:rPr>
        <w:t xml:space="preserve">Every score entered into the system, for any subject, is checked against the table below to determine its level and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b/>
                <w:bCs/>
                <w:color w:val="FFFFFF"/>
                <w:sz w:val="20"/>
                <w:szCs w:val="20"/>
              </w:rPr>
              <w:t xml:space="preserve">Score Range (%)</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b/>
                <w:bCs/>
                <w:color w:val="FFFFFF"/>
                <w:sz w:val="20"/>
                <w:szCs w:val="20"/>
              </w:rPr>
              <w:t xml:space="preserve">Level</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b/>
                <w:bCs/>
                <w:color w:val="FFFFFF"/>
                <w:sz w:val="20"/>
                <w:szCs w:val="20"/>
              </w:rPr>
              <w:t xml:space="preserve">Points</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90 –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AE60"/>
                <w:sz w:val="20"/>
                <w:szCs w:val="20"/>
              </w:rPr>
              <w:t xml:space="preserve">EE1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Exceeding Expectation (Highest)</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75 – 89.9</w:t>
            </w:r>
          </w:p>
        </w:tc>
        <w:tc>
          <w:tcPr>
            <w:tcW w:type="dxa" w:w="1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bCs/>
                <w:color w:val="27AE60"/>
                <w:sz w:val="20"/>
                <w:szCs w:val="20"/>
              </w:rPr>
              <w:t xml:space="preserve">EE2</w:t>
            </w:r>
          </w:p>
        </w:tc>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7.0</w:t>
            </w:r>
          </w:p>
        </w:tc>
        <w:tc>
          <w:tcPr>
            <w:tcW w:type="dxa" w:w="41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left"/>
            </w:pPr>
            <w:r>
              <w:rPr>
                <w:b w:val="false"/>
                <w:bCs w:val="false"/>
                <w:color w:val="000000"/>
                <w:sz w:val="20"/>
                <w:szCs w:val="20"/>
              </w:rPr>
              <w:t xml:space="preserve">Exceeding Expectation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58 – 74.9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F39C12"/>
                <w:sz w:val="20"/>
                <w:szCs w:val="20"/>
              </w:rPr>
              <w:t xml:space="preserve">ME1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Meeting Expectation (Upper)</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41 – 57.9</w:t>
            </w:r>
          </w:p>
        </w:tc>
        <w:tc>
          <w:tcPr>
            <w:tcW w:type="dxa" w:w="1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bCs/>
                <w:color w:val="F39C12"/>
                <w:sz w:val="20"/>
                <w:szCs w:val="20"/>
              </w:rPr>
              <w:t xml:space="preserve">ME2</w:t>
            </w:r>
          </w:p>
        </w:tc>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5.0</w:t>
            </w:r>
          </w:p>
        </w:tc>
        <w:tc>
          <w:tcPr>
            <w:tcW w:type="dxa" w:w="41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left"/>
            </w:pPr>
            <w:r>
              <w:rPr>
                <w:b w:val="false"/>
                <w:bCs w:val="false"/>
                <w:color w:val="000000"/>
                <w:sz w:val="20"/>
                <w:szCs w:val="20"/>
              </w:rPr>
              <w:t xml:space="preserve">Meeting Expectation (Lower)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31 – 40.9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E67E22"/>
                <w:sz w:val="20"/>
                <w:szCs w:val="20"/>
              </w:rPr>
              <w:t xml:space="preserve">AE1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Approaching Expectation</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21 – 30.9</w:t>
            </w:r>
          </w:p>
        </w:tc>
        <w:tc>
          <w:tcPr>
            <w:tcW w:type="dxa" w:w="1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bCs/>
                <w:color w:val="E67E22"/>
                <w:sz w:val="20"/>
                <w:szCs w:val="20"/>
              </w:rPr>
              <w:t xml:space="preserve">AE2</w:t>
            </w:r>
          </w:p>
        </w:tc>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3.0</w:t>
            </w:r>
          </w:p>
        </w:tc>
        <w:tc>
          <w:tcPr>
            <w:tcW w:type="dxa" w:w="41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left"/>
            </w:pPr>
            <w:r>
              <w:rPr>
                <w:b w:val="false"/>
                <w:bCs w:val="false"/>
                <w:color w:val="000000"/>
                <w:sz w:val="20"/>
                <w:szCs w:val="20"/>
              </w:rPr>
              <w:t xml:space="preserve">Approaching Expectation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11 – 20.9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E74C3C"/>
                <w:sz w:val="20"/>
                <w:szCs w:val="20"/>
              </w:rPr>
              <w:t xml:space="preserve">BE1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Below Expectation</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1 – 10.9</w:t>
            </w:r>
          </w:p>
        </w:tc>
        <w:tc>
          <w:tcPr>
            <w:tcW w:type="dxa" w:w="1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bCs/>
                <w:color w:val="E74C3C"/>
                <w:sz w:val="20"/>
                <w:szCs w:val="20"/>
              </w:rPr>
              <w:t xml:space="preserve">BE2</w:t>
            </w:r>
          </w:p>
        </w:tc>
        <w:tc>
          <w:tcPr>
            <w:tcW w:type="dxa" w:w="1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41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left"/>
            </w:pPr>
            <w:r>
              <w:rPr>
                <w:b w:val="false"/>
                <w:bCs w:val="false"/>
                <w:color w:val="000000"/>
                <w:sz w:val="20"/>
                <w:szCs w:val="20"/>
              </w:rPr>
              <w:t xml:space="preserve">Below Expectation</w:t>
            </w:r>
          </w:p>
        </w:tc>
      </w:tr>
    </w:tbl>
    <w:p>
      <w:pPr>
        <w:spacing w:before="200"/>
      </w:pPr>
    </w:p>
    <w:p>
      <w:pPr>
        <w:pStyle w:val="Heading1"/>
      </w:pPr>
      <w:r>
        <w:t xml:space="preserve">3. How Points Are Added</w:t>
      </w:r>
    </w:p>
    <w:p>
      <w:pPr>
        <w:spacing w:after="160"/>
      </w:pPr>
      <w:r>
        <w:rPr>
          <w:b w:val="false"/>
          <w:bCs w:val="false"/>
          <w:sz w:val="22"/>
          <w:szCs w:val="22"/>
        </w:rPr>
        <w:t xml:space="preserve">Each performance level carries a fixed point value, shown in the table above (ranging from 1.0 for the lowest band to 8.0 for the highest). These points are not added together across subjects to form a combined score; rather, each subject keeps its own level and point value, and the overall performance level is determined from the learner's average mark, as explained below.</w:t>
      </w:r>
    </w:p>
    <w:p>
      <w:pPr>
        <w:pStyle w:val="Heading1"/>
      </w:pPr>
      <w:r>
        <w:t xml:space="preserve">4. Calculating a Learner's Overall Grade</w:t>
      </w:r>
    </w:p>
    <w:p>
      <w:pPr>
        <w:pStyle w:val="ListParagraph"/>
        <w:numPr>
          <w:ilvl w:val="0"/>
          <w:numId w:val="2"/>
        </w:numPr>
        <w:spacing w:after="100"/>
      </w:pPr>
      <w:r>
        <w:rPr>
          <w:sz w:val="22"/>
          <w:szCs w:val="22"/>
        </w:rPr>
        <w:t xml:space="preserve">Each subject's raw score (0–100) is recorded by the teacher.</w:t>
      </w:r>
    </w:p>
    <w:p>
      <w:pPr>
        <w:pStyle w:val="ListParagraph"/>
        <w:numPr>
          <w:ilvl w:val="0"/>
          <w:numId w:val="2"/>
        </w:numPr>
        <w:spacing w:after="100"/>
      </w:pPr>
      <w:r>
        <w:rPr>
          <w:sz w:val="22"/>
          <w:szCs w:val="22"/>
        </w:rPr>
        <w:t xml:space="preserve">Each subject score is matched against the grading scale to find its level (e.g. EE1, ME2) and point value.</w:t>
      </w:r>
    </w:p>
    <w:p>
      <w:pPr>
        <w:pStyle w:val="ListParagraph"/>
        <w:numPr>
          <w:ilvl w:val="0"/>
          <w:numId w:val="2"/>
        </w:numPr>
        <w:spacing w:after="100"/>
      </w:pPr>
      <w:r>
        <w:rPr>
          <w:sz w:val="22"/>
          <w:szCs w:val="22"/>
        </w:rPr>
        <w:t xml:space="preserve">The learner's overall average is calculated as: Sum of all subject scores ÷ Number of subjects.</w:t>
      </w:r>
    </w:p>
    <w:p>
      <w:pPr>
        <w:pStyle w:val="ListParagraph"/>
        <w:numPr>
          <w:ilvl w:val="0"/>
          <w:numId w:val="2"/>
        </w:numPr>
        <w:spacing w:after="100"/>
      </w:pPr>
      <w:r>
        <w:rPr>
          <w:sz w:val="22"/>
          <w:szCs w:val="22"/>
        </w:rPr>
        <w:t xml:space="preserve">This overall average is matched against the same grading scale to determine the learner's overall CBC level for that term, which appears on the report card and dashboard.</w:t>
      </w:r>
    </w:p>
    <w:p>
      <w:pPr>
        <w:pStyle w:val="Heading1"/>
      </w:pPr>
      <w:r>
        <w:t xml:space="preserve">5. Worked Example</w:t>
      </w:r>
    </w:p>
    <w:p>
      <w:pPr>
        <w:spacing w:after="160"/>
      </w:pPr>
      <w:r>
        <w:rPr>
          <w:b w:val="false"/>
          <w:bCs w:val="false"/>
          <w:sz w:val="22"/>
          <w:szCs w:val="22"/>
        </w:rPr>
        <w:t xml:space="preserve">Suppose a learner sits four subjects in one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b/>
                <w:bCs/>
                <w:color w:val="FFFFFF"/>
                <w:sz w:val="20"/>
                <w:szCs w:val="20"/>
              </w:rPr>
              <w:t xml:space="preserve">Subject</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b/>
                <w:bCs/>
                <w:color w:val="FFFFFF"/>
                <w:sz w:val="20"/>
                <w:szCs w:val="20"/>
              </w:rPr>
              <w:t xml:space="preserve">Raw Score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b/>
                <w:bCs/>
                <w:color w:val="FFFFFF"/>
                <w:sz w:val="20"/>
                <w:szCs w:val="20"/>
              </w:rPr>
              <w:t xml:space="preserve">CBC Level / Points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sz w:val="20"/>
                <w:szCs w:val="20"/>
              </w:rPr>
              <w:t xml:space="preserve">Mathematics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sz w:val="20"/>
                <w:szCs w:val="20"/>
              </w:rPr>
              <w:t xml:space="preserve">82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27AE60"/>
                <w:sz w:val="20"/>
                <w:szCs w:val="20"/>
              </w:rPr>
              <w:t xml:space="preserve">EE2 / 7.0</w:t>
            </w:r>
          </w:p>
        </w:tc>
      </w:tr>
      <w:tr>
        <w:tc>
          <w:tcPr>
            <w:tcW w:type="dxa" w:w="312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English</w:t>
            </w:r>
          </w:p>
        </w:tc>
        <w:tc>
          <w:tcPr>
            <w:tcW w:type="dxa" w:w="312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65</w:t>
            </w:r>
          </w:p>
        </w:tc>
        <w:tc>
          <w:tcPr>
            <w:tcW w:type="dxa" w:w="312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bCs/>
                <w:color w:val="F39C12"/>
                <w:sz w:val="20"/>
                <w:szCs w:val="20"/>
              </w:rPr>
              <w:t xml:space="preserve">ME1 / 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sz w:val="20"/>
                <w:szCs w:val="20"/>
              </w:rPr>
              <w:t xml:space="preserve">Kiswahili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sz w:val="20"/>
                <w:szCs w:val="20"/>
              </w:rPr>
              <w:t xml:space="preserve">48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F39C12"/>
                <w:sz w:val="20"/>
                <w:szCs w:val="20"/>
              </w:rPr>
              <w:t xml:space="preserve">ME2 / 5.0</w:t>
            </w:r>
          </w:p>
        </w:tc>
      </w:tr>
      <w:tr>
        <w:tc>
          <w:tcPr>
            <w:tcW w:type="dxa" w:w="312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Science</w:t>
            </w:r>
          </w:p>
        </w:tc>
        <w:tc>
          <w:tcPr>
            <w:tcW w:type="dxa" w:w="312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val="false"/>
                <w:bCs w:val="false"/>
                <w:color w:val="000000"/>
                <w:sz w:val="20"/>
                <w:szCs w:val="20"/>
              </w:rPr>
              <w:t xml:space="preserve">35</w:t>
            </w:r>
          </w:p>
        </w:tc>
        <w:tc>
          <w:tcPr>
            <w:tcW w:type="dxa" w:w="312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vAlign w:val="center"/>
          </w:tcPr>
          <w:p>
            <w:pPr>
              <w:jc w:val="center"/>
            </w:pPr>
            <w:r>
              <w:rPr>
                <w:b/>
                <w:bCs/>
                <w:color w:val="E67E22"/>
                <w:sz w:val="20"/>
                <w:szCs w:val="20"/>
              </w:rPr>
              <w:t xml:space="preserve">AE1 / 4.0</w:t>
            </w:r>
          </w:p>
        </w:tc>
      </w:tr>
    </w:tbl>
    <w:p>
      <w:pPr>
        <w:spacing w:after="120" w:before="200"/>
      </w:pPr>
      <w:r>
        <w:rPr>
          <w:sz w:val="22"/>
          <w:szCs w:val="22"/>
        </w:rPr>
        <w:t xml:space="preserve">Overall average = (82 + 65 + 48 + 35) ÷ 4 = 57.5%  →  </w:t>
      </w:r>
      <w:r>
        <w:rPr>
          <w:b/>
          <w:bCs/>
          <w:color w:val="F39C12"/>
          <w:sz w:val="22"/>
          <w:szCs w:val="22"/>
        </w:rPr>
        <w:t xml:space="preserve">ME2 (5.0 points)</w:t>
      </w:r>
    </w:p>
    <w:p>
      <w:pPr>
        <w:spacing w:after="160"/>
      </w:pPr>
      <w:r>
        <w:rPr>
          <w:b w:val="false"/>
          <w:bCs w:val="false"/>
          <w:sz w:val="22"/>
          <w:szCs w:val="22"/>
        </w:rPr>
        <w:t xml:space="preserve">So although the learner scored EE2 in Mathematics, their overall performance level for the term is ME2, because it reflects the average across all subjects, not the best single subject.</w:t>
      </w:r>
    </w:p>
    <w:p>
      <w:pPr>
        <w:pStyle w:val="Heading1"/>
      </w:pPr>
      <w:r>
        <w:t xml:space="preserve">6. Where This Scale Is Used in the System</w:t>
      </w:r>
    </w:p>
    <w:p>
      <w:pPr>
        <w:pStyle w:val="ListParagraph"/>
        <w:numPr>
          <w:ilvl w:val="0"/>
          <w:numId w:val="3"/>
        </w:numPr>
        <w:spacing w:after="80"/>
      </w:pPr>
      <w:r>
        <w:rPr>
          <w:sz w:val="22"/>
          <w:szCs w:val="22"/>
        </w:rPr>
        <w:t xml:space="preserve">Individual report cards and share cards — to show each subject's level and the overall term level.</w:t>
      </w:r>
    </w:p>
    <w:p>
      <w:pPr>
        <w:pStyle w:val="ListParagraph"/>
        <w:numPr>
          <w:ilvl w:val="0"/>
          <w:numId w:val="3"/>
        </w:numPr>
        <w:spacing w:after="80"/>
      </w:pPr>
      <w:r>
        <w:rPr>
          <w:sz w:val="22"/>
          <w:szCs w:val="22"/>
        </w:rPr>
        <w:t xml:space="preserve">Dashboard KPIs — to count how many learners fall in each performance band (EE / ME / AE / BE).</w:t>
      </w:r>
    </w:p>
    <w:p>
      <w:pPr>
        <w:pStyle w:val="ListParagraph"/>
        <w:numPr>
          <w:ilvl w:val="0"/>
          <w:numId w:val="3"/>
        </w:numPr>
        <w:spacing w:after="80"/>
      </w:pPr>
      <w:r>
        <w:rPr>
          <w:sz w:val="22"/>
          <w:szCs w:val="22"/>
        </w:rPr>
        <w:t xml:space="preserve">Distribution charts and subject performance views — bars and colours are based on these same bands.</w:t>
      </w:r>
    </w:p>
    <w:p>
      <w:pPr>
        <w:pStyle w:val="ListParagraph"/>
        <w:numPr>
          <w:ilvl w:val="0"/>
          <w:numId w:val="3"/>
        </w:numPr>
        <w:spacing w:after="80"/>
      </w:pPr>
      <w:r>
        <w:rPr>
          <w:sz w:val="22"/>
          <w:szCs w:val="22"/>
        </w:rPr>
        <w:t xml:space="preserve">At-Risk list — learners whose overall average falls in the AE or BE range are flagged for follow-up.</w:t>
      </w:r>
    </w:p>
    <w:p>
      <w:pPr>
        <w:pStyle w:val="ListParagraph"/>
        <w:numPr>
          <w:ilvl w:val="0"/>
          <w:numId w:val="3"/>
        </w:numPr>
        <w:spacing w:after="80"/>
      </w:pPr>
      <w:r>
        <w:rPr>
          <w:sz w:val="22"/>
          <w:szCs w:val="22"/>
        </w:rPr>
        <w:t xml:space="preserve">Class and subject rankings — built by sorting learners using the same average and level calculations.</w:t>
      </w:r>
    </w:p>
    <w:p>
      <w:pPr>
        <w:pStyle w:val="Heading1"/>
      </w:pPr>
      <w:r>
        <w:t xml:space="preserve">7. Quick Reference Summary</w:t>
      </w:r>
    </w:p>
    <w:p>
      <w:pPr>
        <w:pStyle w:val="ListParagraph"/>
        <w:numPr>
          <w:ilvl w:val="0"/>
          <w:numId w:val="3"/>
        </w:numPr>
        <w:spacing w:after="80"/>
      </w:pPr>
      <w:r>
        <w:rPr>
          <w:sz w:val="22"/>
          <w:szCs w:val="22"/>
        </w:rPr>
        <w:t xml:space="preserve">90–100% → EE1 (8.0 pts) — Exceeding Expectation, highest band</w:t>
      </w:r>
    </w:p>
    <w:p>
      <w:pPr>
        <w:pStyle w:val="ListParagraph"/>
        <w:numPr>
          <w:ilvl w:val="0"/>
          <w:numId w:val="3"/>
        </w:numPr>
        <w:spacing w:after="80"/>
      </w:pPr>
      <w:r>
        <w:rPr>
          <w:sz w:val="22"/>
          <w:szCs w:val="22"/>
        </w:rPr>
        <w:t xml:space="preserve">75–89.9% → EE2 (7.0 pts) — Exceeding Expectation</w:t>
      </w:r>
    </w:p>
    <w:p>
      <w:pPr>
        <w:pStyle w:val="ListParagraph"/>
        <w:numPr>
          <w:ilvl w:val="0"/>
          <w:numId w:val="3"/>
        </w:numPr>
        <w:spacing w:after="80"/>
      </w:pPr>
      <w:r>
        <w:rPr>
          <w:sz w:val="22"/>
          <w:szCs w:val="22"/>
        </w:rPr>
        <w:t xml:space="preserve">58–74.9% → ME1 (6.0 pts) — Meeting Expectation, upper band</w:t>
      </w:r>
    </w:p>
    <w:p>
      <w:pPr>
        <w:pStyle w:val="ListParagraph"/>
        <w:numPr>
          <w:ilvl w:val="0"/>
          <w:numId w:val="3"/>
        </w:numPr>
        <w:spacing w:after="80"/>
      </w:pPr>
      <w:r>
        <w:rPr>
          <w:sz w:val="22"/>
          <w:szCs w:val="22"/>
        </w:rPr>
        <w:t xml:space="preserve">41–57.9% → ME2 (5.0 pts) — Meeting Expectation, lower band</w:t>
      </w:r>
    </w:p>
    <w:p>
      <w:pPr>
        <w:pStyle w:val="ListParagraph"/>
        <w:numPr>
          <w:ilvl w:val="0"/>
          <w:numId w:val="3"/>
        </w:numPr>
        <w:spacing w:after="80"/>
      </w:pPr>
      <w:r>
        <w:rPr>
          <w:sz w:val="22"/>
          <w:szCs w:val="22"/>
        </w:rPr>
        <w:t xml:space="preserve">31–40.9% → AE1 (4.0 pts) — Approaching Expectation</w:t>
      </w:r>
    </w:p>
    <w:p>
      <w:pPr>
        <w:pStyle w:val="ListParagraph"/>
        <w:numPr>
          <w:ilvl w:val="0"/>
          <w:numId w:val="3"/>
        </w:numPr>
        <w:spacing w:after="80"/>
      </w:pPr>
      <w:r>
        <w:rPr>
          <w:sz w:val="22"/>
          <w:szCs w:val="22"/>
        </w:rPr>
        <w:t xml:space="preserve">21–30.9% → AE2 (3.0 pts) — Approaching Expectation</w:t>
      </w:r>
    </w:p>
    <w:p>
      <w:pPr>
        <w:pStyle w:val="ListParagraph"/>
        <w:numPr>
          <w:ilvl w:val="0"/>
          <w:numId w:val="3"/>
        </w:numPr>
        <w:spacing w:after="80"/>
      </w:pPr>
      <w:r>
        <w:rPr>
          <w:sz w:val="22"/>
          <w:szCs w:val="22"/>
        </w:rPr>
        <w:t xml:space="preserve">11–20.9% → BE1 (2.0 pts) — Below Expectation</w:t>
      </w:r>
    </w:p>
    <w:p>
      <w:pPr>
        <w:pStyle w:val="ListParagraph"/>
        <w:numPr>
          <w:ilvl w:val="0"/>
          <w:numId w:val="3"/>
        </w:numPr>
        <w:spacing w:after="80"/>
      </w:pPr>
      <w:r>
        <w:rPr>
          <w:sz w:val="22"/>
          <w:szCs w:val="22"/>
        </w:rPr>
        <w:t xml:space="preserve">1–10.9% → BE2 (1.0 pts) — Below Expectation, lowest band</w:t>
      </w:r>
    </w:p>
    <w:p>
      <w:pPr>
        <w:spacing w:before="300"/>
      </w:pPr>
      <w:r>
        <w:rPr>
          <w:b/>
          <w:bCs/>
          <w:color w:val="8AADCC"/>
          <w:sz w:val="20"/>
          <w:szCs w:val="20"/>
        </w:rPr>
        <w:t xml:space="preserve">Note: </w:t>
      </w:r>
      <w:r>
        <w:rPr>
          <w:i/>
          <w:iCs/>
          <w:color w:val="8AADCC"/>
          <w:sz w:val="20"/>
          <w:szCs w:val="20"/>
        </w:rPr>
        <w:t xml:space="preserve">This scale is built into the portal's code and applies consistently across all reports, analytics and exports. To view it live inside the system, open the sidebar and select "Grading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ADCC"/>
        <w:sz w:val="16"/>
        <w:szCs w:val="16"/>
      </w:rPr>
      <w:t xml:space="preserve">Page </w:t>
    </w:r>
    <w:r>
      <w:rPr>
        <w:color w:val="8AAD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ADCC"/>
        <w:sz w:val="16"/>
        <w:szCs w:val="16"/>
      </w:rPr>
      <w:t xml:space="preserve">Kanyadet School — Results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2026-06-30T08:51:41.525Z</dcterms:created>
  <dcterms:modified xsi:type="dcterms:W3CDTF">2026-06-30T08:51:41.525Z</dcterms:modified>
</cp:coreProperties>
</file>

<file path=docProps/custom.xml><?xml version="1.0" encoding="utf-8"?>
<Properties xmlns="http://schemas.openxmlformats.org/officeDocument/2006/custom-properties" xmlns:vt="http://schemas.openxmlformats.org/officeDocument/2006/docPropsVTypes"/>
</file>