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原</w:t>
      </w:r>
      <w:r>
        <w:rPr>
          <w:rFonts w:hint="eastAsia"/>
        </w:rPr>
        <w:t>书 GitHub存储库网址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原书的代码文件与本书赠送的代码文件一致</w:t>
      </w:r>
      <w:r>
        <w:rPr>
          <w:rFonts w:hint="eastAsia"/>
          <w:lang w:eastAsia="zh-CN"/>
        </w:rPr>
        <w:t>）</w:t>
      </w:r>
      <w:bookmarkStart w:id="4" w:name="_GoBack"/>
      <w:bookmarkEnd w:id="4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https://github.com/PacktPublishing/Machine-Learning-for-Algorithmic-Trading-Second-Edition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在GitHub存储库中的本章的README文件中可以找到其他资源和引用的链接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P9</w:t>
      </w:r>
    </w:p>
    <w:p>
      <w:pPr>
        <w:rPr>
          <w:rFonts w:hint="eastAsia"/>
        </w:rPr>
      </w:pPr>
      <w:r>
        <w:rPr>
          <w:rFonts w:hint="eastAsia"/>
        </w:rPr>
        <w:t>数据提供商 Yipit 赞助的网站</w:t>
      </w:r>
      <w:r>
        <w:rPr>
          <w:rFonts w:hint="eastAsia"/>
          <w:highlight w:val="yellow"/>
        </w:rPr>
        <w:t xml:space="preserve"> alternativedata.org </w:t>
      </w:r>
      <w:r>
        <w:rPr>
          <w:rFonts w:hint="eastAsia"/>
        </w:rPr>
        <w:t>中专门罗列了各类数据提供商，截至 2018 年 12 月，该网站已经有超过 375 家另类数据提供商。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P31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 xml:space="preserve">AlgoSeek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分钟采样基于证券信息处理器（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SIP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）提供的数据，该处理器负责管理证券买卖汇总记录带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color w:val="000000"/>
          <w:kern w:val="0"/>
          <w:sz w:val="19"/>
          <w:szCs w:val="19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源数据。 </w:t>
      </w:r>
      <w:r>
        <w:rPr>
          <w:rFonts w:hint="eastAsia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>你可以在</w:t>
      </w:r>
      <w:r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Consolas" w:hAnsi="Consolas" w:eastAsia="Consolas" w:cs="Consolas"/>
          <w:color w:val="00000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ascii="Consolas" w:hAnsi="Consolas" w:eastAsia="Consolas" w:cs="Consolas"/>
          <w:color w:val="000000"/>
          <w:kern w:val="0"/>
          <w:sz w:val="19"/>
          <w:szCs w:val="19"/>
          <w:u w:val="none"/>
          <w:lang w:val="en-US" w:eastAsia="zh-CN" w:bidi="ar"/>
        </w:rPr>
        <w:instrText xml:space="preserve"> HYPERLINK "https://www.algoseek.com/samples/查看该文档。" </w:instrText>
      </w:r>
      <w:r>
        <w:rPr>
          <w:rFonts w:ascii="Consolas" w:hAnsi="Consolas" w:eastAsia="Consolas" w:cs="Consolas"/>
          <w:color w:val="00000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4"/>
          <w:rFonts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https://www.algoseek.com/samples/</w:t>
      </w:r>
      <w:r>
        <w:rPr>
          <w:rStyle w:val="4"/>
          <w:rFonts w:hint="eastAsia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Style w:val="4"/>
          <w:rFonts w:hint="eastAsia" w:ascii="Consolas" w:hAnsi="Consolas" w:eastAsia="Consolas" w:cs="Consolas"/>
          <w:color w:val="auto"/>
          <w:kern w:val="0"/>
          <w:sz w:val="19"/>
          <w:szCs w:val="19"/>
          <w:u w:val="none"/>
          <w:lang w:val="en-US" w:eastAsia="zh-CN" w:bidi="ar"/>
        </w:rPr>
        <w:t>查看该文档。</w:t>
      </w:r>
      <w:r>
        <w:rPr>
          <w:rFonts w:ascii="Consolas" w:hAnsi="Consolas" w:eastAsia="Consolas" w:cs="Consolas"/>
          <w:color w:val="00000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color w:val="000000"/>
          <w:kern w:val="0"/>
          <w:sz w:val="19"/>
          <w:szCs w:val="19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color w:val="000000"/>
          <w:kern w:val="0"/>
          <w:sz w:val="19"/>
          <w:szCs w:val="19"/>
          <w:u w:val="none"/>
          <w:lang w:val="en-US" w:eastAsia="zh-CN" w:bidi="ar"/>
        </w:rPr>
      </w:pPr>
      <w:r>
        <w:rPr>
          <w:rFonts w:hint="eastAsia" w:ascii="Consolas" w:hAnsi="Consolas" w:eastAsia="Consolas" w:cs="Consolas"/>
          <w:color w:val="000000"/>
          <w:kern w:val="0"/>
          <w:sz w:val="19"/>
          <w:szCs w:val="19"/>
          <w:u w:val="none"/>
          <w:lang w:val="en-US" w:eastAsia="zh-CN" w:bidi="ar"/>
        </w:rPr>
        <w:t>P34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auto"/>
        </w:rPr>
      </w:pPr>
      <w:r>
        <w:rPr>
          <w:rFonts w:ascii="Consolas" w:hAnsi="Consolas" w:eastAsia="Consolas" w:cs="Consolas"/>
          <w:b/>
          <w:bCs/>
          <w:color w:val="auto"/>
          <w:kern w:val="0"/>
          <w:sz w:val="19"/>
          <w:szCs w:val="19"/>
          <w:lang w:val="en-US" w:eastAsia="zh-CN" w:bidi="ar"/>
        </w:rPr>
        <w:t xml:space="preserve">sp_url =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19"/>
          <w:szCs w:val="19"/>
          <w:lang w:val="en-US" w:eastAsia="zh-CN" w:bidi="ar"/>
        </w:rPr>
        <w:t>'https://en.wikipedia.org/wiki/List_of_S%26P_500_companies'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000000"/>
          <w:kern w:val="0"/>
          <w:sz w:val="19"/>
          <w:szCs w:val="19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color w:val="000000"/>
          <w:kern w:val="0"/>
          <w:sz w:val="19"/>
          <w:szCs w:val="19"/>
          <w:u w:val="none"/>
          <w:lang w:val="en-US" w:eastAsia="zh-CN" w:bidi="ar"/>
        </w:rPr>
      </w:pPr>
      <w:r>
        <w:rPr>
          <w:rFonts w:hint="eastAsia" w:ascii="Consolas" w:hAnsi="Consolas" w:eastAsia="Consolas" w:cs="Consolas"/>
          <w:color w:val="000000"/>
          <w:kern w:val="0"/>
          <w:sz w:val="19"/>
          <w:szCs w:val="19"/>
          <w:u w:val="none"/>
          <w:lang w:val="en-US" w:eastAsia="zh-CN" w:bidi="ar"/>
        </w:rPr>
        <w:t>P38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彭博（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Bloomberg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）和汤森路透（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Thomson Reuters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）一直是领先的数据提供商，在价值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 xml:space="preserve">285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亿美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元的金融数据市场上的总份额超过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55%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。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其他规模较小的竞争对手和后来者包括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>FactSet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>money.net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9"/>
          <w:szCs w:val="19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>Quandl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9"/>
          <w:szCs w:val="19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Trading Economics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Barchart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9"/>
          <w:szCs w:val="19"/>
          <w:lang w:val="en-US" w:eastAsia="zh-CN" w:bidi="ar"/>
        </w:rPr>
        <w:t>等。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000000"/>
          <w:kern w:val="0"/>
          <w:sz w:val="19"/>
          <w:szCs w:val="19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83A42"/>
          <w:kern w:val="0"/>
          <w:sz w:val="19"/>
          <w:szCs w:val="19"/>
          <w:lang w:val="en-US" w:eastAsia="zh-CN" w:bidi="ar"/>
        </w:rPr>
      </w:pPr>
      <w:r>
        <w:rPr>
          <w:rFonts w:hint="eastAsia" w:ascii="Consolas" w:hAnsi="Consolas" w:eastAsia="Consolas" w:cs="Consolas"/>
          <w:color w:val="383A42"/>
          <w:kern w:val="0"/>
          <w:sz w:val="19"/>
          <w:szCs w:val="19"/>
          <w:lang w:val="en-US" w:eastAsia="zh-CN" w:bidi="ar"/>
        </w:rPr>
        <w:t>P40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b/>
          <w:bCs/>
          <w:color w:val="auto"/>
          <w:kern w:val="0"/>
          <w:sz w:val="19"/>
          <w:szCs w:val="19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19"/>
          <w:szCs w:val="19"/>
          <w:lang w:val="en-US" w:eastAsia="zh-CN" w:bidi="ar"/>
        </w:rPr>
        <w:t>SEC_URL = 'https://www.sec.gov/files/dera/data/financial-statement-and-notes</w:t>
      </w:r>
      <w:r>
        <w:rPr>
          <w:rFonts w:hint="eastAsia" w:ascii="Consolas" w:hAnsi="Consolas" w:eastAsia="Consolas" w:cs="Consolas"/>
          <w:b/>
          <w:bCs/>
          <w:color w:val="auto"/>
          <w:kern w:val="0"/>
          <w:sz w:val="19"/>
          <w:szCs w:val="19"/>
          <w:lang w:val="en-US" w:eastAsia="zh-CN" w:bidi="ar"/>
        </w:rPr>
        <w:t>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b/>
          <w:bCs/>
          <w:color w:val="auto"/>
          <w:kern w:val="0"/>
          <w:sz w:val="19"/>
          <w:szCs w:val="19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19"/>
          <w:szCs w:val="19"/>
          <w:lang w:val="en-US" w:eastAsia="zh-CN" w:bidi="ar"/>
        </w:rPr>
        <w:t>data-sets/'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P52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另类数据提供商的市场相当分散，这也反映了这一新行业的快速增长。摩根大通（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J. P. Morgan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）列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出了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 xml:space="preserve">500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多家专业数据公司，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 xml:space="preserve">AlternativeData.org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则列出了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 xml:space="preserve">300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多家。数据提供商扮演的角色也各不相同，有咨询公司、集成商，也有的是提供技术解决方案。卖方支持各种格式的数据传送，如原始数据、半处理数据甚至是从一个或多个数据源提取的某种形式的信号。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P55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83A42"/>
          <w:kern w:val="0"/>
          <w:sz w:val="19"/>
          <w:szCs w:val="19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383A42"/>
          <w:kern w:val="0"/>
          <w:sz w:val="19"/>
          <w:szCs w:val="19"/>
          <w:lang w:val="en-US" w:eastAsia="zh-CN" w:bidi="ar"/>
        </w:rPr>
        <w:t>url = https://www.opentable.com/new-york-restaurant-listings</w:t>
      </w:r>
      <w:r>
        <w:rPr>
          <w:rFonts w:hint="default" w:ascii="Consolas" w:hAnsi="Consolas" w:eastAsia="Consolas" w:cs="Consolas"/>
          <w:color w:val="383A42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83A42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83A42"/>
          <w:kern w:val="0"/>
          <w:sz w:val="19"/>
          <w:szCs w:val="19"/>
          <w:lang w:val="en-US" w:eastAsia="zh-CN" w:bidi="ar"/>
        </w:rPr>
      </w:pPr>
      <w:r>
        <w:rPr>
          <w:rFonts w:hint="eastAsia" w:ascii="Consolas" w:hAnsi="Consolas" w:eastAsia="Consolas" w:cs="Consolas"/>
          <w:color w:val="383A42"/>
          <w:kern w:val="0"/>
          <w:sz w:val="19"/>
          <w:szCs w:val="19"/>
          <w:lang w:val="en-US" w:eastAsia="zh-CN" w:bidi="ar"/>
        </w:rPr>
        <w:t>P57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Consolas" w:hAnsi="Consolas" w:eastAsia="Consolas" w:cs="Consolas"/>
          <w:b/>
          <w:bCs/>
          <w:color w:val="383A42"/>
          <w:kern w:val="0"/>
          <w:sz w:val="19"/>
          <w:szCs w:val="19"/>
          <w:lang w:val="en-US" w:eastAsia="zh-CN" w:bidi="ar"/>
        </w:rPr>
        <w:t>url = https://www.opentable.com/new-york-restaurant-listings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color w:val="383A42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P58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b/>
          <w:bCs/>
          <w:color w:val="383A42"/>
          <w:kern w:val="0"/>
          <w:sz w:val="19"/>
          <w:szCs w:val="19"/>
          <w:lang w:val="en-US" w:eastAsia="zh-CN" w:bidi="ar"/>
        </w:rPr>
      </w:pPr>
      <w:r>
        <w:rPr>
          <w:rFonts w:ascii="Consolas" w:hAnsi="Consolas" w:eastAsia="Consolas" w:cs="Consolas"/>
          <w:b/>
          <w:bCs/>
          <w:color w:val="383A42"/>
          <w:kern w:val="0"/>
          <w:sz w:val="19"/>
          <w:szCs w:val="19"/>
          <w:lang w:val="en-US" w:eastAsia="zh-CN" w:bidi="ar"/>
        </w:rPr>
        <w:t>start_urls = ['https://www.opentable.com/new-york-restaurant-</w:t>
      </w:r>
      <w:r>
        <w:rPr>
          <w:rFonts w:hint="default" w:ascii="Consolas" w:hAnsi="Consolas" w:eastAsia="Consolas" w:cs="Consolas"/>
          <w:b/>
          <w:bCs/>
          <w:color w:val="383A42"/>
          <w:kern w:val="0"/>
          <w:sz w:val="19"/>
          <w:szCs w:val="19"/>
          <w:lang w:val="en-US" w:eastAsia="zh-CN" w:bidi="ar"/>
        </w:rPr>
        <w:t>listings']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b/>
          <w:bCs/>
          <w:color w:val="383A42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b/>
          <w:bCs/>
          <w:color w:val="383A42"/>
          <w:kern w:val="0"/>
          <w:sz w:val="19"/>
          <w:szCs w:val="19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383A42"/>
          <w:kern w:val="0"/>
          <w:sz w:val="19"/>
          <w:szCs w:val="19"/>
          <w:lang w:val="en-US" w:eastAsia="zh-CN" w:bidi="ar"/>
        </w:rPr>
        <w:t>P59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b/>
          <w:bCs/>
          <w:color w:val="383A42"/>
          <w:kern w:val="0"/>
          <w:sz w:val="19"/>
          <w:szCs w:val="19"/>
          <w:lang w:val="en-US" w:eastAsia="zh-CN" w:bidi="ar"/>
        </w:rPr>
      </w:pPr>
      <w:r>
        <w:rPr>
          <w:rFonts w:ascii="Consolas" w:hAnsi="Consolas" w:eastAsia="Consolas" w:cs="Consolas"/>
          <w:b/>
          <w:bCs/>
          <w:color w:val="383A42"/>
          <w:kern w:val="0"/>
          <w:sz w:val="19"/>
          <w:szCs w:val="19"/>
          <w:lang w:val="en-US" w:eastAsia="zh-CN" w:bidi="ar"/>
        </w:rPr>
        <w:t>SA_URL = 'https://seekingalpha.com/'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b/>
          <w:bCs/>
          <w:color w:val="383A42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b/>
          <w:bCs/>
          <w:color w:val="383A42"/>
          <w:kern w:val="0"/>
          <w:sz w:val="19"/>
          <w:szCs w:val="19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383A42"/>
          <w:kern w:val="0"/>
          <w:sz w:val="19"/>
          <w:szCs w:val="19"/>
          <w:lang w:val="en-US" w:eastAsia="zh-CN" w:bidi="ar"/>
        </w:rPr>
        <w:t>P101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>scikit-learn (</w:t>
      </w:r>
      <w:r>
        <w:rPr>
          <w:rFonts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http://scikit-learn.org/stable/modules/generated/sklearn.covariance.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LedoitWolf.html</w:t>
      </w:r>
      <w:r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>P170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Marcos Lopez de Prado</w:t>
      </w:r>
      <w:r>
        <w:rPr>
          <w:rFonts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http://www.quantresearch.info/</w:t>
      </w:r>
      <w:r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 xml:space="preserve">)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发表了大量关于回测风险以及如何检测或避免风险的文章，包括回测–过度拟合（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backtest-overfitting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）在线模拟器</w:t>
      </w:r>
      <w:r>
        <w:rPr>
          <w:rFonts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http://datagrid.lbl.gov/backtest/</w:t>
      </w:r>
      <w:r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Book Antiqua" w:hAnsi="Book Antiqua" w:eastAsia="Book Antiqua" w:cs="Book Antiqua"/>
          <w:i/>
          <w:iCs/>
          <w:color w:val="000000"/>
          <w:kern w:val="0"/>
          <w:sz w:val="21"/>
          <w:szCs w:val="21"/>
          <w:lang w:val="en-US" w:eastAsia="zh-CN" w:bidi="ar"/>
        </w:rPr>
        <w:t>Bailey, et al. 2015</w:t>
      </w:r>
      <w:r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>P180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5"/>
        <w:outlineLvl w:val="2"/>
        <w:rPr>
          <w:b/>
          <w:bCs/>
        </w:rPr>
      </w:pPr>
      <w:bookmarkStart w:id="0" w:name="_Toc20585"/>
      <w:bookmarkStart w:id="1" w:name="_Toc6314"/>
      <w:bookmarkStart w:id="2" w:name="_Toc8916"/>
      <w:bookmarkStart w:id="3" w:name="_Toc3246"/>
      <w:r>
        <w:rPr>
          <w:b/>
          <w:bCs/>
        </w:rPr>
        <w:t>已知问题</w:t>
      </w:r>
      <w:bookmarkEnd w:id="0"/>
      <w:bookmarkEnd w:id="1"/>
      <w:bookmarkEnd w:id="2"/>
      <w:bookmarkEnd w:id="3"/>
    </w:p>
    <w:p>
      <w:pPr>
        <w:pStyle w:val="5"/>
      </w:pPr>
      <w:r>
        <w:t>Zipline需要国债曲线和依赖于IEX API</w:t>
      </w:r>
      <w:r>
        <w:rPr>
          <w:rFonts w:hint="eastAsia"/>
        </w:rPr>
        <w:t>的</w:t>
      </w:r>
      <w:r>
        <w:t>标准普尔500指数</w:t>
      </w:r>
      <w:r>
        <w:rPr>
          <w:rFonts w:hint="eastAsia"/>
        </w:rPr>
        <w:t>收益</w:t>
      </w:r>
      <w:r>
        <w:t>作为基准</w:t>
      </w:r>
      <w:r>
        <w:rPr>
          <w:rFonts w:hint="eastAsia"/>
          <w:lang w:eastAsia="zh-CN"/>
        </w:rPr>
        <w:t>（</w:t>
      </w:r>
      <w:r>
        <w:t>https</w:t>
      </w:r>
      <w:r>
        <w:rPr>
          <w:rFonts w:hint="eastAsia"/>
        </w:rPr>
        <w:t>：</w:t>
      </w:r>
      <w:r>
        <w:t>//github.com/quantopian/zipline/issues/2480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</w:t>
      </w:r>
      <w:r>
        <w:t>IEX API需要注册才能获得密钥。</w:t>
      </w:r>
      <w:r>
        <w:rPr>
          <w:rFonts w:hint="eastAsia"/>
        </w:rPr>
        <w:t>当然</w:t>
      </w:r>
      <w:r>
        <w:t>，</w:t>
      </w:r>
      <w:r>
        <w:rPr>
          <w:rFonts w:hint="eastAsia"/>
        </w:rPr>
        <w:t>我们也可以简单地给</w:t>
      </w:r>
      <w:r>
        <w:t>Zipline打个补丁</w:t>
      </w:r>
      <w:r>
        <w:rPr>
          <w:rFonts w:hint="eastAsia"/>
        </w:rPr>
        <w:t>，</w:t>
      </w:r>
      <w:r>
        <w:t>绕过这个问题从美联储</w:t>
      </w:r>
      <w:r>
        <w:rPr>
          <w:rFonts w:hint="eastAsia"/>
          <w:lang w:eastAsia="zh-CN"/>
        </w:rPr>
        <w:t>（</w:t>
      </w:r>
      <w:r>
        <w:t>Federal Reserve</w:t>
      </w:r>
      <w:r>
        <w:rPr>
          <w:rFonts w:hint="eastAsia"/>
          <w:lang w:eastAsia="zh-CN"/>
        </w:rPr>
        <w:t>）</w:t>
      </w:r>
      <w:r>
        <w:t>那里下载数据</w:t>
      </w:r>
      <w:r>
        <w:rPr>
          <w:rFonts w:hint="eastAsia"/>
        </w:rPr>
        <w:t>，</w:t>
      </w:r>
      <w:r>
        <w:t>GitHub描述了如何做到这一点。</w:t>
      </w:r>
      <w:r>
        <w:rPr>
          <w:rFonts w:hint="eastAsia"/>
        </w:rPr>
        <w:t>再</w:t>
      </w:r>
      <w:r>
        <w:t>或者，zipline/resources/market_data/SPY_benchmark.csv提供SPY返回值</w:t>
      </w:r>
      <w:r>
        <w:rPr>
          <w:rFonts w:hint="eastAsia"/>
        </w:rPr>
        <w:t>，您可以将其</w:t>
      </w:r>
      <w:r>
        <w:t>移动到.zipline文件夹中，</w:t>
      </w:r>
      <w:r>
        <w:rPr>
          <w:rFonts w:hint="eastAsia"/>
        </w:rPr>
        <w:t>如果您没有自行更改位置</w:t>
      </w:r>
      <w:r>
        <w:t>该文件夹通常位于主目录中。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</w:rPr>
        <w:t>另外，只能通过</w:t>
      </w:r>
      <w:r>
        <w:t>Interactive Brokers</w:t>
      </w:r>
      <w:r>
        <w:rPr>
          <w:rFonts w:hint="eastAsia"/>
        </w:rPr>
        <w:t>运行</w:t>
      </w:r>
      <w:r>
        <w:t>Quantopian并不</w:t>
      </w:r>
      <w:r>
        <w:rPr>
          <w:rFonts w:hint="eastAsia"/>
        </w:rPr>
        <w:t>提供</w:t>
      </w:r>
      <w:r>
        <w:t>完全支持</w:t>
      </w:r>
      <w:r>
        <w:rPr>
          <w:rFonts w:hint="eastAsia"/>
        </w:rPr>
        <w:t>的</w:t>
      </w:r>
      <w:r>
        <w:t>实时交易系统</w:t>
      </w:r>
      <w:r>
        <w:rPr>
          <w:rFonts w:hint="eastAsia"/>
          <w:lang w:eastAsia="zh-CN"/>
        </w:rPr>
        <w:t>（</w:t>
      </w:r>
      <w:r>
        <w:t>https</w:t>
      </w:r>
      <w:r>
        <w:rPr>
          <w:rFonts w:hint="eastAsia"/>
        </w:rPr>
        <w:t>：</w:t>
      </w:r>
      <w:r>
        <w:t>//github.com/zipline-live/zipline</w:t>
      </w:r>
      <w:r>
        <w:rPr>
          <w:rFonts w:hint="eastAsia"/>
          <w:lang w:eastAsia="zh-CN"/>
        </w:rPr>
        <w:t>）</w:t>
      </w:r>
      <w:r>
        <w:t>。</w:t>
      </w:r>
      <w:r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>P266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 xml:space="preserve">LightGBM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模型接收大量的参数（参见</w:t>
      </w:r>
      <w:r>
        <w:rPr>
          <w:rFonts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https://lightgbm.readthedocs.io/</w:t>
      </w:r>
      <w:r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 xml:space="preserve"> and the next chapter</w:t>
      </w:r>
      <w:r>
        <w:rPr>
          <w:rFonts w:hint="eastAsia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。当然我们只是为了启用随机森林算法，因此只需要定义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boosting_type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，设置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 xml:space="preserve">bagging_freq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为正数，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 xml:space="preserve">objective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为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regression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，代码如下：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P433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仅使用少量训练集，我们就可以达到很高的准确率。然而，最先进的性能达到的错误率只有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1.02%</w:t>
      </w:r>
      <w:r>
        <w:rPr>
          <w:rFonts w:hint="eastAsia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（参见</w:t>
      </w:r>
      <w:r>
        <w:rPr>
          <w:rFonts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https://benchmarks.ai/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svhn</w:t>
      </w:r>
      <w:r>
        <w:rPr>
          <w:rFonts w:hint="eastAsia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，要想更接近，最重要的步骤就是增加训练数据量。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P456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针对循环神经网络的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 xml:space="preserve">TensorFlow 2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指南强调了以下事实：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 xml:space="preserve">GPU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支持仅在对大多数长短期记忆层设置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使用默认值时可用</w:t>
      </w:r>
      <w:r>
        <w:rPr>
          <w:rFonts w:hint="eastAsia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https://www.tensorflow.org/guide/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keras/rnn</w:t>
      </w:r>
      <w:r>
        <w:rPr>
          <w:rFonts w:hint="eastAsia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P511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强化学习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问题有几个元素，这些元素将它们与我们到目前为止所讨论的</w:t>
      </w:r>
      <w:r>
        <w:rPr>
          <w:rFonts w:hint="eastAsia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机器学习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区别开来。下面两个部分概述了通过学习自动化决策的策略来定义和解决</w:t>
      </w:r>
      <w:r>
        <w:rPr>
          <w:rFonts w:hint="eastAsia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强化学习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问题所需的关键特性。我们将使用这种表示法，并大致遵循强化学习:导论(Sutton和Barto 2018)和David Silver的伦敦大学学院RL课程(https://www.davidsilver.uk/teaching/)，建议在本章范围内的简短总结之外进行进一步研究。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3OTFjZTE4ZTY2MTZiNTI4MzJlNjJkYjZmOGFlZTUifQ=="/>
  </w:docVars>
  <w:rsids>
    <w:rsidRoot w:val="00000000"/>
    <w:rsid w:val="004E0863"/>
    <w:rsid w:val="03920A67"/>
    <w:rsid w:val="03DF3B82"/>
    <w:rsid w:val="08B82D1E"/>
    <w:rsid w:val="090A07FF"/>
    <w:rsid w:val="0AA7304A"/>
    <w:rsid w:val="0C0B29FE"/>
    <w:rsid w:val="0F2904D1"/>
    <w:rsid w:val="130672C6"/>
    <w:rsid w:val="18286841"/>
    <w:rsid w:val="1A2F6BB8"/>
    <w:rsid w:val="1ACB3A6E"/>
    <w:rsid w:val="1ACD2659"/>
    <w:rsid w:val="1B7350C7"/>
    <w:rsid w:val="1F505606"/>
    <w:rsid w:val="1F5745B7"/>
    <w:rsid w:val="201C373B"/>
    <w:rsid w:val="20C0056A"/>
    <w:rsid w:val="236C49D9"/>
    <w:rsid w:val="23BA5744"/>
    <w:rsid w:val="2443416E"/>
    <w:rsid w:val="26176E7E"/>
    <w:rsid w:val="281178FD"/>
    <w:rsid w:val="2E444588"/>
    <w:rsid w:val="2EE70873"/>
    <w:rsid w:val="2FCC455C"/>
    <w:rsid w:val="2FEF6776"/>
    <w:rsid w:val="313237DA"/>
    <w:rsid w:val="31773FC0"/>
    <w:rsid w:val="327E5810"/>
    <w:rsid w:val="3A345DF9"/>
    <w:rsid w:val="3B404329"/>
    <w:rsid w:val="3B556027"/>
    <w:rsid w:val="3EB5502E"/>
    <w:rsid w:val="3F576019"/>
    <w:rsid w:val="3F7C06AB"/>
    <w:rsid w:val="485B27A2"/>
    <w:rsid w:val="488614A0"/>
    <w:rsid w:val="4A066713"/>
    <w:rsid w:val="4CBD57DA"/>
    <w:rsid w:val="4FDC241B"/>
    <w:rsid w:val="50BB6138"/>
    <w:rsid w:val="50FB4B23"/>
    <w:rsid w:val="53310CD0"/>
    <w:rsid w:val="589F66DB"/>
    <w:rsid w:val="5C71213D"/>
    <w:rsid w:val="62397BA1"/>
    <w:rsid w:val="63246FF1"/>
    <w:rsid w:val="682F0FC3"/>
    <w:rsid w:val="687F5BE1"/>
    <w:rsid w:val="6BD52E17"/>
    <w:rsid w:val="6D855A48"/>
    <w:rsid w:val="6F950F55"/>
    <w:rsid w:val="70E01F73"/>
    <w:rsid w:val="712832BA"/>
    <w:rsid w:val="71E77F3F"/>
    <w:rsid w:val="74E41BEE"/>
    <w:rsid w:val="75F95225"/>
    <w:rsid w:val="77586705"/>
    <w:rsid w:val="79DF2984"/>
    <w:rsid w:val="7B000E04"/>
    <w:rsid w:val="7DAF266D"/>
    <w:rsid w:val="7EF5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5">
    <w:name w:val="冷正文"/>
    <w:basedOn w:val="1"/>
    <w:qFormat/>
    <w:uiPriority w:val="0"/>
    <w:pPr>
      <w:autoSpaceDE w:val="0"/>
      <w:autoSpaceDN w:val="0"/>
      <w:adjustRightInd w:val="0"/>
      <w:spacing w:line="300" w:lineRule="exact"/>
      <w:jc w:val="left"/>
    </w:pPr>
    <w:rPr>
      <w:rFonts w:ascii="Times New Roman" w:hAnsi="Times New Roman" w:cs="Times New Roman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972</Words>
  <Characters>2270</Characters>
  <Lines>0</Lines>
  <Paragraphs>0</Paragraphs>
  <TotalTime>22</TotalTime>
  <ScaleCrop>false</ScaleCrop>
  <LinksUpToDate>false</LinksUpToDate>
  <CharactersWithSpaces>2353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2022-10-12T09:23:00Z</dcterms:created>
  <dc:creator>Administrator</dc:creator>
  <cp:lastModifiedBy>我心向阳</cp:lastModifiedBy>
  <dcterms:modified xsi:type="dcterms:W3CDTF">2023-01-04T05:11:53Z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E853ECE7769D47D79B1835494FC9BD48</vt:lpwstr>
  </property>
</Properties>
</file>