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2AEB1" w14:textId="1C1A92D3" w:rsidR="007B078C" w:rsidRDefault="007B078C" w:rsidP="005E29B5">
      <w:pPr>
        <w:rPr>
          <w:rStyle w:val="a4"/>
          <w:rFonts w:asciiTheme="minorEastAsia" w:hAnsiTheme="minorEastAsia" w:cs="Arial" w:hint="eastAsia"/>
          <w:szCs w:val="21"/>
        </w:rPr>
      </w:pPr>
      <w:r>
        <w:rPr>
          <w:rStyle w:val="a4"/>
          <w:rFonts w:asciiTheme="minorEastAsia" w:hAnsiTheme="minorEastAsia" w:cs="Arial" w:hint="eastAsia"/>
          <w:szCs w:val="21"/>
        </w:rPr>
        <w:t>C</w:t>
      </w:r>
      <w:r>
        <w:rPr>
          <w:rStyle w:val="a4"/>
          <w:rFonts w:asciiTheme="minorEastAsia" w:hAnsiTheme="minorEastAsia" w:cs="Arial"/>
          <w:szCs w:val="21"/>
        </w:rPr>
        <w:t>1</w:t>
      </w:r>
      <w:r>
        <w:rPr>
          <w:rStyle w:val="a4"/>
          <w:rFonts w:asciiTheme="minorEastAsia" w:hAnsiTheme="minorEastAsia" w:cs="Arial" w:hint="eastAsia"/>
          <w:szCs w:val="21"/>
        </w:rPr>
        <w:t>P</w:t>
      </w:r>
      <w:r>
        <w:rPr>
          <w:rStyle w:val="a4"/>
          <w:rFonts w:asciiTheme="minorEastAsia" w:hAnsiTheme="minorEastAsia" w:cs="Arial"/>
          <w:szCs w:val="21"/>
        </w:rPr>
        <w:t>2</w:t>
      </w:r>
      <w:bookmarkStart w:id="0" w:name="_GoBack"/>
      <w:bookmarkEnd w:id="0"/>
    </w:p>
    <w:p w14:paraId="57945705" w14:textId="3990F84F" w:rsidR="007E56BA" w:rsidRDefault="007E56BA" w:rsidP="005E29B5">
      <w:r w:rsidRPr="000D65AD">
        <w:rPr>
          <w:rStyle w:val="a4"/>
          <w:rFonts w:asciiTheme="minorEastAsia" w:hAnsiTheme="minorEastAsia" w:cs="Arial"/>
          <w:szCs w:val="21"/>
        </w:rPr>
        <w:t>IC即信息系数（Information Coefficient</w:t>
      </w:r>
      <w:r w:rsidRPr="000D65AD">
        <w:t>），表示所选股票的因子值与股票下期收益率的截面相关系数，通过 IC 值可以判断因子值对下期收益率的预测能力。信息系数的绝对值越大，该因子越有效。IC为负表示因子值越小越好，IC为正表示因子值越大越好。IC的计算方法是：计算</w:t>
      </w:r>
      <w:r w:rsidRPr="000D65AD">
        <w:rPr>
          <w:rStyle w:val="a4"/>
          <w:rFonts w:asciiTheme="minorEastAsia" w:hAnsiTheme="minorEastAsia" w:cs="Arial"/>
          <w:szCs w:val="21"/>
        </w:rPr>
        <w:t>全部股票</w:t>
      </w:r>
      <w:proofErr w:type="gramStart"/>
      <w:r w:rsidRPr="000D65AD">
        <w:t>在调仓周期</w:t>
      </w:r>
      <w:r w:rsidRPr="000D65AD">
        <w:rPr>
          <w:rStyle w:val="a4"/>
          <w:rFonts w:asciiTheme="minorEastAsia" w:hAnsiTheme="minorEastAsia" w:cs="Arial"/>
          <w:szCs w:val="21"/>
        </w:rPr>
        <w:t>期</w:t>
      </w:r>
      <w:proofErr w:type="gramEnd"/>
      <w:r w:rsidRPr="000D65AD">
        <w:rPr>
          <w:rStyle w:val="a4"/>
          <w:rFonts w:asciiTheme="minorEastAsia" w:hAnsiTheme="minorEastAsia" w:cs="Arial"/>
          <w:szCs w:val="21"/>
        </w:rPr>
        <w:t>初排名</w:t>
      </w:r>
      <w:proofErr w:type="gramStart"/>
      <w:r w:rsidRPr="000D65AD">
        <w:t>和调仓周期</w:t>
      </w:r>
      <w:proofErr w:type="gramEnd"/>
      <w:r w:rsidRPr="000D65AD">
        <w:rPr>
          <w:rStyle w:val="a4"/>
          <w:rFonts w:asciiTheme="minorEastAsia" w:hAnsiTheme="minorEastAsia" w:cs="Arial"/>
          <w:szCs w:val="21"/>
        </w:rPr>
        <w:t>期末收益排名</w:t>
      </w:r>
      <w:r w:rsidRPr="000D65AD">
        <w:t>的</w:t>
      </w:r>
      <w:r w:rsidRPr="000D65AD">
        <w:rPr>
          <w:rStyle w:val="a4"/>
          <w:rFonts w:asciiTheme="minorEastAsia" w:hAnsiTheme="minorEastAsia" w:cs="Arial"/>
          <w:szCs w:val="21"/>
        </w:rPr>
        <w:t>线性相关度（Correlation）</w:t>
      </w:r>
      <w:r w:rsidRPr="000D65AD">
        <w:t>。IC越大的因子，选</w:t>
      </w:r>
      <w:proofErr w:type="gramStart"/>
      <w:r w:rsidRPr="000D65AD">
        <w:t>股能力</w:t>
      </w:r>
      <w:proofErr w:type="gramEnd"/>
      <w:r w:rsidRPr="000D65AD">
        <w:t>就越强。</w:t>
      </w:r>
    </w:p>
    <w:p w14:paraId="17631282" w14:textId="77777777" w:rsidR="000D65AD" w:rsidRPr="000D65AD" w:rsidRDefault="000D65AD" w:rsidP="005E29B5">
      <w:pPr>
        <w:rPr>
          <w:rFonts w:hint="eastAsia"/>
        </w:rPr>
      </w:pPr>
    </w:p>
    <w:p w14:paraId="70DB2D4F" w14:textId="77777777" w:rsidR="007E56BA" w:rsidRPr="000D65AD" w:rsidRDefault="007E56BA" w:rsidP="005E29B5">
      <w:r w:rsidRPr="000D65AD">
        <w:rPr>
          <w:rStyle w:val="a4"/>
          <w:rFonts w:asciiTheme="minorEastAsia" w:hAnsiTheme="minorEastAsia" w:cs="Arial"/>
          <w:szCs w:val="21"/>
        </w:rPr>
        <w:t>IR即信息比率（Information Ratio）</w:t>
      </w:r>
      <w:r w:rsidRPr="000D65AD">
        <w:t>，是超额收益的均值与标准差之比，可以根据 IC 近似计算，公式如下。该公式是从超额收益出发，逐步推导得出的。IR</w:t>
      </w:r>
      <w:r w:rsidRPr="000D65AD">
        <w:rPr>
          <w:rStyle w:val="a4"/>
          <w:rFonts w:asciiTheme="minorEastAsia" w:hAnsiTheme="minorEastAsia" w:cs="Arial"/>
          <w:szCs w:val="21"/>
        </w:rPr>
        <w:t>= IC的多周期均值/IC的标准方差，</w:t>
      </w:r>
      <w:r w:rsidRPr="000D65AD">
        <w:t>代表因子</w:t>
      </w:r>
      <w:r w:rsidRPr="007B078C">
        <w:rPr>
          <w:b/>
        </w:rPr>
        <w:t>获取稳定Alpha的能力</w:t>
      </w:r>
      <w:r w:rsidRPr="000D65AD">
        <w:t>。整个回测时段由</w:t>
      </w:r>
      <w:proofErr w:type="gramStart"/>
      <w:r w:rsidRPr="000D65AD">
        <w:t>多个调仓周期</w:t>
      </w:r>
      <w:proofErr w:type="gramEnd"/>
      <w:r w:rsidRPr="000D65AD">
        <w:t>组成，每一个周期都会计算出一个不同的IC值，IR等于</w:t>
      </w:r>
      <w:proofErr w:type="gramStart"/>
      <w:r w:rsidRPr="000D65AD">
        <w:t>多个调仓周期</w:t>
      </w:r>
      <w:proofErr w:type="gramEnd"/>
      <w:r w:rsidRPr="000D65AD">
        <w:t>的IC均值除以这些IC的标准方差。所以IR兼顾了因子的选股能力（由IC代表）和因子选</w:t>
      </w:r>
      <w:proofErr w:type="gramStart"/>
      <w:r w:rsidRPr="000D65AD">
        <w:t>股能力</w:t>
      </w:r>
      <w:proofErr w:type="gramEnd"/>
      <w:r w:rsidRPr="000D65AD">
        <w:t>的稳定性（由IC的标准方差的倒数代表）</w:t>
      </w:r>
    </w:p>
    <w:p w14:paraId="23662F61" w14:textId="77777777" w:rsidR="007E56BA" w:rsidRPr="000D65AD" w:rsidRDefault="007E56BA" w:rsidP="005E29B5">
      <w:r w:rsidRPr="000D65AD">
        <w:t>IC最大值为1，表示该因子选股100%准确，对应的是排名分最高的股票，选出来的股票在下</w:t>
      </w:r>
      <w:proofErr w:type="gramStart"/>
      <w:r w:rsidRPr="000D65AD">
        <w:t>个调仓</w:t>
      </w:r>
      <w:proofErr w:type="gramEnd"/>
      <w:r w:rsidRPr="000D65AD">
        <w:t>周期中，涨幅最大；相反，如果IC值为-1，则代表排名分最高的股票，在下</w:t>
      </w:r>
      <w:proofErr w:type="gramStart"/>
      <w:r w:rsidRPr="000D65AD">
        <w:t>个调仓</w:t>
      </w:r>
      <w:proofErr w:type="gramEnd"/>
      <w:r w:rsidRPr="000D65AD">
        <w:t>周期中，跌幅最大，是一个完全反向的指标。</w:t>
      </w:r>
    </w:p>
    <w:p w14:paraId="2234637F" w14:textId="77777777" w:rsidR="007E56BA" w:rsidRPr="000D65AD" w:rsidRDefault="007E56BA" w:rsidP="005E29B5">
      <w:r w:rsidRPr="000D65AD">
        <w:t>实际上，反向的指标也是非常有意义的。最无用的IC值是0或者接近0的值，这代表该因子对于股票没有任何的预测能力。当IC的绝对值大于0.05时，因子的选</w:t>
      </w:r>
      <w:proofErr w:type="gramStart"/>
      <w:r w:rsidRPr="000D65AD">
        <w:t>股能力</w:t>
      </w:r>
      <w:proofErr w:type="gramEnd"/>
      <w:r w:rsidRPr="000D65AD">
        <w:t>较强，当IR大于0.5时因子稳定获取超额收益能力较强</w:t>
      </w:r>
    </w:p>
    <w:p w14:paraId="4E7B243B" w14:textId="77777777" w:rsidR="004A729B" w:rsidRPr="007E56BA" w:rsidRDefault="004A729B"/>
    <w:sectPr w:rsidR="004A729B" w:rsidRPr="007E5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F4"/>
    <w:rsid w:val="00016959"/>
    <w:rsid w:val="000D65AD"/>
    <w:rsid w:val="00280EF4"/>
    <w:rsid w:val="004A729B"/>
    <w:rsid w:val="005E29B5"/>
    <w:rsid w:val="007B078C"/>
    <w:rsid w:val="007E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24B9"/>
  <w15:chartTrackingRefBased/>
  <w15:docId w15:val="{0D7F5763-A2CC-454F-8955-B49CCCFC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56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E56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赵康阳</dc:creator>
  <cp:keywords/>
  <dc:description/>
  <cp:lastModifiedBy>赵康阳</cp:lastModifiedBy>
  <cp:revision>6</cp:revision>
  <dcterms:created xsi:type="dcterms:W3CDTF">2024-01-10T01:51:00Z</dcterms:created>
  <dcterms:modified xsi:type="dcterms:W3CDTF">2024-01-10T01:54:00Z</dcterms:modified>
</cp:coreProperties>
</file>